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00"/>
      </w:tblGrid>
      <w:tr w:rsidR="004C50DC">
        <w:tblPrEx>
          <w:tblCellMar>
            <w:top w:w="0" w:type="dxa"/>
            <w:bottom w:w="0" w:type="dxa"/>
          </w:tblCellMar>
        </w:tblPrEx>
        <w:tc>
          <w:tcPr>
            <w:tcW w:w="9160" w:type="dxa"/>
            <w:shd w:val="clear" w:color="auto" w:fill="EBE7CF"/>
          </w:tcPr>
          <w:p w:rsidR="004C50DC" w:rsidRPr="00B552E2" w:rsidRDefault="004C50DC" w:rsidP="004C50DC">
            <w:pPr>
              <w:rPr>
                <w:lang w:val="en-CA" w:bidi="ar-SA"/>
              </w:rPr>
            </w:pPr>
            <w:bookmarkStart w:id="0" w:name="_GoBack"/>
            <w:bookmarkEnd w:id="0"/>
          </w:p>
          <w:p w:rsidR="004C50DC" w:rsidRDefault="004C50DC">
            <w:pPr>
              <w:ind w:firstLine="0"/>
              <w:jc w:val="center"/>
              <w:rPr>
                <w:b/>
                <w:sz w:val="20"/>
                <w:lang w:bidi="ar-SA"/>
              </w:rPr>
            </w:pPr>
          </w:p>
          <w:p w:rsidR="004C50DC" w:rsidRDefault="004C50DC">
            <w:pPr>
              <w:ind w:firstLine="0"/>
              <w:jc w:val="center"/>
              <w:rPr>
                <w:b/>
                <w:sz w:val="20"/>
                <w:lang w:bidi="ar-SA"/>
              </w:rPr>
            </w:pPr>
          </w:p>
          <w:p w:rsidR="004C50DC" w:rsidRDefault="004C50DC">
            <w:pPr>
              <w:ind w:firstLine="0"/>
              <w:jc w:val="center"/>
              <w:rPr>
                <w:sz w:val="20"/>
                <w:lang w:bidi="ar-SA"/>
              </w:rPr>
            </w:pPr>
          </w:p>
          <w:p w:rsidR="004C50DC" w:rsidRPr="00BA2587" w:rsidRDefault="004C50DC">
            <w:pPr>
              <w:ind w:firstLine="0"/>
              <w:jc w:val="center"/>
              <w:rPr>
                <w:sz w:val="20"/>
                <w:lang w:bidi="ar-SA"/>
              </w:rPr>
            </w:pPr>
          </w:p>
          <w:p w:rsidR="004C50DC" w:rsidRPr="00911099" w:rsidRDefault="004C50DC">
            <w:pPr>
              <w:ind w:firstLine="0"/>
              <w:jc w:val="center"/>
              <w:rPr>
                <w:sz w:val="36"/>
                <w:lang w:bidi="ar-SA"/>
              </w:rPr>
            </w:pPr>
            <w:r>
              <w:rPr>
                <w:sz w:val="36"/>
                <w:lang w:bidi="ar-SA"/>
              </w:rPr>
              <w:t>Jean Ronald AUGUSTIN</w:t>
            </w:r>
          </w:p>
          <w:p w:rsidR="004C50DC" w:rsidRPr="006E2750" w:rsidRDefault="004C50DC" w:rsidP="004C50DC">
            <w:pPr>
              <w:ind w:firstLine="0"/>
              <w:jc w:val="center"/>
              <w:rPr>
                <w:sz w:val="20"/>
                <w:lang w:bidi="ar-SA"/>
              </w:rPr>
            </w:pPr>
          </w:p>
          <w:p w:rsidR="004C50DC" w:rsidRPr="00B404E8" w:rsidRDefault="004C50DC">
            <w:pPr>
              <w:pStyle w:val="Corpsdetexte"/>
              <w:widowControl w:val="0"/>
              <w:spacing w:before="0" w:after="0"/>
              <w:rPr>
                <w:sz w:val="36"/>
                <w:lang w:bidi="ar-SA"/>
              </w:rPr>
            </w:pPr>
            <w:r w:rsidRPr="00B404E8">
              <w:rPr>
                <w:sz w:val="36"/>
                <w:lang w:bidi="ar-SA"/>
              </w:rPr>
              <w:t>(</w:t>
            </w:r>
            <w:r>
              <w:rPr>
                <w:sz w:val="36"/>
                <w:lang w:bidi="ar-SA"/>
              </w:rPr>
              <w:t>2016</w:t>
            </w:r>
            <w:r w:rsidRPr="00B404E8">
              <w:rPr>
                <w:sz w:val="36"/>
                <w:lang w:bidi="ar-SA"/>
              </w:rPr>
              <w:t>)</w:t>
            </w:r>
          </w:p>
          <w:p w:rsidR="004C50DC" w:rsidRDefault="004C50DC">
            <w:pPr>
              <w:pStyle w:val="Corpsdetexte"/>
              <w:widowControl w:val="0"/>
              <w:spacing w:before="0" w:after="0"/>
              <w:rPr>
                <w:color w:val="FF0000"/>
                <w:sz w:val="24"/>
                <w:lang w:bidi="ar-SA"/>
              </w:rPr>
            </w:pPr>
          </w:p>
          <w:p w:rsidR="004C50DC" w:rsidRDefault="004C50DC">
            <w:pPr>
              <w:pStyle w:val="Corpsdetexte"/>
              <w:widowControl w:val="0"/>
              <w:spacing w:before="0" w:after="0"/>
              <w:rPr>
                <w:color w:val="FF0000"/>
                <w:sz w:val="24"/>
                <w:lang w:bidi="ar-SA"/>
              </w:rPr>
            </w:pPr>
          </w:p>
          <w:p w:rsidR="004C50DC" w:rsidRDefault="004C50DC">
            <w:pPr>
              <w:pStyle w:val="Corpsdetexte"/>
              <w:widowControl w:val="0"/>
              <w:spacing w:before="0" w:after="0"/>
              <w:rPr>
                <w:color w:val="FF0000"/>
                <w:sz w:val="24"/>
                <w:lang w:bidi="ar-SA"/>
              </w:rPr>
            </w:pPr>
          </w:p>
          <w:p w:rsidR="004C50DC" w:rsidRPr="00EF76C4" w:rsidRDefault="004C50DC" w:rsidP="004C50DC">
            <w:pPr>
              <w:pStyle w:val="Titlest"/>
              <w:rPr>
                <w:lang w:bidi="ar-SA"/>
              </w:rPr>
            </w:pPr>
            <w:r>
              <w:rPr>
                <w:lang w:bidi="ar-SA"/>
              </w:rPr>
              <w:t>Mémoire de l’esclavage en Haïti.</w:t>
            </w:r>
            <w:r>
              <w:rPr>
                <w:lang w:bidi="ar-SA"/>
              </w:rPr>
              <w:br/>
              <w:t>Entrecroisement des mémoires</w:t>
            </w:r>
            <w:r>
              <w:rPr>
                <w:lang w:bidi="ar-SA"/>
              </w:rPr>
              <w:br/>
              <w:t>et enjeux de la patrimonialisation.</w:t>
            </w:r>
          </w:p>
          <w:p w:rsidR="004C50DC" w:rsidRDefault="004C50DC">
            <w:pPr>
              <w:widowControl w:val="0"/>
              <w:ind w:firstLine="0"/>
              <w:jc w:val="center"/>
              <w:rPr>
                <w:lang w:bidi="ar-SA"/>
              </w:rPr>
            </w:pPr>
          </w:p>
          <w:p w:rsidR="004C50DC" w:rsidRDefault="004C50DC" w:rsidP="004C50DC">
            <w:pPr>
              <w:widowControl w:val="0"/>
              <w:ind w:firstLine="0"/>
              <w:jc w:val="center"/>
              <w:rPr>
                <w:lang w:bidi="ar-SA"/>
              </w:rPr>
            </w:pPr>
            <w:r>
              <w:rPr>
                <w:lang w:bidi="ar-SA"/>
              </w:rPr>
              <w:t>Thèse de doctorat en ethnologie et patrimoine,</w:t>
            </w:r>
            <w:r>
              <w:rPr>
                <w:lang w:bidi="ar-SA"/>
              </w:rPr>
              <w:br/>
              <w:t>Université Laval, Québec</w:t>
            </w:r>
          </w:p>
          <w:p w:rsidR="004C50DC" w:rsidRDefault="004C50DC" w:rsidP="004C50DC">
            <w:pPr>
              <w:widowControl w:val="0"/>
              <w:ind w:firstLine="0"/>
              <w:jc w:val="center"/>
              <w:rPr>
                <w:lang w:bidi="ar-SA"/>
              </w:rPr>
            </w:pPr>
          </w:p>
          <w:p w:rsidR="004C50DC" w:rsidRDefault="004C50DC" w:rsidP="004C50DC">
            <w:pPr>
              <w:widowControl w:val="0"/>
              <w:ind w:firstLine="0"/>
              <w:jc w:val="center"/>
              <w:rPr>
                <w:lang w:bidi="ar-SA"/>
              </w:rPr>
            </w:pPr>
          </w:p>
          <w:p w:rsidR="004C50DC" w:rsidRDefault="004C50DC" w:rsidP="004C50DC">
            <w:pPr>
              <w:widowControl w:val="0"/>
              <w:ind w:firstLine="0"/>
              <w:jc w:val="center"/>
              <w:rPr>
                <w:lang w:bidi="ar-SA"/>
              </w:rPr>
            </w:pPr>
          </w:p>
          <w:p w:rsidR="004C50DC" w:rsidRDefault="004C50DC" w:rsidP="004C50DC">
            <w:pPr>
              <w:widowControl w:val="0"/>
              <w:ind w:firstLine="0"/>
              <w:jc w:val="center"/>
              <w:rPr>
                <w:lang w:bidi="ar-SA"/>
              </w:rPr>
            </w:pPr>
          </w:p>
          <w:p w:rsidR="004C50DC" w:rsidRPr="00002A1C" w:rsidRDefault="004C50DC" w:rsidP="004C50DC">
            <w:pPr>
              <w:ind w:firstLine="0"/>
              <w:jc w:val="center"/>
              <w:rPr>
                <w:sz w:val="20"/>
                <w:lang w:bidi="ar-SA"/>
              </w:rPr>
            </w:pPr>
            <w:r w:rsidRPr="00083144">
              <w:rPr>
                <w:b/>
                <w:lang w:bidi="ar-SA"/>
              </w:rPr>
              <w:t>LES CLASSIQUES DES SCIENCES SOCIALES</w:t>
            </w:r>
            <w:r>
              <w:rPr>
                <w:lang w:bidi="ar-SA"/>
              </w:rPr>
              <w:br/>
              <w:t>CHICOUTIMI, QUÉBEC</w:t>
            </w:r>
            <w:r>
              <w:rPr>
                <w:lang w:bidi="ar-SA"/>
              </w:rPr>
              <w:br/>
            </w:r>
            <w:hyperlink r:id="rId7" w:history="1">
              <w:r w:rsidRPr="00302466">
                <w:rPr>
                  <w:rStyle w:val="Lienhypertexte"/>
                  <w:lang w:bidi="ar-SA"/>
                </w:rPr>
                <w:t>http://classiques.uqac.ca/</w:t>
              </w:r>
            </w:hyperlink>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rsidP="004C50DC">
            <w:pPr>
              <w:widowControl w:val="0"/>
              <w:ind w:firstLine="0"/>
              <w:jc w:val="both"/>
              <w:rPr>
                <w:sz w:val="20"/>
                <w:lang w:bidi="ar-SA"/>
              </w:rPr>
            </w:pPr>
          </w:p>
          <w:p w:rsidR="004C50DC" w:rsidRDefault="004C50DC">
            <w:pPr>
              <w:widowControl w:val="0"/>
              <w:ind w:firstLine="0"/>
              <w:jc w:val="both"/>
              <w:rPr>
                <w:sz w:val="20"/>
                <w:lang w:bidi="ar-SA"/>
              </w:rPr>
            </w:pPr>
          </w:p>
          <w:p w:rsidR="004C50DC" w:rsidRDefault="004C50DC">
            <w:pPr>
              <w:widowControl w:val="0"/>
              <w:ind w:firstLine="0"/>
              <w:jc w:val="both"/>
              <w:rPr>
                <w:sz w:val="20"/>
                <w:lang w:bidi="ar-SA"/>
              </w:rPr>
            </w:pPr>
          </w:p>
          <w:p w:rsidR="004C50DC" w:rsidRDefault="004C50DC">
            <w:pPr>
              <w:widowControl w:val="0"/>
              <w:ind w:firstLine="0"/>
              <w:jc w:val="both"/>
              <w:rPr>
                <w:sz w:val="20"/>
                <w:lang w:bidi="ar-SA"/>
              </w:rPr>
            </w:pPr>
          </w:p>
          <w:p w:rsidR="004C50DC" w:rsidRDefault="004C50DC">
            <w:pPr>
              <w:ind w:firstLine="0"/>
              <w:jc w:val="both"/>
              <w:rPr>
                <w:lang w:bidi="ar-SA"/>
              </w:rPr>
            </w:pPr>
          </w:p>
        </w:tc>
      </w:tr>
    </w:tbl>
    <w:p w:rsidR="004C50DC" w:rsidRDefault="004C50DC" w:rsidP="004C50DC">
      <w:pPr>
        <w:ind w:firstLine="0"/>
        <w:jc w:val="both"/>
      </w:pPr>
      <w:r>
        <w:br w:type="page"/>
      </w:r>
    </w:p>
    <w:p w:rsidR="004C50DC" w:rsidRDefault="004C50DC" w:rsidP="004C50DC">
      <w:pPr>
        <w:ind w:firstLine="0"/>
        <w:jc w:val="both"/>
      </w:pPr>
    </w:p>
    <w:p w:rsidR="004C50DC" w:rsidRDefault="004C50DC" w:rsidP="004C50DC">
      <w:pPr>
        <w:ind w:firstLine="0"/>
        <w:jc w:val="both"/>
      </w:pPr>
    </w:p>
    <w:p w:rsidR="004C50DC" w:rsidRDefault="009B614B" w:rsidP="004C50DC">
      <w:pPr>
        <w:ind w:firstLine="0"/>
        <w:jc w:val="right"/>
      </w:pPr>
      <w:r>
        <w:rPr>
          <w:noProof/>
        </w:rPr>
        <w:drawing>
          <wp:inline distT="0" distB="0" distL="0" distR="0">
            <wp:extent cx="2656840" cy="1043305"/>
            <wp:effectExtent l="0" t="0" r="0" b="0"/>
            <wp:docPr id="1" name="Image 1" descr="css_logo_gr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ss_logo_gris"/>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6840" cy="1043305"/>
                    </a:xfrm>
                    <a:prstGeom prst="rect">
                      <a:avLst/>
                    </a:prstGeom>
                    <a:noFill/>
                    <a:ln>
                      <a:noFill/>
                    </a:ln>
                  </pic:spPr>
                </pic:pic>
              </a:graphicData>
            </a:graphic>
          </wp:inline>
        </w:drawing>
      </w:r>
    </w:p>
    <w:p w:rsidR="004C50DC" w:rsidRDefault="004C50DC" w:rsidP="004C50DC">
      <w:pPr>
        <w:ind w:firstLine="0"/>
        <w:jc w:val="right"/>
      </w:pPr>
      <w:hyperlink r:id="rId9" w:history="1">
        <w:r w:rsidRPr="00302466">
          <w:rPr>
            <w:rStyle w:val="Lienhypertexte"/>
          </w:rPr>
          <w:t>http://classiques.uqac.ca/</w:t>
        </w:r>
      </w:hyperlink>
      <w:r>
        <w:t xml:space="preserve"> </w:t>
      </w:r>
    </w:p>
    <w:p w:rsidR="004C50DC" w:rsidRDefault="004C50DC" w:rsidP="004C50DC">
      <w:pPr>
        <w:ind w:firstLine="0"/>
        <w:jc w:val="both"/>
      </w:pPr>
    </w:p>
    <w:p w:rsidR="004C50DC" w:rsidRDefault="004C50DC" w:rsidP="004C50DC">
      <w:pPr>
        <w:ind w:firstLine="0"/>
        <w:jc w:val="both"/>
      </w:pPr>
      <w:r w:rsidRPr="00D2666B">
        <w:rPr>
          <w:i/>
        </w:rPr>
        <w:t>Les Classiques des sciences sociales</w:t>
      </w:r>
      <w:r>
        <w:t xml:space="preserve"> est une bibliothèque numérique en libre accès développée en partenariat avec l’Université du Québec à Chicoutimi (UQÀC) depuis 2000.</w:t>
      </w:r>
    </w:p>
    <w:p w:rsidR="004C50DC" w:rsidRDefault="004C50DC" w:rsidP="004C50DC">
      <w:pPr>
        <w:ind w:firstLine="0"/>
        <w:jc w:val="both"/>
      </w:pPr>
    </w:p>
    <w:p w:rsidR="004C50DC" w:rsidRDefault="009B614B" w:rsidP="004C50DC">
      <w:pPr>
        <w:ind w:firstLine="0"/>
        <w:jc w:val="both"/>
      </w:pPr>
      <w:r>
        <w:rPr>
          <w:noProof/>
        </w:rPr>
        <w:drawing>
          <wp:inline distT="0" distB="0" distL="0" distR="0">
            <wp:extent cx="2646680" cy="1064895"/>
            <wp:effectExtent l="0" t="0" r="0" b="0"/>
            <wp:docPr id="2" name="Image 2" descr="UQAC_logo_2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QAC_logo_201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6680" cy="1064895"/>
                    </a:xfrm>
                    <a:prstGeom prst="rect">
                      <a:avLst/>
                    </a:prstGeom>
                    <a:noFill/>
                    <a:ln>
                      <a:noFill/>
                    </a:ln>
                  </pic:spPr>
                </pic:pic>
              </a:graphicData>
            </a:graphic>
          </wp:inline>
        </w:drawing>
      </w:r>
    </w:p>
    <w:p w:rsidR="004C50DC" w:rsidRDefault="004C50DC" w:rsidP="004C50DC">
      <w:pPr>
        <w:ind w:firstLine="0"/>
        <w:jc w:val="both"/>
      </w:pPr>
      <w:hyperlink r:id="rId11" w:history="1">
        <w:r w:rsidRPr="00302466">
          <w:rPr>
            <w:rStyle w:val="Lienhypertexte"/>
          </w:rPr>
          <w:t>http://bibliotheque.uqac.ca/</w:t>
        </w:r>
      </w:hyperlink>
      <w:r>
        <w:t xml:space="preserve"> </w:t>
      </w:r>
    </w:p>
    <w:p w:rsidR="004C50DC" w:rsidRDefault="004C50DC" w:rsidP="004C50DC">
      <w:pPr>
        <w:ind w:firstLine="0"/>
        <w:jc w:val="both"/>
      </w:pPr>
    </w:p>
    <w:p w:rsidR="004C50DC" w:rsidRDefault="004C50DC" w:rsidP="004C50DC">
      <w:pPr>
        <w:ind w:firstLine="0"/>
        <w:jc w:val="both"/>
      </w:pPr>
    </w:p>
    <w:p w:rsidR="004C50DC" w:rsidRDefault="004C50DC" w:rsidP="004C50DC">
      <w:pPr>
        <w:ind w:firstLine="0"/>
        <w:jc w:val="both"/>
      </w:pPr>
      <w:r>
        <w:t>En 2018, Les Classiques des sciences sociales fêteront leur 25</w:t>
      </w:r>
      <w:r w:rsidRPr="00622FDA">
        <w:rPr>
          <w:vertAlign w:val="superscript"/>
        </w:rPr>
        <w:t>e</w:t>
      </w:r>
      <w:r>
        <w:t xml:space="preserve"> ann</w:t>
      </w:r>
      <w:r>
        <w:t>i</w:t>
      </w:r>
      <w:r>
        <w:t>versaire de fondation. Une belle initiative citoyenne.</w:t>
      </w:r>
    </w:p>
    <w:p w:rsidR="004C50DC" w:rsidRPr="005E1FF1" w:rsidRDefault="004C50DC" w:rsidP="004C50DC">
      <w:pPr>
        <w:widowControl w:val="0"/>
        <w:autoSpaceDE w:val="0"/>
        <w:autoSpaceDN w:val="0"/>
        <w:adjustRightInd w:val="0"/>
        <w:rPr>
          <w:rFonts w:ascii="Arial" w:hAnsi="Arial"/>
          <w:sz w:val="32"/>
          <w:szCs w:val="32"/>
        </w:rPr>
      </w:pPr>
      <w:r w:rsidRPr="00E07116">
        <w:br w:type="page"/>
      </w:r>
    </w:p>
    <w:p w:rsidR="004C50DC" w:rsidRPr="005E1FF1" w:rsidRDefault="004C50DC">
      <w:pPr>
        <w:widowControl w:val="0"/>
        <w:autoSpaceDE w:val="0"/>
        <w:autoSpaceDN w:val="0"/>
        <w:adjustRightInd w:val="0"/>
        <w:jc w:val="center"/>
        <w:rPr>
          <w:rFonts w:ascii="Arial" w:hAnsi="Arial"/>
          <w:b/>
          <w:color w:val="008B00"/>
          <w:sz w:val="36"/>
          <w:szCs w:val="36"/>
        </w:rPr>
      </w:pPr>
      <w:r w:rsidRPr="005E1FF1">
        <w:rPr>
          <w:rFonts w:ascii="Arial" w:hAnsi="Arial"/>
          <w:b/>
          <w:color w:val="008B00"/>
          <w:sz w:val="36"/>
          <w:szCs w:val="36"/>
        </w:rPr>
        <w:t>Politique d'utilisation</w:t>
      </w:r>
      <w:r w:rsidRPr="005E1FF1">
        <w:rPr>
          <w:rFonts w:ascii="Arial-BoldMT" w:hAnsi="Arial-BoldMT"/>
          <w:b/>
          <w:color w:val="008B00"/>
          <w:sz w:val="36"/>
          <w:szCs w:val="36"/>
        </w:rPr>
        <w:br/>
      </w:r>
      <w:r w:rsidRPr="005E1FF1">
        <w:rPr>
          <w:rFonts w:ascii="Arial" w:hAnsi="Arial"/>
          <w:b/>
          <w:color w:val="008B00"/>
          <w:sz w:val="36"/>
          <w:szCs w:val="36"/>
        </w:rPr>
        <w:t>de la bibliothèque des Classiques</w:t>
      </w:r>
    </w:p>
    <w:p w:rsidR="004C50DC" w:rsidRPr="005E1FF1" w:rsidRDefault="004C50DC">
      <w:pPr>
        <w:widowControl w:val="0"/>
        <w:autoSpaceDE w:val="0"/>
        <w:autoSpaceDN w:val="0"/>
        <w:adjustRightInd w:val="0"/>
        <w:rPr>
          <w:rFonts w:ascii="Arial" w:hAnsi="Arial"/>
          <w:sz w:val="32"/>
          <w:szCs w:val="32"/>
        </w:rPr>
      </w:pPr>
    </w:p>
    <w:p w:rsidR="004C50DC" w:rsidRPr="005E1FF1" w:rsidRDefault="004C50DC">
      <w:pPr>
        <w:widowControl w:val="0"/>
        <w:autoSpaceDE w:val="0"/>
        <w:autoSpaceDN w:val="0"/>
        <w:adjustRightInd w:val="0"/>
        <w:jc w:val="both"/>
        <w:rPr>
          <w:rFonts w:ascii="Arial" w:hAnsi="Arial"/>
          <w:color w:val="1C1C1C"/>
          <w:sz w:val="26"/>
          <w:szCs w:val="26"/>
        </w:rPr>
      </w:pPr>
    </w:p>
    <w:p w:rsidR="004C50DC" w:rsidRPr="005E1FF1" w:rsidRDefault="004C50DC">
      <w:pPr>
        <w:widowControl w:val="0"/>
        <w:autoSpaceDE w:val="0"/>
        <w:autoSpaceDN w:val="0"/>
        <w:adjustRightInd w:val="0"/>
        <w:jc w:val="both"/>
        <w:rPr>
          <w:rFonts w:ascii="Arial" w:hAnsi="Arial"/>
          <w:color w:val="1C1C1C"/>
          <w:sz w:val="26"/>
          <w:szCs w:val="26"/>
        </w:rPr>
      </w:pPr>
    </w:p>
    <w:p w:rsidR="004C50DC" w:rsidRPr="005E1FF1" w:rsidRDefault="004C50DC">
      <w:pPr>
        <w:widowControl w:val="0"/>
        <w:autoSpaceDE w:val="0"/>
        <w:autoSpaceDN w:val="0"/>
        <w:adjustRightInd w:val="0"/>
        <w:jc w:val="both"/>
        <w:rPr>
          <w:rFonts w:ascii="Arial" w:hAnsi="Arial"/>
          <w:color w:val="1C1C1C"/>
          <w:sz w:val="26"/>
          <w:szCs w:val="26"/>
        </w:rPr>
      </w:pPr>
      <w:r w:rsidRPr="005E1FF1">
        <w:rPr>
          <w:rFonts w:ascii="Arial" w:hAnsi="Arial"/>
          <w:color w:val="1C1C1C"/>
          <w:sz w:val="26"/>
          <w:szCs w:val="26"/>
        </w:rPr>
        <w:t>Toute reproduction et rediffusion de nos fichiers est inte</w:t>
      </w:r>
      <w:r w:rsidRPr="005E1FF1">
        <w:rPr>
          <w:rFonts w:ascii="Arial" w:hAnsi="Arial"/>
          <w:color w:val="1C1C1C"/>
          <w:sz w:val="26"/>
          <w:szCs w:val="26"/>
        </w:rPr>
        <w:t>r</w:t>
      </w:r>
      <w:r w:rsidRPr="005E1FF1">
        <w:rPr>
          <w:rFonts w:ascii="Arial" w:hAnsi="Arial"/>
          <w:color w:val="1C1C1C"/>
          <w:sz w:val="26"/>
          <w:szCs w:val="26"/>
        </w:rPr>
        <w:t>dite, même avec la mention de leur provenance, sans l’autorisation fo</w:t>
      </w:r>
      <w:r w:rsidRPr="005E1FF1">
        <w:rPr>
          <w:rFonts w:ascii="Arial" w:hAnsi="Arial"/>
          <w:color w:val="1C1C1C"/>
          <w:sz w:val="26"/>
          <w:szCs w:val="26"/>
        </w:rPr>
        <w:t>r</w:t>
      </w:r>
      <w:r w:rsidRPr="005E1FF1">
        <w:rPr>
          <w:rFonts w:ascii="Arial" w:hAnsi="Arial"/>
          <w:color w:val="1C1C1C"/>
          <w:sz w:val="26"/>
          <w:szCs w:val="26"/>
        </w:rPr>
        <w:t>melle, écrite, du fondateur des Classiques des sciences sociales, Jean-Marie Tremblay, sociologue.</w:t>
      </w:r>
    </w:p>
    <w:p w:rsidR="004C50DC" w:rsidRPr="005E1FF1" w:rsidRDefault="004C50DC">
      <w:pPr>
        <w:widowControl w:val="0"/>
        <w:autoSpaceDE w:val="0"/>
        <w:autoSpaceDN w:val="0"/>
        <w:adjustRightInd w:val="0"/>
        <w:jc w:val="both"/>
        <w:rPr>
          <w:rFonts w:ascii="Arial" w:hAnsi="Arial"/>
          <w:color w:val="1C1C1C"/>
          <w:sz w:val="26"/>
          <w:szCs w:val="26"/>
        </w:rPr>
      </w:pPr>
    </w:p>
    <w:p w:rsidR="004C50DC" w:rsidRPr="00F336C5" w:rsidRDefault="004C50DC" w:rsidP="004C50DC">
      <w:pPr>
        <w:widowControl w:val="0"/>
        <w:autoSpaceDE w:val="0"/>
        <w:autoSpaceDN w:val="0"/>
        <w:adjustRightInd w:val="0"/>
        <w:jc w:val="both"/>
        <w:rPr>
          <w:rFonts w:ascii="Arial" w:hAnsi="Arial"/>
          <w:color w:val="1C1C1C"/>
          <w:sz w:val="26"/>
          <w:szCs w:val="26"/>
        </w:rPr>
      </w:pPr>
      <w:r w:rsidRPr="00F336C5">
        <w:rPr>
          <w:rFonts w:ascii="Arial" w:hAnsi="Arial"/>
          <w:color w:val="1C1C1C"/>
          <w:sz w:val="26"/>
          <w:szCs w:val="26"/>
        </w:rPr>
        <w:t>Les fichiers des Classiques des sciences sociales ne peuvent sans autorisation formelle:</w:t>
      </w:r>
    </w:p>
    <w:p w:rsidR="004C50DC" w:rsidRPr="00F336C5" w:rsidRDefault="004C50DC" w:rsidP="004C50DC">
      <w:pPr>
        <w:widowControl w:val="0"/>
        <w:autoSpaceDE w:val="0"/>
        <w:autoSpaceDN w:val="0"/>
        <w:adjustRightInd w:val="0"/>
        <w:jc w:val="both"/>
        <w:rPr>
          <w:rFonts w:ascii="Arial" w:hAnsi="Arial"/>
          <w:color w:val="1C1C1C"/>
          <w:sz w:val="26"/>
          <w:szCs w:val="26"/>
        </w:rPr>
      </w:pPr>
    </w:p>
    <w:p w:rsidR="004C50DC" w:rsidRPr="00F336C5" w:rsidRDefault="004C50DC" w:rsidP="004C50DC">
      <w:pPr>
        <w:widowControl w:val="0"/>
        <w:autoSpaceDE w:val="0"/>
        <w:autoSpaceDN w:val="0"/>
        <w:adjustRightInd w:val="0"/>
        <w:jc w:val="both"/>
        <w:rPr>
          <w:rFonts w:ascii="Arial" w:hAnsi="Arial"/>
          <w:color w:val="1C1C1C"/>
          <w:sz w:val="26"/>
          <w:szCs w:val="26"/>
        </w:rPr>
      </w:pPr>
      <w:r w:rsidRPr="00F336C5">
        <w:rPr>
          <w:rFonts w:ascii="Arial" w:hAnsi="Arial"/>
          <w:color w:val="1C1C1C"/>
          <w:sz w:val="26"/>
          <w:szCs w:val="26"/>
        </w:rPr>
        <w:t>- être hébergés (en fichier ou page web, en totalité ou en partie) sur un serveur autre que celui des Classiques.</w:t>
      </w:r>
    </w:p>
    <w:p w:rsidR="004C50DC" w:rsidRPr="00F336C5" w:rsidRDefault="004C50DC" w:rsidP="004C50DC">
      <w:pPr>
        <w:widowControl w:val="0"/>
        <w:autoSpaceDE w:val="0"/>
        <w:autoSpaceDN w:val="0"/>
        <w:adjustRightInd w:val="0"/>
        <w:jc w:val="both"/>
        <w:rPr>
          <w:rFonts w:ascii="Arial" w:hAnsi="Arial"/>
          <w:color w:val="1C1C1C"/>
          <w:sz w:val="26"/>
          <w:szCs w:val="26"/>
        </w:rPr>
      </w:pPr>
      <w:r w:rsidRPr="00F336C5">
        <w:rPr>
          <w:rFonts w:ascii="Arial" w:hAnsi="Arial"/>
          <w:color w:val="1C1C1C"/>
          <w:sz w:val="26"/>
          <w:szCs w:val="26"/>
        </w:rPr>
        <w:t>- servir de base de travail à un autre fichier modifié ensuite par tout autre moyen (couleur, police, mise en page, extraits, support, etc...),</w:t>
      </w:r>
    </w:p>
    <w:p w:rsidR="004C50DC" w:rsidRPr="00F336C5" w:rsidRDefault="004C50DC" w:rsidP="004C50DC">
      <w:pPr>
        <w:widowControl w:val="0"/>
        <w:autoSpaceDE w:val="0"/>
        <w:autoSpaceDN w:val="0"/>
        <w:adjustRightInd w:val="0"/>
        <w:jc w:val="both"/>
        <w:rPr>
          <w:rFonts w:ascii="Arial" w:hAnsi="Arial"/>
          <w:color w:val="1C1C1C"/>
          <w:sz w:val="26"/>
          <w:szCs w:val="26"/>
        </w:rPr>
      </w:pPr>
    </w:p>
    <w:p w:rsidR="004C50DC" w:rsidRPr="005E1FF1" w:rsidRDefault="004C50DC">
      <w:pPr>
        <w:widowControl w:val="0"/>
        <w:autoSpaceDE w:val="0"/>
        <w:autoSpaceDN w:val="0"/>
        <w:adjustRightInd w:val="0"/>
        <w:jc w:val="both"/>
        <w:rPr>
          <w:rFonts w:ascii="Arial" w:hAnsi="Arial"/>
          <w:color w:val="1C1C1C"/>
          <w:sz w:val="26"/>
          <w:szCs w:val="26"/>
        </w:rPr>
      </w:pPr>
      <w:r>
        <w:rPr>
          <w:rFonts w:ascii="Arial" w:hAnsi="Arial"/>
          <w:color w:val="1C1C1C"/>
          <w:sz w:val="26"/>
          <w:szCs w:val="26"/>
        </w:rPr>
        <w:t>Les fichiers (.html, .doc, .pdf</w:t>
      </w:r>
      <w:r w:rsidRPr="005E1FF1">
        <w:rPr>
          <w:rFonts w:ascii="Arial" w:hAnsi="Arial"/>
          <w:color w:val="1C1C1C"/>
          <w:sz w:val="26"/>
          <w:szCs w:val="26"/>
        </w:rPr>
        <w:t xml:space="preserve">, .rtf, .jpg, .gif) disponibles sur le site Les Classiques des sciences sociales sont la propriété des </w:t>
      </w:r>
      <w:r w:rsidRPr="00B56B8B">
        <w:rPr>
          <w:rFonts w:ascii="Arial" w:hAnsi="Arial"/>
          <w:b/>
          <w:color w:val="1C1C1C"/>
          <w:sz w:val="26"/>
          <w:szCs w:val="26"/>
        </w:rPr>
        <w:t>Class</w:t>
      </w:r>
      <w:r w:rsidRPr="00B56B8B">
        <w:rPr>
          <w:rFonts w:ascii="Arial" w:hAnsi="Arial"/>
          <w:b/>
          <w:color w:val="1C1C1C"/>
          <w:sz w:val="26"/>
          <w:szCs w:val="26"/>
        </w:rPr>
        <w:t>i</w:t>
      </w:r>
      <w:r w:rsidRPr="00B56B8B">
        <w:rPr>
          <w:rFonts w:ascii="Arial" w:hAnsi="Arial"/>
          <w:b/>
          <w:color w:val="1C1C1C"/>
          <w:sz w:val="26"/>
          <w:szCs w:val="26"/>
        </w:rPr>
        <w:t>ques des sciences sociales</w:t>
      </w:r>
      <w:r w:rsidRPr="005E1FF1">
        <w:rPr>
          <w:rFonts w:ascii="Arial" w:hAnsi="Arial"/>
          <w:color w:val="1C1C1C"/>
          <w:sz w:val="26"/>
          <w:szCs w:val="26"/>
        </w:rPr>
        <w:t>, un organisme à but non lucratif co</w:t>
      </w:r>
      <w:r w:rsidRPr="005E1FF1">
        <w:rPr>
          <w:rFonts w:ascii="Arial" w:hAnsi="Arial"/>
          <w:color w:val="1C1C1C"/>
          <w:sz w:val="26"/>
          <w:szCs w:val="26"/>
        </w:rPr>
        <w:t>m</w:t>
      </w:r>
      <w:r w:rsidRPr="005E1FF1">
        <w:rPr>
          <w:rFonts w:ascii="Arial" w:hAnsi="Arial"/>
          <w:color w:val="1C1C1C"/>
          <w:sz w:val="26"/>
          <w:szCs w:val="26"/>
        </w:rPr>
        <w:t>posé exclusivement de bénévoles.</w:t>
      </w:r>
    </w:p>
    <w:p w:rsidR="004C50DC" w:rsidRPr="005E1FF1" w:rsidRDefault="004C50DC">
      <w:pPr>
        <w:widowControl w:val="0"/>
        <w:autoSpaceDE w:val="0"/>
        <w:autoSpaceDN w:val="0"/>
        <w:adjustRightInd w:val="0"/>
        <w:jc w:val="both"/>
        <w:rPr>
          <w:rFonts w:ascii="Arial" w:hAnsi="Arial"/>
          <w:color w:val="1C1C1C"/>
          <w:sz w:val="26"/>
          <w:szCs w:val="26"/>
        </w:rPr>
      </w:pPr>
    </w:p>
    <w:p w:rsidR="004C50DC" w:rsidRPr="005E1FF1" w:rsidRDefault="004C50DC">
      <w:pPr>
        <w:rPr>
          <w:rFonts w:ascii="Arial" w:hAnsi="Arial"/>
          <w:color w:val="1C1C1C"/>
          <w:sz w:val="26"/>
          <w:szCs w:val="26"/>
        </w:rPr>
      </w:pPr>
      <w:r w:rsidRPr="005E1FF1">
        <w:rPr>
          <w:rFonts w:ascii="Arial" w:hAnsi="Arial"/>
          <w:color w:val="1C1C1C"/>
          <w:sz w:val="26"/>
          <w:szCs w:val="26"/>
        </w:rPr>
        <w:t>Ils sont disponibles pour une utilisation intellectuelle et perso</w:t>
      </w:r>
      <w:r w:rsidRPr="005E1FF1">
        <w:rPr>
          <w:rFonts w:ascii="Arial" w:hAnsi="Arial"/>
          <w:color w:val="1C1C1C"/>
          <w:sz w:val="26"/>
          <w:szCs w:val="26"/>
        </w:rPr>
        <w:t>n</w:t>
      </w:r>
      <w:r w:rsidRPr="005E1FF1">
        <w:rPr>
          <w:rFonts w:ascii="Arial" w:hAnsi="Arial"/>
          <w:color w:val="1C1C1C"/>
          <w:sz w:val="26"/>
          <w:szCs w:val="26"/>
        </w:rPr>
        <w:t>ne</w:t>
      </w:r>
      <w:r w:rsidRPr="005E1FF1">
        <w:rPr>
          <w:rFonts w:ascii="Arial" w:hAnsi="Arial"/>
          <w:color w:val="1C1C1C"/>
          <w:sz w:val="26"/>
          <w:szCs w:val="26"/>
        </w:rPr>
        <w:t>l</w:t>
      </w:r>
      <w:r w:rsidRPr="005E1FF1">
        <w:rPr>
          <w:rFonts w:ascii="Arial" w:hAnsi="Arial"/>
          <w:color w:val="1C1C1C"/>
          <w:sz w:val="26"/>
          <w:szCs w:val="26"/>
        </w:rPr>
        <w:t>le et, en aucun cas, commerciale.</w:t>
      </w:r>
      <w:r w:rsidRPr="00B56B8B">
        <w:rPr>
          <w:rFonts w:ascii="Arial" w:hAnsi="Arial"/>
          <w:color w:val="1C1C1C"/>
          <w:sz w:val="26"/>
          <w:szCs w:val="26"/>
        </w:rPr>
        <w:t xml:space="preserve"> </w:t>
      </w:r>
      <w:r w:rsidRPr="005E1FF1">
        <w:rPr>
          <w:rFonts w:ascii="Arial" w:hAnsi="Arial"/>
          <w:color w:val="1C1C1C"/>
          <w:sz w:val="26"/>
          <w:szCs w:val="26"/>
        </w:rPr>
        <w:t>Toute utilisation à des fins co</w:t>
      </w:r>
      <w:r w:rsidRPr="005E1FF1">
        <w:rPr>
          <w:rFonts w:ascii="Arial" w:hAnsi="Arial"/>
          <w:color w:val="1C1C1C"/>
          <w:sz w:val="26"/>
          <w:szCs w:val="26"/>
        </w:rPr>
        <w:t>m</w:t>
      </w:r>
      <w:r w:rsidRPr="005E1FF1">
        <w:rPr>
          <w:rFonts w:ascii="Arial" w:hAnsi="Arial"/>
          <w:color w:val="1C1C1C"/>
          <w:sz w:val="26"/>
          <w:szCs w:val="26"/>
        </w:rPr>
        <w:t>merciales des fichiers sur ce site est strictement interdite et toute rediffusion est également strictement interdite.</w:t>
      </w:r>
    </w:p>
    <w:p w:rsidR="004C50DC" w:rsidRPr="005E1FF1" w:rsidRDefault="004C50DC">
      <w:pPr>
        <w:rPr>
          <w:rFonts w:ascii="Arial" w:hAnsi="Arial"/>
          <w:b/>
          <w:color w:val="1C1C1C"/>
          <w:sz w:val="26"/>
          <w:szCs w:val="26"/>
        </w:rPr>
      </w:pPr>
    </w:p>
    <w:p w:rsidR="004C50DC" w:rsidRPr="00A51D9C" w:rsidRDefault="004C50DC">
      <w:pPr>
        <w:rPr>
          <w:rFonts w:ascii="Arial" w:hAnsi="Arial"/>
          <w:b/>
          <w:color w:val="1C1C1C"/>
          <w:sz w:val="26"/>
          <w:szCs w:val="26"/>
        </w:rPr>
      </w:pPr>
      <w:r w:rsidRPr="00A51D9C">
        <w:rPr>
          <w:rFonts w:ascii="Arial" w:hAnsi="Arial"/>
          <w:b/>
          <w:color w:val="1C1C1C"/>
          <w:sz w:val="26"/>
          <w:szCs w:val="26"/>
        </w:rPr>
        <w:t>L'accès à notre travail est libre et gratuit à tous les utilis</w:t>
      </w:r>
      <w:r w:rsidRPr="00A51D9C">
        <w:rPr>
          <w:rFonts w:ascii="Arial" w:hAnsi="Arial"/>
          <w:b/>
          <w:color w:val="1C1C1C"/>
          <w:sz w:val="26"/>
          <w:szCs w:val="26"/>
        </w:rPr>
        <w:t>a</w:t>
      </w:r>
      <w:r w:rsidRPr="00A51D9C">
        <w:rPr>
          <w:rFonts w:ascii="Arial" w:hAnsi="Arial"/>
          <w:b/>
          <w:color w:val="1C1C1C"/>
          <w:sz w:val="26"/>
          <w:szCs w:val="26"/>
        </w:rPr>
        <w:t>teurs. C'est notre mission.</w:t>
      </w:r>
    </w:p>
    <w:p w:rsidR="004C50DC" w:rsidRPr="005E1FF1" w:rsidRDefault="004C50DC">
      <w:pPr>
        <w:rPr>
          <w:rFonts w:ascii="Arial" w:hAnsi="Arial"/>
          <w:b/>
          <w:color w:val="1C1C1C"/>
          <w:sz w:val="26"/>
          <w:szCs w:val="26"/>
        </w:rPr>
      </w:pPr>
    </w:p>
    <w:p w:rsidR="004C50DC" w:rsidRPr="005E1FF1" w:rsidRDefault="004C50DC">
      <w:pPr>
        <w:rPr>
          <w:rFonts w:ascii="Arial" w:hAnsi="Arial"/>
          <w:color w:val="1C1C1C"/>
          <w:sz w:val="26"/>
          <w:szCs w:val="26"/>
        </w:rPr>
      </w:pPr>
      <w:r w:rsidRPr="005E1FF1">
        <w:rPr>
          <w:rFonts w:ascii="Arial" w:hAnsi="Arial"/>
          <w:color w:val="1C1C1C"/>
          <w:sz w:val="26"/>
          <w:szCs w:val="26"/>
        </w:rPr>
        <w:t>Jean-Marie Tremblay, sociologue</w:t>
      </w:r>
    </w:p>
    <w:p w:rsidR="004C50DC" w:rsidRPr="005E1FF1" w:rsidRDefault="004C50DC">
      <w:pPr>
        <w:rPr>
          <w:rFonts w:ascii="Arial" w:hAnsi="Arial"/>
          <w:color w:val="1C1C1C"/>
          <w:sz w:val="26"/>
          <w:szCs w:val="26"/>
        </w:rPr>
      </w:pPr>
      <w:r w:rsidRPr="005E1FF1">
        <w:rPr>
          <w:rFonts w:ascii="Arial" w:hAnsi="Arial"/>
          <w:color w:val="1C1C1C"/>
          <w:sz w:val="26"/>
          <w:szCs w:val="26"/>
        </w:rPr>
        <w:t>Fondateur et Président-directeur général,</w:t>
      </w:r>
    </w:p>
    <w:p w:rsidR="004C50DC" w:rsidRPr="005E1FF1" w:rsidRDefault="004C50DC">
      <w:pPr>
        <w:rPr>
          <w:rFonts w:ascii="Arial" w:hAnsi="Arial"/>
          <w:color w:val="000080"/>
        </w:rPr>
      </w:pPr>
      <w:r w:rsidRPr="005E1FF1">
        <w:rPr>
          <w:rFonts w:ascii="Arial" w:hAnsi="Arial"/>
          <w:color w:val="000080"/>
          <w:sz w:val="26"/>
          <w:szCs w:val="26"/>
        </w:rPr>
        <w:t>LES CLASSIQUES DES SCIENCES SOCIALES.</w:t>
      </w:r>
    </w:p>
    <w:p w:rsidR="004C50DC" w:rsidRPr="00572EEF" w:rsidRDefault="004C50DC" w:rsidP="004C50DC">
      <w:pPr>
        <w:ind w:firstLine="0"/>
        <w:jc w:val="both"/>
        <w:rPr>
          <w:sz w:val="24"/>
          <w:lang w:bidi="ar-SA"/>
        </w:rPr>
      </w:pPr>
      <w:r>
        <w:br w:type="page"/>
      </w:r>
      <w:r w:rsidRPr="00572EEF">
        <w:rPr>
          <w:sz w:val="24"/>
          <w:lang w:bidi="ar-SA"/>
        </w:rPr>
        <w:lastRenderedPageBreak/>
        <w:t>Un document produit en version numérique par Jean-Marie Tremblay, bénévole, professeur associé, Université du Québec à Chicoutimi</w:t>
      </w:r>
    </w:p>
    <w:p w:rsidR="004C50DC" w:rsidRPr="00572EEF" w:rsidRDefault="004C50DC" w:rsidP="004C50DC">
      <w:pPr>
        <w:ind w:firstLine="0"/>
        <w:jc w:val="both"/>
        <w:rPr>
          <w:sz w:val="24"/>
          <w:lang w:bidi="ar-SA"/>
        </w:rPr>
      </w:pPr>
      <w:r w:rsidRPr="00572EEF">
        <w:rPr>
          <w:sz w:val="24"/>
          <w:lang w:bidi="ar-SA"/>
        </w:rPr>
        <w:t xml:space="preserve">Courriel: </w:t>
      </w:r>
      <w:hyperlink r:id="rId12" w:history="1">
        <w:r w:rsidRPr="00572EEF">
          <w:rPr>
            <w:rStyle w:val="Lienhypertexte"/>
            <w:sz w:val="24"/>
            <w:lang w:bidi="ar-SA"/>
          </w:rPr>
          <w:t>jean-marie_tremblay@uqac.ca</w:t>
        </w:r>
      </w:hyperlink>
      <w:r w:rsidRPr="00572EEF">
        <w:rPr>
          <w:sz w:val="24"/>
          <w:lang w:bidi="ar-SA"/>
        </w:rPr>
        <w:t xml:space="preserve"> </w:t>
      </w:r>
    </w:p>
    <w:p w:rsidR="004C50DC" w:rsidRPr="00572EEF" w:rsidRDefault="004C50DC" w:rsidP="004C50DC">
      <w:pPr>
        <w:ind w:left="20" w:hanging="20"/>
        <w:jc w:val="both"/>
        <w:rPr>
          <w:sz w:val="24"/>
        </w:rPr>
      </w:pPr>
      <w:r w:rsidRPr="00572EEF">
        <w:rPr>
          <w:sz w:val="24"/>
          <w:lang w:bidi="ar-SA"/>
        </w:rPr>
        <w:t xml:space="preserve">Site web pédagogique : </w:t>
      </w:r>
      <w:hyperlink r:id="rId13" w:history="1">
        <w:r w:rsidRPr="00572EEF">
          <w:rPr>
            <w:rStyle w:val="Lienhypertexte"/>
            <w:sz w:val="24"/>
            <w:lang w:bidi="ar-SA"/>
          </w:rPr>
          <w:t>http://jmt-sociologue.uqac.ca/</w:t>
        </w:r>
      </w:hyperlink>
    </w:p>
    <w:p w:rsidR="004C50DC" w:rsidRPr="00572EEF" w:rsidRDefault="004C50DC" w:rsidP="004C50DC">
      <w:pPr>
        <w:ind w:left="20" w:hanging="20"/>
        <w:jc w:val="both"/>
        <w:rPr>
          <w:sz w:val="24"/>
        </w:rPr>
      </w:pPr>
      <w:r w:rsidRPr="00572EEF">
        <w:rPr>
          <w:sz w:val="24"/>
        </w:rPr>
        <w:t>à partir du texte de :</w:t>
      </w:r>
    </w:p>
    <w:p w:rsidR="004C50DC" w:rsidRDefault="004C50DC" w:rsidP="004C50DC">
      <w:pPr>
        <w:ind w:left="20"/>
        <w:jc w:val="both"/>
      </w:pPr>
    </w:p>
    <w:p w:rsidR="004C50DC" w:rsidRPr="0058603D" w:rsidRDefault="004C50DC">
      <w:pPr>
        <w:ind w:left="20" w:firstLine="340"/>
        <w:jc w:val="both"/>
      </w:pPr>
    </w:p>
    <w:p w:rsidR="004C50DC" w:rsidRPr="0058603D" w:rsidRDefault="004C50DC">
      <w:pPr>
        <w:ind w:left="20" w:firstLine="340"/>
        <w:jc w:val="both"/>
      </w:pPr>
      <w:r>
        <w:t>Jean Ronald AUGUSTIN</w:t>
      </w:r>
    </w:p>
    <w:p w:rsidR="004C50DC" w:rsidRPr="0058603D" w:rsidRDefault="004C50DC">
      <w:pPr>
        <w:ind w:left="20" w:firstLine="340"/>
        <w:jc w:val="both"/>
      </w:pPr>
    </w:p>
    <w:p w:rsidR="004C50DC" w:rsidRPr="00EF76C4" w:rsidRDefault="004C50DC" w:rsidP="004C50DC">
      <w:pPr>
        <w:jc w:val="both"/>
        <w:rPr>
          <w:b/>
          <w:color w:val="FF0000"/>
        </w:rPr>
      </w:pPr>
      <w:r w:rsidRPr="00EF76C4">
        <w:rPr>
          <w:b/>
          <w:color w:val="FF0000"/>
        </w:rPr>
        <w:t>Mémoire de l’esclavage en Haïti.</w:t>
      </w:r>
      <w:r>
        <w:rPr>
          <w:b/>
          <w:color w:val="FF0000"/>
        </w:rPr>
        <w:t xml:space="preserve"> </w:t>
      </w:r>
      <w:r w:rsidRPr="00EF76C4">
        <w:rPr>
          <w:b/>
          <w:color w:val="FF0000"/>
        </w:rPr>
        <w:t>Entrecroisement des mémo</w:t>
      </w:r>
      <w:r w:rsidRPr="00EF76C4">
        <w:rPr>
          <w:b/>
          <w:color w:val="FF0000"/>
        </w:rPr>
        <w:t>i</w:t>
      </w:r>
      <w:r w:rsidRPr="00EF76C4">
        <w:rPr>
          <w:b/>
          <w:color w:val="FF0000"/>
        </w:rPr>
        <w:t>res</w:t>
      </w:r>
      <w:r>
        <w:rPr>
          <w:b/>
          <w:color w:val="FF0000"/>
        </w:rPr>
        <w:t xml:space="preserve"> </w:t>
      </w:r>
      <w:r w:rsidRPr="00EF76C4">
        <w:rPr>
          <w:b/>
          <w:color w:val="FF0000"/>
        </w:rPr>
        <w:t>et enjeux de la patrimonialisation.</w:t>
      </w:r>
    </w:p>
    <w:p w:rsidR="004C50DC" w:rsidRPr="0058603D" w:rsidRDefault="004C50DC">
      <w:pPr>
        <w:jc w:val="both"/>
      </w:pPr>
    </w:p>
    <w:p w:rsidR="004C50DC" w:rsidRPr="00C90835" w:rsidRDefault="004C50DC">
      <w:pPr>
        <w:jc w:val="both"/>
      </w:pPr>
      <w:r>
        <w:rPr>
          <w:szCs w:val="36"/>
        </w:rPr>
        <w:t>Thèse de doctorat en ethnologie et patrimoine, Université Laval, Québec, 2016, 543 pp. Sous la direction de Laurier Turgeon. Me</w:t>
      </w:r>
      <w:r>
        <w:rPr>
          <w:szCs w:val="36"/>
        </w:rPr>
        <w:t>m</w:t>
      </w:r>
      <w:r>
        <w:rPr>
          <w:szCs w:val="36"/>
        </w:rPr>
        <w:t>bres du jury : Laennec Hurbon, Maximilien Laroche et Hérold Tou</w:t>
      </w:r>
      <w:r>
        <w:rPr>
          <w:szCs w:val="36"/>
        </w:rPr>
        <w:t>s</w:t>
      </w:r>
      <w:r>
        <w:rPr>
          <w:szCs w:val="36"/>
        </w:rPr>
        <w:t>saint.</w:t>
      </w:r>
    </w:p>
    <w:p w:rsidR="004C50DC" w:rsidRDefault="004C50DC">
      <w:pPr>
        <w:jc w:val="both"/>
      </w:pPr>
    </w:p>
    <w:p w:rsidR="004C50DC" w:rsidRPr="00753781" w:rsidRDefault="004C50DC" w:rsidP="004C50DC">
      <w:pPr>
        <w:ind w:left="20"/>
        <w:jc w:val="both"/>
        <w:rPr>
          <w:sz w:val="24"/>
        </w:rPr>
      </w:pPr>
      <w:r w:rsidRPr="00753781">
        <w:rPr>
          <w:sz w:val="24"/>
        </w:rPr>
        <w:t xml:space="preserve">[Autorisation formelle accordée par l’auteur le </w:t>
      </w:r>
      <w:r>
        <w:rPr>
          <w:sz w:val="24"/>
        </w:rPr>
        <w:t>17 avril 2019</w:t>
      </w:r>
      <w:r w:rsidRPr="00753781">
        <w:rPr>
          <w:sz w:val="24"/>
        </w:rPr>
        <w:t xml:space="preserve"> de diffuser </w:t>
      </w:r>
      <w:r>
        <w:rPr>
          <w:sz w:val="24"/>
        </w:rPr>
        <w:t>sa thèse de doctorat, en accès libre</w:t>
      </w:r>
      <w:r w:rsidRPr="00753781">
        <w:rPr>
          <w:sz w:val="24"/>
        </w:rPr>
        <w:t xml:space="preserve"> dans Les Classiques des sciences sociales.]</w:t>
      </w:r>
    </w:p>
    <w:p w:rsidR="004C50DC" w:rsidRPr="00753781" w:rsidRDefault="004C50DC" w:rsidP="004C50DC">
      <w:pPr>
        <w:jc w:val="both"/>
        <w:rPr>
          <w:sz w:val="24"/>
        </w:rPr>
      </w:pPr>
    </w:p>
    <w:p w:rsidR="004C50DC" w:rsidRDefault="009B614B" w:rsidP="004C50DC">
      <w:pPr>
        <w:tabs>
          <w:tab w:val="left" w:pos="4950"/>
        </w:tabs>
        <w:ind w:firstLine="0"/>
        <w:jc w:val="both"/>
        <w:rPr>
          <w:sz w:val="24"/>
        </w:rPr>
      </w:pPr>
      <w:r w:rsidRPr="00753781">
        <w:rPr>
          <w:noProof/>
          <w:sz w:val="24"/>
        </w:rPr>
        <w:drawing>
          <wp:inline distT="0" distB="0" distL="0" distR="0">
            <wp:extent cx="258445" cy="258445"/>
            <wp:effectExtent l="0" t="0" r="0" b="0"/>
            <wp:docPr id="3" name="Image 3" descr="Boite_aux_lettres_cl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oite_aux_lettres_clair"/>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445" cy="258445"/>
                    </a:xfrm>
                    <a:prstGeom prst="rect">
                      <a:avLst/>
                    </a:prstGeom>
                    <a:noFill/>
                    <a:ln>
                      <a:noFill/>
                    </a:ln>
                  </pic:spPr>
                </pic:pic>
              </a:graphicData>
            </a:graphic>
          </wp:inline>
        </w:drawing>
      </w:r>
      <w:r w:rsidR="004C50DC" w:rsidRPr="00753781">
        <w:rPr>
          <w:sz w:val="24"/>
        </w:rPr>
        <w:t xml:space="preserve"> Courriel</w:t>
      </w:r>
      <w:r w:rsidR="004C50DC">
        <w:rPr>
          <w:sz w:val="24"/>
        </w:rPr>
        <w:t xml:space="preserve">s : </w:t>
      </w:r>
      <w:r w:rsidR="004C50DC" w:rsidRPr="00EF76C4">
        <w:rPr>
          <w:sz w:val="24"/>
        </w:rPr>
        <w:t>Jean Ronald AUGUSTIN</w:t>
      </w:r>
      <w:r w:rsidR="004C50DC">
        <w:rPr>
          <w:sz w:val="24"/>
        </w:rPr>
        <w:t xml:space="preserve"> : </w:t>
      </w:r>
      <w:hyperlink r:id="rId15" w:history="1">
        <w:r w:rsidR="004C50DC" w:rsidRPr="00107601">
          <w:rPr>
            <w:rStyle w:val="Lienhypertexte"/>
            <w:sz w:val="24"/>
          </w:rPr>
          <w:t>jeanronaldaugustin@gmail.com</w:t>
        </w:r>
      </w:hyperlink>
      <w:r w:rsidR="004C50DC">
        <w:rPr>
          <w:sz w:val="24"/>
        </w:rPr>
        <w:t xml:space="preserve"> </w:t>
      </w:r>
    </w:p>
    <w:p w:rsidR="004C50DC" w:rsidRPr="00753781" w:rsidRDefault="004C50DC" w:rsidP="004C50DC">
      <w:pPr>
        <w:tabs>
          <w:tab w:val="left" w:pos="4950"/>
        </w:tabs>
        <w:ind w:firstLine="0"/>
        <w:jc w:val="both"/>
        <w:rPr>
          <w:sz w:val="24"/>
        </w:rPr>
      </w:pPr>
      <w:r>
        <w:rPr>
          <w:sz w:val="24"/>
        </w:rPr>
        <w:t xml:space="preserve">Ricarson DORCE, Dir. Coll. Études haïtiennes : </w:t>
      </w:r>
      <w:hyperlink r:id="rId16" w:history="1">
        <w:r w:rsidRPr="00EC58EE">
          <w:rPr>
            <w:rStyle w:val="Lienhypertexte"/>
            <w:sz w:val="24"/>
          </w:rPr>
          <w:t>dorce87@yahoo.fr</w:t>
        </w:r>
      </w:hyperlink>
      <w:r>
        <w:rPr>
          <w:sz w:val="24"/>
        </w:rPr>
        <w:t xml:space="preserve"> </w:t>
      </w:r>
    </w:p>
    <w:p w:rsidR="004C50DC" w:rsidRDefault="004C50DC" w:rsidP="004C50DC">
      <w:pPr>
        <w:ind w:firstLine="0"/>
        <w:rPr>
          <w:sz w:val="24"/>
        </w:rPr>
      </w:pPr>
      <w:r>
        <w:rPr>
          <w:sz w:val="24"/>
        </w:rPr>
        <w:t>Florence Piron, prés. Association science et bien commun :</w:t>
      </w:r>
    </w:p>
    <w:p w:rsidR="004C50DC" w:rsidRDefault="004C50DC" w:rsidP="004C50DC">
      <w:pPr>
        <w:tabs>
          <w:tab w:val="left" w:pos="1530"/>
        </w:tabs>
        <w:ind w:firstLine="0"/>
        <w:rPr>
          <w:sz w:val="24"/>
        </w:rPr>
      </w:pPr>
      <w:r>
        <w:rPr>
          <w:sz w:val="24"/>
        </w:rPr>
        <w:tab/>
      </w:r>
      <w:r>
        <w:rPr>
          <w:sz w:val="24"/>
        </w:rPr>
        <w:fldChar w:fldCharType="begin"/>
      </w:r>
      <w:r>
        <w:rPr>
          <w:sz w:val="24"/>
        </w:rPr>
        <w:instrText xml:space="preserve"> </w:instrText>
      </w:r>
      <w:r w:rsidR="00EF1554">
        <w:rPr>
          <w:sz w:val="24"/>
        </w:rPr>
        <w:instrText>HYPERLINK</w:instrText>
      </w:r>
      <w:r>
        <w:rPr>
          <w:sz w:val="24"/>
        </w:rPr>
        <w:instrText xml:space="preserve"> "mailto:</w:instrText>
      </w:r>
      <w:r w:rsidRPr="00EA4003">
        <w:rPr>
          <w:sz w:val="24"/>
        </w:rPr>
        <w:instrText>Florence.Piron@com.ulaval.ca</w:instrText>
      </w:r>
      <w:r>
        <w:rPr>
          <w:sz w:val="24"/>
        </w:rPr>
        <w:instrText xml:space="preserve">" </w:instrText>
      </w:r>
      <w:r w:rsidRPr="00B404E8">
        <w:rPr>
          <w:sz w:val="24"/>
        </w:rPr>
      </w:r>
      <w:r>
        <w:rPr>
          <w:sz w:val="24"/>
        </w:rPr>
        <w:fldChar w:fldCharType="separate"/>
      </w:r>
      <w:r w:rsidRPr="00EC58EE">
        <w:rPr>
          <w:rStyle w:val="Lienhypertexte"/>
          <w:sz w:val="24"/>
        </w:rPr>
        <w:t>Flore</w:t>
      </w:r>
      <w:r w:rsidRPr="00EC58EE">
        <w:rPr>
          <w:rStyle w:val="Lienhypertexte"/>
          <w:sz w:val="24"/>
        </w:rPr>
        <w:t>n</w:t>
      </w:r>
      <w:r w:rsidRPr="00EC58EE">
        <w:rPr>
          <w:rStyle w:val="Lienhypertexte"/>
          <w:sz w:val="24"/>
        </w:rPr>
        <w:t>ce.Piron@com.ulaval.ca</w:t>
      </w:r>
      <w:r>
        <w:rPr>
          <w:sz w:val="24"/>
        </w:rPr>
        <w:fldChar w:fldCharType="end"/>
      </w:r>
    </w:p>
    <w:p w:rsidR="004C50DC" w:rsidRPr="00753781" w:rsidRDefault="004C50DC">
      <w:pPr>
        <w:ind w:right="1800"/>
        <w:jc w:val="both"/>
        <w:rPr>
          <w:sz w:val="24"/>
        </w:rPr>
      </w:pPr>
    </w:p>
    <w:p w:rsidR="004C50DC" w:rsidRPr="00753781" w:rsidRDefault="004C50DC">
      <w:pPr>
        <w:ind w:right="1800" w:firstLine="0"/>
        <w:jc w:val="both"/>
        <w:rPr>
          <w:sz w:val="24"/>
        </w:rPr>
      </w:pPr>
      <w:r w:rsidRPr="00753781">
        <w:rPr>
          <w:sz w:val="24"/>
        </w:rPr>
        <w:t>Polices de caractères utilisée :</w:t>
      </w:r>
    </w:p>
    <w:p w:rsidR="004C50DC" w:rsidRPr="00753781" w:rsidRDefault="004C50DC">
      <w:pPr>
        <w:ind w:right="1800" w:firstLine="0"/>
        <w:jc w:val="both"/>
        <w:rPr>
          <w:sz w:val="24"/>
        </w:rPr>
      </w:pPr>
    </w:p>
    <w:p w:rsidR="004C50DC" w:rsidRPr="00753781" w:rsidRDefault="004C50DC" w:rsidP="004C50DC">
      <w:pPr>
        <w:ind w:left="360" w:right="360" w:firstLine="0"/>
        <w:jc w:val="both"/>
        <w:rPr>
          <w:sz w:val="24"/>
        </w:rPr>
      </w:pPr>
      <w:r w:rsidRPr="00753781">
        <w:rPr>
          <w:sz w:val="24"/>
        </w:rPr>
        <w:t>Pour le texte: Times New Roman, 14 points.</w:t>
      </w:r>
    </w:p>
    <w:p w:rsidR="004C50DC" w:rsidRPr="00753781" w:rsidRDefault="004C50DC" w:rsidP="004C50DC">
      <w:pPr>
        <w:ind w:left="360" w:right="360" w:firstLine="0"/>
        <w:jc w:val="both"/>
        <w:rPr>
          <w:sz w:val="24"/>
        </w:rPr>
      </w:pPr>
      <w:r w:rsidRPr="00753781">
        <w:rPr>
          <w:sz w:val="24"/>
        </w:rPr>
        <w:t>Pour les notes de bas de page : Times New Roman, 12 points.</w:t>
      </w:r>
    </w:p>
    <w:p w:rsidR="004C50DC" w:rsidRPr="00753781" w:rsidRDefault="004C50DC">
      <w:pPr>
        <w:ind w:left="360" w:right="1800" w:firstLine="0"/>
        <w:jc w:val="both"/>
        <w:rPr>
          <w:sz w:val="24"/>
        </w:rPr>
      </w:pPr>
    </w:p>
    <w:p w:rsidR="004C50DC" w:rsidRPr="00753781" w:rsidRDefault="004C50DC">
      <w:pPr>
        <w:ind w:right="360" w:firstLine="0"/>
        <w:jc w:val="both"/>
        <w:rPr>
          <w:sz w:val="24"/>
        </w:rPr>
      </w:pPr>
      <w:r w:rsidRPr="00753781">
        <w:rPr>
          <w:sz w:val="24"/>
        </w:rPr>
        <w:t>Édition électronique réalisée avec le traitement de textes Microsoft Word 2008 pour Macintosh.</w:t>
      </w:r>
    </w:p>
    <w:p w:rsidR="004C50DC" w:rsidRPr="00753781" w:rsidRDefault="004C50DC">
      <w:pPr>
        <w:ind w:right="1800" w:firstLine="0"/>
        <w:jc w:val="both"/>
        <w:rPr>
          <w:sz w:val="24"/>
        </w:rPr>
      </w:pPr>
    </w:p>
    <w:p w:rsidR="004C50DC" w:rsidRPr="00753781" w:rsidRDefault="004C50DC" w:rsidP="004C50DC">
      <w:pPr>
        <w:ind w:right="540" w:firstLine="0"/>
        <w:jc w:val="both"/>
        <w:rPr>
          <w:sz w:val="24"/>
        </w:rPr>
      </w:pPr>
      <w:r w:rsidRPr="00753781">
        <w:rPr>
          <w:sz w:val="24"/>
        </w:rPr>
        <w:t>Mise en page sur papier format : LETTRE US, 8.5’’ x 11’’.</w:t>
      </w:r>
    </w:p>
    <w:p w:rsidR="004C50DC" w:rsidRPr="00753781" w:rsidRDefault="004C50DC">
      <w:pPr>
        <w:ind w:right="1800" w:firstLine="0"/>
        <w:jc w:val="both"/>
        <w:rPr>
          <w:sz w:val="24"/>
        </w:rPr>
      </w:pPr>
    </w:p>
    <w:p w:rsidR="004C50DC" w:rsidRPr="00753781" w:rsidRDefault="004C50DC" w:rsidP="004C50DC">
      <w:pPr>
        <w:ind w:firstLine="0"/>
        <w:jc w:val="both"/>
        <w:rPr>
          <w:sz w:val="24"/>
        </w:rPr>
      </w:pPr>
      <w:r w:rsidRPr="00753781">
        <w:rPr>
          <w:sz w:val="24"/>
        </w:rPr>
        <w:t xml:space="preserve">Édition numérique réalisée le </w:t>
      </w:r>
      <w:r>
        <w:rPr>
          <w:sz w:val="24"/>
        </w:rPr>
        <w:t>22 avril 2019 à Chicoutimi</w:t>
      </w:r>
      <w:r w:rsidRPr="00753781">
        <w:rPr>
          <w:sz w:val="24"/>
        </w:rPr>
        <w:t>, Québec.</w:t>
      </w:r>
    </w:p>
    <w:p w:rsidR="004C50DC" w:rsidRPr="00753781" w:rsidRDefault="004C50DC">
      <w:pPr>
        <w:ind w:right="1800" w:firstLine="0"/>
        <w:jc w:val="both"/>
        <w:rPr>
          <w:sz w:val="24"/>
        </w:rPr>
      </w:pPr>
    </w:p>
    <w:p w:rsidR="004C50DC" w:rsidRPr="00753781" w:rsidRDefault="009B614B">
      <w:pPr>
        <w:ind w:right="1800" w:firstLine="0"/>
        <w:jc w:val="both"/>
        <w:rPr>
          <w:sz w:val="24"/>
        </w:rPr>
      </w:pPr>
      <w:r w:rsidRPr="00753781">
        <w:rPr>
          <w:noProof/>
          <w:sz w:val="24"/>
        </w:rPr>
        <w:drawing>
          <wp:inline distT="0" distB="0" distL="0" distR="0">
            <wp:extent cx="1118870" cy="398145"/>
            <wp:effectExtent l="0" t="0" r="0" b="0"/>
            <wp:docPr id="4" name="Image 4" descr="fait_sur_m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ait_sur_mac"/>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8870" cy="398145"/>
                    </a:xfrm>
                    <a:prstGeom prst="rect">
                      <a:avLst/>
                    </a:prstGeom>
                    <a:noFill/>
                    <a:ln>
                      <a:noFill/>
                    </a:ln>
                  </pic:spPr>
                </pic:pic>
              </a:graphicData>
            </a:graphic>
          </wp:inline>
        </w:drawing>
      </w:r>
    </w:p>
    <w:p w:rsidR="004C50DC" w:rsidRDefault="004C50DC" w:rsidP="004C50DC">
      <w:pPr>
        <w:ind w:left="20"/>
        <w:jc w:val="both"/>
      </w:pPr>
      <w:r>
        <w:br w:type="page"/>
      </w:r>
    </w:p>
    <w:p w:rsidR="004C50DC" w:rsidRDefault="004C50DC" w:rsidP="004C50DC">
      <w:pPr>
        <w:ind w:left="20"/>
        <w:jc w:val="both"/>
        <w:rPr>
          <w:rFonts w:ascii="Verdana" w:hAnsi="Verdana"/>
        </w:rPr>
      </w:pPr>
    </w:p>
    <w:p w:rsidR="004C50DC" w:rsidRDefault="004C50DC" w:rsidP="004C50DC">
      <w:pPr>
        <w:ind w:left="20"/>
        <w:jc w:val="both"/>
      </w:pPr>
    </w:p>
    <w:p w:rsidR="004C50DC" w:rsidRDefault="004C50DC" w:rsidP="004C50DC">
      <w:pPr>
        <w:ind w:left="20"/>
        <w:jc w:val="both"/>
        <w:rPr>
          <w:rFonts w:ascii="Verdana" w:hAnsi="Verdana"/>
        </w:rPr>
      </w:pPr>
      <w:r>
        <w:rPr>
          <w:rFonts w:ascii="Verdana" w:hAnsi="Verdana"/>
        </w:rPr>
        <w:t>Merci aux universitaires bénévoles</w:t>
      </w:r>
      <w:r>
        <w:rPr>
          <w:rFonts w:ascii="Verdana" w:hAnsi="Verdana"/>
        </w:rPr>
        <w:br/>
        <w:t>regroupés en association sous le nom de:</w:t>
      </w:r>
    </w:p>
    <w:p w:rsidR="004C50DC" w:rsidRDefault="004C50DC" w:rsidP="004C50DC">
      <w:pPr>
        <w:ind w:left="20"/>
        <w:jc w:val="both"/>
        <w:rPr>
          <w:rFonts w:ascii="Verdana" w:hAnsi="Verdana"/>
        </w:rPr>
      </w:pPr>
    </w:p>
    <w:p w:rsidR="004C50DC" w:rsidRDefault="009B614B" w:rsidP="004C50DC">
      <w:pPr>
        <w:ind w:left="20"/>
        <w:jc w:val="both"/>
        <w:rPr>
          <w:rFonts w:ascii="Verdana" w:hAnsi="Verdana"/>
        </w:rPr>
      </w:pPr>
      <w:r>
        <w:rPr>
          <w:noProof/>
          <w:lang w:val="fr-FR"/>
        </w:rPr>
        <w:drawing>
          <wp:anchor distT="0" distB="0" distL="114300" distR="114300" simplePos="0" relativeHeight="251657728" behindDoc="0" locked="0" layoutInCell="1" allowOverlap="1">
            <wp:simplePos x="0" y="0"/>
            <wp:positionH relativeFrom="column">
              <wp:posOffset>3023235</wp:posOffset>
            </wp:positionH>
            <wp:positionV relativeFrom="paragraph">
              <wp:posOffset>534035</wp:posOffset>
            </wp:positionV>
            <wp:extent cx="2032000" cy="2032000"/>
            <wp:effectExtent l="0" t="0" r="0" b="0"/>
            <wp:wrapSquare wrapText="bothSides"/>
            <wp:docPr id="67" name="Image 6" descr="Reseau_benevoles_Classiques_hai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Reseau_benevoles_Classiques_haiti"/>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2000" cy="20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0DC">
        <w:rPr>
          <w:rStyle w:val="lev"/>
          <w:rFonts w:ascii="Verdana" w:hAnsi="Verdana"/>
          <w:color w:val="CC0000"/>
        </w:rPr>
        <w:t>Réseau des jeunes bénévoles</w:t>
      </w:r>
      <w:r w:rsidR="004C50DC">
        <w:rPr>
          <w:rFonts w:ascii="Verdana" w:hAnsi="Verdana"/>
          <w:b/>
          <w:color w:val="CC0000"/>
        </w:rPr>
        <w:br/>
      </w:r>
      <w:r w:rsidR="004C50DC">
        <w:rPr>
          <w:rStyle w:val="lev"/>
          <w:rFonts w:ascii="Verdana" w:hAnsi="Verdana"/>
          <w:color w:val="CC0000"/>
        </w:rPr>
        <w:t>des Classiques des sciences sociales</w:t>
      </w:r>
      <w:r w:rsidR="004C50DC">
        <w:rPr>
          <w:rFonts w:ascii="Verdana" w:hAnsi="Verdana"/>
          <w:b/>
          <w:color w:val="CC0000"/>
        </w:rPr>
        <w:br/>
      </w:r>
      <w:r w:rsidR="004C50DC">
        <w:rPr>
          <w:rStyle w:val="lev"/>
          <w:rFonts w:ascii="Verdana" w:hAnsi="Verdana"/>
          <w:color w:val="CC0000"/>
        </w:rPr>
        <w:t>en Haïti</w:t>
      </w:r>
      <w:r w:rsidR="004C50DC">
        <w:rPr>
          <w:rFonts w:ascii="Verdana" w:hAnsi="Verdana"/>
        </w:rPr>
        <w:t>.</w:t>
      </w:r>
    </w:p>
    <w:p w:rsidR="004C50DC" w:rsidRDefault="004C50DC" w:rsidP="004C50DC">
      <w:pPr>
        <w:ind w:left="20"/>
        <w:jc w:val="both"/>
        <w:rPr>
          <w:rFonts w:ascii="Verdana" w:hAnsi="Verdana"/>
        </w:rPr>
      </w:pPr>
    </w:p>
    <w:p w:rsidR="004C50DC" w:rsidRPr="005F129C" w:rsidRDefault="004C50DC" w:rsidP="004C50DC">
      <w:pPr>
        <w:ind w:left="20"/>
        <w:rPr>
          <w:rFonts w:ascii="Verdana" w:hAnsi="Verdana"/>
        </w:rPr>
      </w:pPr>
      <w:r>
        <w:rPr>
          <w:rFonts w:ascii="Verdana" w:hAnsi="Verdana"/>
        </w:rPr>
        <w:t>Un organisme communauta</w:t>
      </w:r>
      <w:r>
        <w:rPr>
          <w:rFonts w:ascii="Verdana" w:hAnsi="Verdana"/>
        </w:rPr>
        <w:t>i</w:t>
      </w:r>
      <w:r>
        <w:rPr>
          <w:rFonts w:ascii="Verdana" w:hAnsi="Verdana"/>
        </w:rPr>
        <w:t>re œuvrant à la diffusion en l</w:t>
      </w:r>
      <w:r>
        <w:rPr>
          <w:rFonts w:ascii="Verdana" w:hAnsi="Verdana"/>
        </w:rPr>
        <w:t>i</w:t>
      </w:r>
      <w:r>
        <w:rPr>
          <w:rFonts w:ascii="Verdana" w:hAnsi="Verdana"/>
        </w:rPr>
        <w:t>bre accès du patrimoine inte</w:t>
      </w:r>
      <w:r>
        <w:rPr>
          <w:rFonts w:ascii="Verdana" w:hAnsi="Verdana"/>
        </w:rPr>
        <w:t>l</w:t>
      </w:r>
      <w:r>
        <w:rPr>
          <w:rFonts w:ascii="Verdana" w:hAnsi="Verdana"/>
        </w:rPr>
        <w:t>lectuel haïtien, an</w:t>
      </w:r>
      <w:r>
        <w:rPr>
          <w:rFonts w:ascii="Verdana" w:hAnsi="Verdana"/>
        </w:rPr>
        <w:t>i</w:t>
      </w:r>
      <w:r>
        <w:rPr>
          <w:rFonts w:ascii="Verdana" w:hAnsi="Verdana"/>
        </w:rPr>
        <w:t xml:space="preserve">mé par </w:t>
      </w:r>
      <w:r w:rsidRPr="005F129C">
        <w:rPr>
          <w:rFonts w:ascii="Verdana" w:hAnsi="Verdana"/>
          <w:i/>
        </w:rPr>
        <w:t xml:space="preserve">Rency Inson </w:t>
      </w:r>
      <w:r w:rsidRPr="005F129C">
        <w:rPr>
          <w:rFonts w:ascii="Verdana" w:hAnsi="Verdana"/>
          <w:i/>
        </w:rPr>
        <w:t>M</w:t>
      </w:r>
      <w:r w:rsidRPr="005F129C">
        <w:rPr>
          <w:rFonts w:ascii="Verdana" w:hAnsi="Verdana"/>
          <w:i/>
        </w:rPr>
        <w:t>ichel</w:t>
      </w:r>
      <w:r>
        <w:rPr>
          <w:rFonts w:ascii="Verdana" w:hAnsi="Verdana"/>
        </w:rPr>
        <w:t xml:space="preserve"> et </w:t>
      </w:r>
      <w:r w:rsidRPr="005F129C">
        <w:rPr>
          <w:rFonts w:ascii="Verdana" w:hAnsi="Verdana"/>
          <w:i/>
        </w:rPr>
        <w:t>A</w:t>
      </w:r>
      <w:r w:rsidRPr="005F129C">
        <w:rPr>
          <w:rFonts w:ascii="Verdana" w:hAnsi="Verdana"/>
          <w:i/>
        </w:rPr>
        <w:t>n</w:t>
      </w:r>
      <w:r w:rsidRPr="005F129C">
        <w:rPr>
          <w:rFonts w:ascii="Verdana" w:hAnsi="Verdana"/>
          <w:i/>
        </w:rPr>
        <w:t>derson Layann Pie</w:t>
      </w:r>
      <w:r w:rsidRPr="005F129C">
        <w:rPr>
          <w:rFonts w:ascii="Verdana" w:hAnsi="Verdana"/>
          <w:i/>
        </w:rPr>
        <w:t>r</w:t>
      </w:r>
      <w:r w:rsidRPr="005F129C">
        <w:rPr>
          <w:rFonts w:ascii="Verdana" w:hAnsi="Verdana"/>
          <w:i/>
        </w:rPr>
        <w:t>re</w:t>
      </w:r>
      <w:r w:rsidRPr="005F129C">
        <w:rPr>
          <w:rFonts w:ascii="Verdana" w:hAnsi="Verdana"/>
        </w:rPr>
        <w:t>.</w:t>
      </w:r>
    </w:p>
    <w:p w:rsidR="004C50DC" w:rsidRPr="005F129C" w:rsidRDefault="004C50DC" w:rsidP="004C50DC">
      <w:pPr>
        <w:ind w:left="20"/>
        <w:jc w:val="both"/>
        <w:rPr>
          <w:rFonts w:ascii="Verdana" w:hAnsi="Verdana"/>
        </w:rPr>
      </w:pPr>
    </w:p>
    <w:p w:rsidR="004C50DC" w:rsidRPr="005F129C" w:rsidRDefault="004C50DC" w:rsidP="004C50DC">
      <w:pPr>
        <w:ind w:left="20" w:hanging="20"/>
        <w:jc w:val="both"/>
        <w:rPr>
          <w:rFonts w:ascii="Verdana" w:hAnsi="Verdana"/>
          <w:sz w:val="24"/>
        </w:rPr>
      </w:pPr>
      <w:r w:rsidRPr="005F129C">
        <w:rPr>
          <w:rFonts w:ascii="Verdana" w:hAnsi="Verdana"/>
          <w:sz w:val="24"/>
        </w:rPr>
        <w:t>Page Fac</w:t>
      </w:r>
      <w:r w:rsidRPr="005F129C">
        <w:rPr>
          <w:rFonts w:ascii="Verdana" w:hAnsi="Verdana"/>
          <w:sz w:val="24"/>
        </w:rPr>
        <w:t>e</w:t>
      </w:r>
      <w:r w:rsidRPr="005F129C">
        <w:rPr>
          <w:rFonts w:ascii="Verdana" w:hAnsi="Verdana"/>
          <w:sz w:val="24"/>
        </w:rPr>
        <w:t>book :</w:t>
      </w:r>
    </w:p>
    <w:p w:rsidR="004C50DC" w:rsidRPr="005F129C" w:rsidRDefault="004C50DC" w:rsidP="004C50DC">
      <w:pPr>
        <w:ind w:left="20" w:hanging="20"/>
        <w:jc w:val="both"/>
        <w:rPr>
          <w:rFonts w:ascii="Verdana" w:hAnsi="Verdana"/>
          <w:sz w:val="24"/>
        </w:rPr>
      </w:pPr>
      <w:hyperlink r:id="rId19" w:history="1">
        <w:r w:rsidRPr="005F129C">
          <w:rPr>
            <w:rStyle w:val="Lienhypertexte"/>
            <w:rFonts w:ascii="Verdana" w:hAnsi="Verdana"/>
            <w:sz w:val="24"/>
          </w:rPr>
          <w:t>https://www.facebook.com/Réseau-des-jeunes-bénévoles-des-Classiques-de-sc-soc-en-Haïti-990201527728211/?fref=ts</w:t>
        </w:r>
      </w:hyperlink>
    </w:p>
    <w:p w:rsidR="004C50DC" w:rsidRDefault="004C50DC" w:rsidP="004C50DC">
      <w:pPr>
        <w:ind w:left="20" w:hanging="20"/>
        <w:jc w:val="both"/>
        <w:rPr>
          <w:rFonts w:ascii="Verdana" w:hAnsi="Verdana"/>
          <w:sz w:val="24"/>
        </w:rPr>
      </w:pPr>
    </w:p>
    <w:p w:rsidR="004C50DC" w:rsidRDefault="009B614B" w:rsidP="004C50DC">
      <w:pPr>
        <w:ind w:left="20" w:hanging="20"/>
        <w:jc w:val="both"/>
        <w:rPr>
          <w:rFonts w:ascii="Verdana" w:hAnsi="Verdana"/>
          <w:sz w:val="24"/>
        </w:rPr>
      </w:pPr>
      <w:r>
        <w:rPr>
          <w:noProof/>
        </w:rPr>
        <w:drawing>
          <wp:anchor distT="0" distB="0" distL="114300" distR="114300" simplePos="0" relativeHeight="251658752" behindDoc="0" locked="0" layoutInCell="1" allowOverlap="1">
            <wp:simplePos x="0" y="0"/>
            <wp:positionH relativeFrom="column">
              <wp:posOffset>-62865</wp:posOffset>
            </wp:positionH>
            <wp:positionV relativeFrom="paragraph">
              <wp:posOffset>76200</wp:posOffset>
            </wp:positionV>
            <wp:extent cx="1854200" cy="2184400"/>
            <wp:effectExtent l="12700" t="12700" r="0" b="0"/>
            <wp:wrapSquare wrapText="bothSides"/>
            <wp:docPr id="66" name="Image 7" descr="Rency_inson_mich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Rency_inson_michel"/>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4200" cy="2184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C50DC" w:rsidRDefault="004C50DC" w:rsidP="004C50DC">
      <w:pPr>
        <w:ind w:left="20" w:hanging="20"/>
        <w:jc w:val="both"/>
        <w:rPr>
          <w:rFonts w:ascii="Verdana" w:hAnsi="Verdana"/>
          <w:sz w:val="24"/>
        </w:rPr>
      </w:pPr>
    </w:p>
    <w:p w:rsidR="004C50DC" w:rsidRPr="005F129C" w:rsidRDefault="004C50DC" w:rsidP="004C50DC">
      <w:pPr>
        <w:ind w:left="20" w:hanging="20"/>
        <w:jc w:val="both"/>
        <w:rPr>
          <w:rFonts w:ascii="Verdana" w:hAnsi="Verdana"/>
          <w:sz w:val="24"/>
        </w:rPr>
      </w:pPr>
    </w:p>
    <w:p w:rsidR="004C50DC" w:rsidRPr="005F129C" w:rsidRDefault="004C50DC" w:rsidP="004C50DC">
      <w:pPr>
        <w:ind w:left="20" w:hanging="20"/>
        <w:rPr>
          <w:rFonts w:ascii="Verdana" w:hAnsi="Verdana"/>
          <w:sz w:val="24"/>
        </w:rPr>
      </w:pPr>
      <w:r w:rsidRPr="005F129C">
        <w:rPr>
          <w:rFonts w:ascii="Verdana" w:hAnsi="Verdana"/>
          <w:sz w:val="24"/>
        </w:rPr>
        <w:t xml:space="preserve">Courriels : </w:t>
      </w:r>
    </w:p>
    <w:p w:rsidR="004C50DC" w:rsidRPr="005F129C" w:rsidRDefault="004C50DC" w:rsidP="004C50DC">
      <w:pPr>
        <w:ind w:left="20" w:hanging="20"/>
        <w:rPr>
          <w:rFonts w:ascii="Verdana" w:hAnsi="Verdana"/>
          <w:sz w:val="24"/>
        </w:rPr>
      </w:pPr>
    </w:p>
    <w:p w:rsidR="004C50DC" w:rsidRPr="005F129C" w:rsidRDefault="004C50DC" w:rsidP="004C50DC">
      <w:pPr>
        <w:ind w:left="20" w:hanging="20"/>
        <w:rPr>
          <w:rFonts w:ascii="Verdana" w:hAnsi="Verdana"/>
          <w:sz w:val="24"/>
        </w:rPr>
      </w:pPr>
      <w:r w:rsidRPr="005F129C">
        <w:rPr>
          <w:rFonts w:ascii="Verdana" w:hAnsi="Verdana"/>
          <w:sz w:val="24"/>
        </w:rPr>
        <w:t xml:space="preserve">Rency Inson Michel : </w:t>
      </w:r>
      <w:hyperlink r:id="rId21" w:history="1">
        <w:r w:rsidRPr="005F129C">
          <w:rPr>
            <w:rStyle w:val="Lienhypertexte"/>
            <w:rFonts w:ascii="Verdana" w:hAnsi="Verdana"/>
            <w:sz w:val="24"/>
          </w:rPr>
          <w:t>rencyinson@gmail.com</w:t>
        </w:r>
      </w:hyperlink>
      <w:r w:rsidRPr="005F129C">
        <w:rPr>
          <w:rFonts w:ascii="Verdana" w:hAnsi="Verdana"/>
          <w:sz w:val="24"/>
        </w:rPr>
        <w:t xml:space="preserve"> </w:t>
      </w:r>
    </w:p>
    <w:p w:rsidR="004C50DC" w:rsidRPr="005F129C" w:rsidRDefault="004C50DC" w:rsidP="004C50DC">
      <w:pPr>
        <w:ind w:left="20" w:hanging="20"/>
        <w:rPr>
          <w:rFonts w:ascii="Verdana" w:hAnsi="Verdana"/>
          <w:sz w:val="24"/>
        </w:rPr>
      </w:pPr>
      <w:r w:rsidRPr="005F129C">
        <w:rPr>
          <w:rFonts w:ascii="Verdana" w:hAnsi="Verdana"/>
          <w:sz w:val="24"/>
        </w:rPr>
        <w:t xml:space="preserve">Anderson Laymann Pierre : </w:t>
      </w:r>
      <w:hyperlink r:id="rId22" w:history="1">
        <w:r w:rsidRPr="005F129C">
          <w:rPr>
            <w:rStyle w:val="Lienhypertexte"/>
            <w:rFonts w:ascii="Verdana" w:hAnsi="Verdana"/>
            <w:sz w:val="24"/>
          </w:rPr>
          <w:t>andersonpierre59@gmail.com</w:t>
        </w:r>
      </w:hyperlink>
      <w:r w:rsidRPr="005F129C">
        <w:rPr>
          <w:rFonts w:ascii="Verdana" w:hAnsi="Verdana"/>
          <w:sz w:val="24"/>
        </w:rPr>
        <w:t xml:space="preserve"> </w:t>
      </w:r>
    </w:p>
    <w:p w:rsidR="004C50DC" w:rsidRPr="005522DC" w:rsidRDefault="004C50DC" w:rsidP="004C50DC">
      <w:pPr>
        <w:ind w:left="20"/>
        <w:jc w:val="both"/>
        <w:rPr>
          <w:sz w:val="24"/>
        </w:rPr>
      </w:pPr>
    </w:p>
    <w:p w:rsidR="004C50DC" w:rsidRPr="005522DC" w:rsidRDefault="004C50DC" w:rsidP="004C50DC">
      <w:pPr>
        <w:ind w:left="20"/>
        <w:jc w:val="both"/>
        <w:rPr>
          <w:sz w:val="24"/>
        </w:rPr>
      </w:pPr>
    </w:p>
    <w:p w:rsidR="004C50DC" w:rsidRDefault="004C50DC" w:rsidP="004C50DC">
      <w:pPr>
        <w:ind w:left="20" w:hanging="20"/>
        <w:jc w:val="both"/>
      </w:pPr>
      <w:r w:rsidRPr="005522DC">
        <w:rPr>
          <w:sz w:val="24"/>
        </w:rPr>
        <w:t>Ci-contre : la photo de Rency Inson MICHEL.</w:t>
      </w:r>
    </w:p>
    <w:p w:rsidR="004C50DC" w:rsidRDefault="004C50DC" w:rsidP="004C50DC">
      <w:pPr>
        <w:ind w:left="20"/>
        <w:jc w:val="both"/>
      </w:pPr>
    </w:p>
    <w:p w:rsidR="004C50DC" w:rsidRDefault="004C50DC" w:rsidP="004C50DC">
      <w:pPr>
        <w:ind w:left="20"/>
        <w:jc w:val="both"/>
      </w:pPr>
    </w:p>
    <w:p w:rsidR="004C50DC" w:rsidRDefault="004C50DC" w:rsidP="004C50DC">
      <w:pPr>
        <w:ind w:left="20"/>
        <w:jc w:val="both"/>
      </w:pPr>
      <w:r>
        <w:br w:type="page"/>
      </w:r>
    </w:p>
    <w:p w:rsidR="004C50DC" w:rsidRDefault="004C50DC" w:rsidP="004C50DC">
      <w:pPr>
        <w:ind w:left="20"/>
        <w:jc w:val="both"/>
      </w:pPr>
    </w:p>
    <w:p w:rsidR="004C50DC" w:rsidRDefault="004C50DC" w:rsidP="004C50DC">
      <w:pPr>
        <w:jc w:val="both"/>
      </w:pPr>
    </w:p>
    <w:p w:rsidR="004C50DC" w:rsidRDefault="004C50DC" w:rsidP="004C50DC">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060"/>
      </w:tblGrid>
      <w:tr w:rsidR="004C50DC">
        <w:tc>
          <w:tcPr>
            <w:tcW w:w="8060" w:type="dxa"/>
            <w:shd w:val="clear" w:color="auto" w:fill="EAF1DD"/>
          </w:tcPr>
          <w:p w:rsidR="004C50DC" w:rsidRDefault="004C50DC" w:rsidP="004C50DC">
            <w:pPr>
              <w:ind w:left="180" w:right="284"/>
              <w:jc w:val="both"/>
            </w:pPr>
          </w:p>
          <w:p w:rsidR="004C50DC" w:rsidRDefault="004C50DC" w:rsidP="004C50DC">
            <w:pPr>
              <w:ind w:left="180" w:right="284"/>
              <w:jc w:val="both"/>
            </w:pPr>
          </w:p>
          <w:p w:rsidR="004C50DC" w:rsidRDefault="004C50DC" w:rsidP="004C50DC">
            <w:pPr>
              <w:ind w:left="180" w:right="284"/>
              <w:jc w:val="both"/>
            </w:pPr>
          </w:p>
          <w:p w:rsidR="004C50DC" w:rsidRDefault="004C50DC" w:rsidP="004C50DC">
            <w:pPr>
              <w:ind w:left="180" w:right="284"/>
              <w:jc w:val="both"/>
            </w:pPr>
            <w:r>
              <w:t xml:space="preserve">Un grand merci à </w:t>
            </w:r>
            <w:hyperlink r:id="rId23" w:history="1">
              <w:r w:rsidRPr="0010454F">
                <w:rPr>
                  <w:rStyle w:val="Lienhypertexte"/>
                  <w:b/>
                </w:rPr>
                <w:t>Ricarson DORCÉ</w:t>
              </w:r>
            </w:hyperlink>
            <w:r>
              <w:t>, directeur de la colle</w:t>
            </w:r>
            <w:r>
              <w:t>c</w:t>
            </w:r>
            <w:r>
              <w:t>tion “</w:t>
            </w:r>
            <w:hyperlink r:id="rId24" w:history="1">
              <w:r w:rsidRPr="0010454F">
                <w:rPr>
                  <w:rStyle w:val="Lienhypertexte"/>
                  <w:b/>
                  <w:i/>
                </w:rPr>
                <w:t>Études haïtiennes</w:t>
              </w:r>
            </w:hyperlink>
            <w:r>
              <w:t>”, pour nous avoir prêté son exemplaire de ce livre afin que nous puissions en produire une édition num</w:t>
            </w:r>
            <w:r>
              <w:t>é</w:t>
            </w:r>
            <w:r>
              <w:t>rique en libre accès à tous dans Les Classiques des sciences s</w:t>
            </w:r>
            <w:r>
              <w:t>o</w:t>
            </w:r>
            <w:r>
              <w:t>ciales.</w:t>
            </w:r>
          </w:p>
          <w:p w:rsidR="004C50DC" w:rsidRDefault="004C50DC" w:rsidP="004C50DC">
            <w:pPr>
              <w:ind w:left="180" w:right="284"/>
              <w:jc w:val="both"/>
            </w:pPr>
          </w:p>
          <w:p w:rsidR="004C50DC" w:rsidRDefault="004C50DC" w:rsidP="004C50DC">
            <w:pPr>
              <w:ind w:left="180" w:right="284"/>
              <w:jc w:val="both"/>
            </w:pPr>
          </w:p>
          <w:p w:rsidR="004C50DC" w:rsidRDefault="004C50DC" w:rsidP="004C50DC">
            <w:pPr>
              <w:ind w:left="180" w:right="284"/>
              <w:jc w:val="both"/>
            </w:pPr>
          </w:p>
          <w:p w:rsidR="004C50DC" w:rsidRDefault="004C50DC" w:rsidP="004C50DC">
            <w:pPr>
              <w:ind w:left="180" w:right="284"/>
              <w:jc w:val="both"/>
            </w:pPr>
            <w:r>
              <w:t>jean-marie tremblay, C.Q.,</w:t>
            </w:r>
          </w:p>
          <w:p w:rsidR="004C50DC" w:rsidRDefault="004C50DC" w:rsidP="004C50DC">
            <w:pPr>
              <w:ind w:left="180" w:right="284"/>
              <w:jc w:val="both"/>
            </w:pPr>
            <w:r>
              <w:t>sociologue, fondateur</w:t>
            </w:r>
          </w:p>
          <w:p w:rsidR="004C50DC" w:rsidRDefault="004C50DC" w:rsidP="004C50DC">
            <w:pPr>
              <w:ind w:left="180" w:right="284"/>
              <w:jc w:val="both"/>
            </w:pPr>
            <w:r>
              <w:t>Les Classiques des sciences sociales,</w:t>
            </w:r>
          </w:p>
          <w:p w:rsidR="004C50DC" w:rsidRDefault="009B614B" w:rsidP="004C50DC">
            <w:pPr>
              <w:ind w:left="180" w:right="284"/>
              <w:jc w:val="both"/>
            </w:pPr>
            <w:r>
              <w:rPr>
                <w:noProof/>
              </w:rPr>
              <w:drawing>
                <wp:anchor distT="0" distB="0" distL="114300" distR="114300" simplePos="0" relativeHeight="251655680" behindDoc="0" locked="0" layoutInCell="1" allowOverlap="1">
                  <wp:simplePos x="0" y="0"/>
                  <wp:positionH relativeFrom="column">
                    <wp:posOffset>3251835</wp:posOffset>
                  </wp:positionH>
                  <wp:positionV relativeFrom="paragraph">
                    <wp:posOffset>-1927860</wp:posOffset>
                  </wp:positionV>
                  <wp:extent cx="1500505" cy="1943100"/>
                  <wp:effectExtent l="12700" t="12700" r="0" b="0"/>
                  <wp:wrapSquare wrapText="bothSides"/>
                  <wp:docPr id="65" name="Image 3" descr="Rency_2016_m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Rency_2016_med"/>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0505" cy="19431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C50DC">
              <w:rPr>
                <w:noProof/>
              </w:rPr>
              <w:t>20 avril 2019</w:t>
            </w:r>
            <w:r w:rsidR="004C50DC">
              <w:t>.</w:t>
            </w:r>
          </w:p>
          <w:p w:rsidR="004C50DC" w:rsidRDefault="004C50DC" w:rsidP="004C50DC">
            <w:pPr>
              <w:ind w:left="180" w:right="284"/>
              <w:jc w:val="both"/>
            </w:pPr>
          </w:p>
        </w:tc>
      </w:tr>
    </w:tbl>
    <w:p w:rsidR="004C50DC" w:rsidRDefault="004C50DC" w:rsidP="004C50DC">
      <w:pPr>
        <w:jc w:val="both"/>
      </w:pPr>
    </w:p>
    <w:p w:rsidR="004C50DC" w:rsidRPr="00043784" w:rsidRDefault="004C50DC" w:rsidP="004C50DC">
      <w:pPr>
        <w:jc w:val="both"/>
      </w:pPr>
    </w:p>
    <w:p w:rsidR="004C50DC" w:rsidRDefault="004C50DC" w:rsidP="004C50DC">
      <w:pPr>
        <w:ind w:left="20"/>
        <w:jc w:val="both"/>
      </w:pPr>
      <w:r w:rsidRPr="00043784">
        <w:br w:type="page"/>
      </w:r>
    </w:p>
    <w:p w:rsidR="004C50DC" w:rsidRDefault="004C50DC" w:rsidP="004C50DC">
      <w:pPr>
        <w:ind w:left="20"/>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8060"/>
      </w:tblGrid>
      <w:tr w:rsidR="004C50DC">
        <w:tc>
          <w:tcPr>
            <w:tcW w:w="8060" w:type="dxa"/>
            <w:shd w:val="clear" w:color="auto" w:fill="F2F2F2"/>
          </w:tcPr>
          <w:p w:rsidR="004C50DC" w:rsidRDefault="004C50DC" w:rsidP="004C50DC">
            <w:pPr>
              <w:ind w:firstLine="0"/>
              <w:jc w:val="both"/>
            </w:pPr>
          </w:p>
          <w:p w:rsidR="004C50DC" w:rsidRDefault="004C50DC" w:rsidP="004C50DC">
            <w:pPr>
              <w:ind w:firstLine="0"/>
              <w:jc w:val="both"/>
            </w:pPr>
          </w:p>
          <w:p w:rsidR="004C50DC" w:rsidRDefault="004C50DC" w:rsidP="004C50DC">
            <w:pPr>
              <w:ind w:left="360" w:right="374" w:firstLine="0"/>
              <w:jc w:val="right"/>
            </w:pPr>
            <w:r>
              <w:br/>
            </w:r>
          </w:p>
          <w:p w:rsidR="004C50DC" w:rsidRDefault="009B614B" w:rsidP="004C50DC">
            <w:pPr>
              <w:ind w:left="360" w:right="374" w:firstLine="0"/>
              <w:jc w:val="both"/>
            </w:pPr>
            <w:r>
              <w:rPr>
                <w:noProof/>
                <w:lang w:val="fr-FR"/>
              </w:rPr>
              <w:drawing>
                <wp:anchor distT="0" distB="0" distL="114300" distR="114300" simplePos="0" relativeHeight="251656704" behindDoc="0" locked="0" layoutInCell="1" allowOverlap="1">
                  <wp:simplePos x="0" y="0"/>
                  <wp:positionH relativeFrom="column">
                    <wp:posOffset>3137535</wp:posOffset>
                  </wp:positionH>
                  <wp:positionV relativeFrom="paragraph">
                    <wp:posOffset>-340360</wp:posOffset>
                  </wp:positionV>
                  <wp:extent cx="1600200" cy="1117600"/>
                  <wp:effectExtent l="12700" t="12700" r="0" b="0"/>
                  <wp:wrapSquare wrapText="bothSides"/>
                  <wp:docPr id="64" name="Image 4" descr="ASBC_logo_50">
                    <a:hlinkClick xmlns:a="http://schemas.openxmlformats.org/drawingml/2006/main" r:id="rId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ASBC_logo_50">
                            <a:hlinkClick r:id="rId26"/>
                          </pic:cNvPr>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0200" cy="1117600"/>
                          </a:xfrm>
                          <a:prstGeom prst="rect">
                            <a:avLst/>
                          </a:prstGeom>
                          <a:noFill/>
                          <a:ln w="158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C50DC">
              <w:t xml:space="preserve">Ce texte est diffusé </w:t>
            </w:r>
            <w:r w:rsidR="004C50DC" w:rsidRPr="003A19B1">
              <w:rPr>
                <w:i/>
                <w:color w:val="FF0000"/>
              </w:rPr>
              <w:t>en partenariat</w:t>
            </w:r>
            <w:r w:rsidR="004C50DC">
              <w:t xml:space="preserve"> avec </w:t>
            </w:r>
            <w:hyperlink r:id="rId28" w:history="1">
              <w:r w:rsidR="004C50DC" w:rsidRPr="003A19B1">
                <w:rPr>
                  <w:rStyle w:val="Lienhypertexte"/>
                  <w:i/>
                </w:rPr>
                <w:t>l’Association science et bien commun</w:t>
              </w:r>
            </w:hyperlink>
            <w:r w:rsidR="004C50DC">
              <w:t>, présidée par Madame Fl</w:t>
            </w:r>
            <w:r w:rsidR="004C50DC">
              <w:t>o</w:t>
            </w:r>
            <w:r w:rsidR="004C50DC">
              <w:t>rence Piron, professe</w:t>
            </w:r>
            <w:r w:rsidR="004C50DC">
              <w:t>u</w:t>
            </w:r>
            <w:r w:rsidR="004C50DC">
              <w:t xml:space="preserve">re à l’Université Laval, et </w:t>
            </w:r>
            <w:hyperlink r:id="rId29" w:history="1">
              <w:r w:rsidR="004C50DC" w:rsidRPr="00BF0B36">
                <w:rPr>
                  <w:rStyle w:val="Lienhypertexte"/>
                </w:rPr>
                <w:t>l’Université d’État d’Haïti</w:t>
              </w:r>
            </w:hyperlink>
            <w:r w:rsidR="004C50DC">
              <w:t>.</w:t>
            </w:r>
          </w:p>
          <w:p w:rsidR="004C50DC" w:rsidRDefault="004C50DC" w:rsidP="004C50DC">
            <w:pPr>
              <w:ind w:left="360" w:right="374" w:firstLine="0"/>
              <w:jc w:val="both"/>
            </w:pPr>
          </w:p>
          <w:p w:rsidR="004C50DC" w:rsidRDefault="004C50DC" w:rsidP="004C50DC">
            <w:pPr>
              <w:ind w:left="360" w:right="374" w:firstLine="0"/>
              <w:jc w:val="both"/>
            </w:pPr>
            <w:r>
              <w:t>Merci à l’Association d’avoir permis la diffusion de ce livre dans Les Classiques des sciences sociales, grâce à la création de la collection : “</w:t>
            </w:r>
            <w:r w:rsidRPr="005606B2">
              <w:rPr>
                <w:i/>
              </w:rPr>
              <w:t>Ét</w:t>
            </w:r>
            <w:r w:rsidRPr="005606B2">
              <w:rPr>
                <w:i/>
              </w:rPr>
              <w:t>u</w:t>
            </w:r>
            <w:r w:rsidRPr="005606B2">
              <w:rPr>
                <w:i/>
              </w:rPr>
              <w:t>des haïtiennes</w:t>
            </w:r>
            <w:r>
              <w:t>”.</w:t>
            </w:r>
          </w:p>
          <w:p w:rsidR="004C50DC" w:rsidRDefault="004C50DC" w:rsidP="004C50DC">
            <w:pPr>
              <w:ind w:left="360" w:right="374" w:firstLine="0"/>
              <w:jc w:val="both"/>
            </w:pPr>
          </w:p>
          <w:p w:rsidR="004C50DC" w:rsidRDefault="004C50DC" w:rsidP="004C50DC">
            <w:pPr>
              <w:ind w:left="360" w:right="374" w:firstLine="0"/>
              <w:jc w:val="both"/>
            </w:pPr>
          </w:p>
          <w:p w:rsidR="004C50DC" w:rsidRDefault="004C50DC" w:rsidP="004C50DC">
            <w:pPr>
              <w:ind w:left="360" w:right="374" w:firstLine="0"/>
              <w:jc w:val="both"/>
            </w:pPr>
            <w:r>
              <w:t>Jean-Marie Tremblay, C.Q.,</w:t>
            </w:r>
          </w:p>
          <w:p w:rsidR="004C50DC" w:rsidRDefault="004C50DC" w:rsidP="004C50DC">
            <w:pPr>
              <w:ind w:left="360" w:right="374" w:firstLine="0"/>
              <w:jc w:val="both"/>
            </w:pPr>
            <w:r>
              <w:t xml:space="preserve">Sociologue, professeur associé, </w:t>
            </w:r>
            <w:hyperlink r:id="rId30" w:history="1">
              <w:r w:rsidRPr="005606B2">
                <w:rPr>
                  <w:rStyle w:val="Lienhypertexte"/>
                </w:rPr>
                <w:t>UQAC</w:t>
              </w:r>
            </w:hyperlink>
          </w:p>
          <w:p w:rsidR="004C50DC" w:rsidRDefault="004C50DC" w:rsidP="004C50DC">
            <w:pPr>
              <w:ind w:left="360" w:right="374" w:firstLine="0"/>
              <w:jc w:val="both"/>
            </w:pPr>
            <w:r>
              <w:t xml:space="preserve">fondateur et p.-d.g, </w:t>
            </w:r>
            <w:hyperlink r:id="rId31" w:history="1">
              <w:r w:rsidRPr="005606B2">
                <w:rPr>
                  <w:rStyle w:val="Lienhypertexte"/>
                </w:rPr>
                <w:t>Les Classiques des sciences sociales</w:t>
              </w:r>
            </w:hyperlink>
          </w:p>
          <w:p w:rsidR="004C50DC" w:rsidRDefault="004C50DC" w:rsidP="004C50DC">
            <w:pPr>
              <w:ind w:left="360" w:right="374" w:firstLine="0"/>
              <w:jc w:val="both"/>
            </w:pPr>
            <w:r>
              <w:t>30 janvier 2019.</w:t>
            </w:r>
          </w:p>
          <w:p w:rsidR="004C50DC" w:rsidRDefault="004C50DC" w:rsidP="004C50DC">
            <w:pPr>
              <w:ind w:firstLine="0"/>
              <w:jc w:val="both"/>
            </w:pPr>
          </w:p>
        </w:tc>
      </w:tr>
    </w:tbl>
    <w:p w:rsidR="004C50DC" w:rsidRDefault="004C50DC" w:rsidP="004C50DC">
      <w:pPr>
        <w:ind w:left="20"/>
        <w:jc w:val="both"/>
      </w:pPr>
    </w:p>
    <w:p w:rsidR="004C50DC" w:rsidRDefault="004C50DC" w:rsidP="004C50DC">
      <w:pPr>
        <w:ind w:left="20"/>
        <w:jc w:val="both"/>
      </w:pPr>
    </w:p>
    <w:p w:rsidR="004C50DC" w:rsidRDefault="004C50DC" w:rsidP="004C50DC">
      <w:pPr>
        <w:ind w:left="20"/>
        <w:jc w:val="both"/>
      </w:pPr>
      <w:r>
        <w:br w:type="page"/>
      </w:r>
    </w:p>
    <w:p w:rsidR="004C50DC" w:rsidRDefault="004C50DC" w:rsidP="004C50DC">
      <w:pPr>
        <w:ind w:firstLine="0"/>
        <w:jc w:val="center"/>
        <w:rPr>
          <w:sz w:val="36"/>
          <w:lang w:bidi="ar-SA"/>
        </w:rPr>
      </w:pPr>
      <w:r>
        <w:rPr>
          <w:sz w:val="36"/>
          <w:lang w:bidi="ar-SA"/>
        </w:rPr>
        <w:t>Jean Ronald AUGUSTIN</w:t>
      </w:r>
    </w:p>
    <w:p w:rsidR="004C50DC" w:rsidRDefault="004C50DC" w:rsidP="004C50DC">
      <w:pPr>
        <w:ind w:firstLine="0"/>
        <w:jc w:val="center"/>
      </w:pPr>
    </w:p>
    <w:p w:rsidR="004C50DC" w:rsidRPr="00F4237A" w:rsidRDefault="004C50DC" w:rsidP="004C50DC">
      <w:pPr>
        <w:ind w:firstLine="0"/>
        <w:jc w:val="center"/>
        <w:rPr>
          <w:color w:val="000080"/>
          <w:sz w:val="36"/>
        </w:rPr>
      </w:pPr>
      <w:r w:rsidRPr="00EF76C4">
        <w:rPr>
          <w:color w:val="000080"/>
          <w:sz w:val="36"/>
        </w:rPr>
        <w:t>M</w:t>
      </w:r>
      <w:r>
        <w:rPr>
          <w:color w:val="000080"/>
          <w:sz w:val="36"/>
        </w:rPr>
        <w:t>émoire de l’esclavage en Haïti.</w:t>
      </w:r>
      <w:r>
        <w:rPr>
          <w:color w:val="000080"/>
          <w:sz w:val="36"/>
        </w:rPr>
        <w:br/>
      </w:r>
      <w:r w:rsidRPr="00EF76C4">
        <w:rPr>
          <w:i/>
          <w:color w:val="000080"/>
        </w:rPr>
        <w:t>Entrecroisement des mémoires et enjeux de la patr</w:t>
      </w:r>
      <w:r w:rsidRPr="00EF76C4">
        <w:rPr>
          <w:i/>
          <w:color w:val="000080"/>
        </w:rPr>
        <w:t>i</w:t>
      </w:r>
      <w:r w:rsidRPr="00EF76C4">
        <w:rPr>
          <w:i/>
          <w:color w:val="000080"/>
        </w:rPr>
        <w:t>monialisation.</w:t>
      </w:r>
    </w:p>
    <w:p w:rsidR="004C50DC" w:rsidRDefault="009B614B" w:rsidP="004C50DC">
      <w:pPr>
        <w:spacing w:before="120" w:after="120"/>
        <w:ind w:firstLine="0"/>
        <w:jc w:val="center"/>
      </w:pPr>
      <w:r>
        <w:rPr>
          <w:noProof/>
        </w:rPr>
        <w:drawing>
          <wp:inline distT="0" distB="0" distL="0" distR="0">
            <wp:extent cx="3894455" cy="5013325"/>
            <wp:effectExtent l="25400" t="25400" r="17145" b="15875"/>
            <wp:docPr id="5" name="Image 5" descr="Memoire_esclavage_Haiti_L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Memoire_esclavage_Haiti_L5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94455" cy="5013325"/>
                    </a:xfrm>
                    <a:prstGeom prst="rect">
                      <a:avLst/>
                    </a:prstGeom>
                    <a:noFill/>
                    <a:ln w="19050" cmpd="sng">
                      <a:solidFill>
                        <a:srgbClr val="000000"/>
                      </a:solidFill>
                      <a:miter lim="800000"/>
                      <a:headEnd/>
                      <a:tailEnd/>
                    </a:ln>
                    <a:effectLst/>
                  </pic:spPr>
                </pic:pic>
              </a:graphicData>
            </a:graphic>
          </wp:inline>
        </w:drawing>
      </w:r>
    </w:p>
    <w:p w:rsidR="004C50DC" w:rsidRPr="00753781" w:rsidRDefault="004C50DC">
      <w:pPr>
        <w:jc w:val="both"/>
        <w:rPr>
          <w:sz w:val="24"/>
        </w:rPr>
      </w:pPr>
      <w:r>
        <w:rPr>
          <w:szCs w:val="36"/>
        </w:rPr>
        <w:t>Thèse de doctorat en ethnologie et patrimoine, Université Laval, Québec, 2016, 543 pp. Sous la direction de Laurier Turgeon. Me</w:t>
      </w:r>
      <w:r>
        <w:rPr>
          <w:szCs w:val="36"/>
        </w:rPr>
        <w:t>m</w:t>
      </w:r>
      <w:r>
        <w:rPr>
          <w:szCs w:val="36"/>
        </w:rPr>
        <w:t>bres du jury : Laennec Hurbon, Maximilien Laroche et Hérold Tou</w:t>
      </w:r>
      <w:r>
        <w:rPr>
          <w:szCs w:val="36"/>
        </w:rPr>
        <w:t>s</w:t>
      </w:r>
      <w:r>
        <w:rPr>
          <w:szCs w:val="36"/>
        </w:rPr>
        <w:t>saint.</w:t>
      </w:r>
    </w:p>
    <w:p w:rsidR="004C50DC" w:rsidRDefault="004C50DC" w:rsidP="004C50DC">
      <w:pPr>
        <w:jc w:val="both"/>
      </w:pPr>
      <w:r>
        <w:br w:type="page"/>
      </w:r>
    </w:p>
    <w:p w:rsidR="004C50DC" w:rsidRDefault="004C50DC" w:rsidP="004C50DC">
      <w:pPr>
        <w:jc w:val="both"/>
      </w:pPr>
    </w:p>
    <w:p w:rsidR="004C50DC" w:rsidRDefault="004C50DC" w:rsidP="004C50DC">
      <w:pPr>
        <w:jc w:val="both"/>
      </w:pPr>
    </w:p>
    <w:p w:rsidR="004C50DC" w:rsidRPr="00E07116" w:rsidRDefault="004C50DC" w:rsidP="004C50DC">
      <w:pPr>
        <w:jc w:val="both"/>
      </w:pPr>
    </w:p>
    <w:p w:rsidR="004C50DC" w:rsidRPr="00E07116" w:rsidRDefault="004C50DC" w:rsidP="004C50DC">
      <w:pPr>
        <w:pStyle w:val="NormalWeb"/>
        <w:spacing w:before="2" w:after="2"/>
        <w:jc w:val="both"/>
        <w:rPr>
          <w:rFonts w:ascii="Times New Roman" w:hAnsi="Times New Roman"/>
          <w:sz w:val="28"/>
        </w:rPr>
      </w:pPr>
      <w:r w:rsidRPr="00E07116">
        <w:rPr>
          <w:rFonts w:ascii="Times New Roman" w:hAnsi="Times New Roman"/>
          <w:b/>
          <w:sz w:val="28"/>
          <w:szCs w:val="19"/>
        </w:rPr>
        <w:t>Note pour la version numérique</w:t>
      </w:r>
      <w:r w:rsidRPr="00E07116">
        <w:rPr>
          <w:rFonts w:ascii="Times New Roman" w:hAnsi="Times New Roman"/>
          <w:sz w:val="28"/>
          <w:szCs w:val="19"/>
        </w:rPr>
        <w:t xml:space="preserve"> : </w:t>
      </w:r>
      <w:r w:rsidRPr="00E07116">
        <w:rPr>
          <w:rFonts w:ascii="Times New Roman" w:hAnsi="Times New Roman"/>
          <w:sz w:val="28"/>
        </w:rPr>
        <w:t>La numérotation entre crochets [] correspond à la pagination, en début de page, de l'édition d'origine numérisée. JMT.</w:t>
      </w:r>
    </w:p>
    <w:p w:rsidR="004C50DC" w:rsidRPr="00E07116" w:rsidRDefault="004C50DC" w:rsidP="004C50DC">
      <w:pPr>
        <w:pStyle w:val="NormalWeb"/>
        <w:spacing w:before="2" w:after="2"/>
        <w:jc w:val="both"/>
        <w:rPr>
          <w:rFonts w:ascii="Times New Roman" w:hAnsi="Times New Roman"/>
          <w:sz w:val="28"/>
        </w:rPr>
      </w:pPr>
    </w:p>
    <w:p w:rsidR="004C50DC" w:rsidRPr="00E07116" w:rsidRDefault="004C50DC" w:rsidP="004C50DC">
      <w:pPr>
        <w:pStyle w:val="NormalWeb"/>
        <w:spacing w:before="2" w:after="2"/>
        <w:rPr>
          <w:rFonts w:ascii="Times New Roman" w:hAnsi="Times New Roman"/>
          <w:sz w:val="28"/>
        </w:rPr>
      </w:pPr>
      <w:r w:rsidRPr="00E07116">
        <w:rPr>
          <w:rFonts w:ascii="Times New Roman" w:hAnsi="Times New Roman"/>
          <w:sz w:val="28"/>
        </w:rPr>
        <w:t>Par exemple, [1] correspond au début de la page 1 de l’édition papier numérisée.</w:t>
      </w:r>
    </w:p>
    <w:p w:rsidR="004C50DC" w:rsidRPr="00E07116" w:rsidRDefault="004C50DC" w:rsidP="004C50DC">
      <w:pPr>
        <w:jc w:val="both"/>
        <w:rPr>
          <w:szCs w:val="19"/>
        </w:rPr>
      </w:pPr>
    </w:p>
    <w:p w:rsidR="004C50DC" w:rsidRDefault="004C50DC" w:rsidP="004C50DC">
      <w:pPr>
        <w:jc w:val="both"/>
        <w:rPr>
          <w:szCs w:val="19"/>
        </w:rPr>
      </w:pPr>
    </w:p>
    <w:p w:rsidR="004C50DC" w:rsidRDefault="004C50DC" w:rsidP="004C50DC">
      <w:pPr>
        <w:pStyle w:val="p"/>
      </w:pPr>
      <w:r>
        <w:br w:type="page"/>
        <w:t>[iii]</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1" w:name="Memoire_resume"/>
      <w:r w:rsidRPr="00EF76C4">
        <w:rPr>
          <w:b/>
          <w:sz w:val="24"/>
        </w:rPr>
        <w:t>Mémoire de l’esclavage en Haïti.</w:t>
      </w:r>
    </w:p>
    <w:p w:rsidR="004C50DC" w:rsidRPr="00B13DD6" w:rsidRDefault="004C50DC" w:rsidP="004C50DC">
      <w:pPr>
        <w:pStyle w:val="planchest"/>
      </w:pPr>
      <w:r>
        <w:t>RÉSUMÉ</w:t>
      </w:r>
    </w:p>
    <w:bookmarkEnd w:id="1"/>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La problématique de la mémoire de l’esclavage a peu retenu l’attention des chercheurs haïtiens bien qu’Haïti soit le premier pays où des esclaves africains aient pu se libérer du joug de l’esclavage transatlantique. Les travaux de synthèse existant sur le sujet sont i</w:t>
      </w:r>
      <w:r w:rsidRPr="00E8358C">
        <w:t>n</w:t>
      </w:r>
      <w:r w:rsidRPr="00E8358C">
        <w:t>complets et tiennent peu compte des mémoires de ce passé comme étant des patrimoines. Cette thèse vise à combler cette lacune et à mieux comprendre l’entrecroisement et les enjeux des mémoires de l’esclavage en Haïti aujourd’hui. Appuyée par une large gamme de sources orales et écrites, notre étude révèle une double tendance m</w:t>
      </w:r>
      <w:r w:rsidRPr="00E8358C">
        <w:t>é</w:t>
      </w:r>
      <w:r w:rsidRPr="00E8358C">
        <w:t>morielle très contrastée et caractérisée, d’une part, par une amnésie lacunaire de l’esclavage et de ses conséquences sociales (pauvreté, question de couleur, exclusion sociale) et, d’autre part, par une h</w:t>
      </w:r>
      <w:r w:rsidRPr="00E8358C">
        <w:t>y</w:t>
      </w:r>
      <w:r w:rsidRPr="00E8358C">
        <w:t xml:space="preserve">permnésie des faits historiques (guerre d’indépendance, révoltes et libération des esclaves). Les perceptions des Haïtiens sont partagées sur les éléments tangibles et immatériels présents dans l’espace public et social et s’inscrivent au </w:t>
      </w:r>
      <w:r w:rsidRPr="00E8358C">
        <w:rPr>
          <w:szCs w:val="23"/>
        </w:rPr>
        <w:t>cœur</w:t>
      </w:r>
      <w:r w:rsidRPr="00E8358C">
        <w:t xml:space="preserve"> de nombreuses controverses qui f</w:t>
      </w:r>
      <w:r w:rsidRPr="00E8358C">
        <w:t>a</w:t>
      </w:r>
      <w:r w:rsidRPr="00E8358C">
        <w:t>çonnent une typologie de mémoire plurielle : mémoire prestigieuse, mémoire traumatisante, mémoire de culpabilité, mémoire de victim</w:t>
      </w:r>
      <w:r w:rsidRPr="00E8358C">
        <w:t>i</w:t>
      </w:r>
      <w:r w:rsidRPr="00E8358C">
        <w:t>sation, mémoire de revendications et mémoire consensuelle. Des pr</w:t>
      </w:r>
      <w:r w:rsidRPr="00E8358C">
        <w:t>a</w:t>
      </w:r>
      <w:r w:rsidRPr="00E8358C">
        <w:t>tiques cultuelles comme le vodou forment même l’apothéose d’une mémoire occulte liée à ce passé. Cet ensemble mémoriel permet aussi de dévoiler des enjeux : historiques et mnémoniques, culturels et rel</w:t>
      </w:r>
      <w:r w:rsidRPr="00E8358C">
        <w:t>i</w:t>
      </w:r>
      <w:r w:rsidRPr="00E8358C">
        <w:t>gieux, sociaux et politiques, et économiques de la patrimonialisation. Force nous est de conclure que les conséquences de l’esclavage sont très complexes. Il est difficile d’en maîtriser la profondeur et la po</w:t>
      </w:r>
      <w:r w:rsidRPr="00E8358C">
        <w:t>r</w:t>
      </w:r>
      <w:r w:rsidRPr="00E8358C">
        <w:t>tée. La figure mémorielle de l’esclavage est un iceberg, on n’en voit que le sommet. Toute la base n’est pas encore exposée. Elle reste r</w:t>
      </w:r>
      <w:r w:rsidRPr="00E8358C">
        <w:t>e</w:t>
      </w:r>
      <w:r w:rsidRPr="00E8358C">
        <w:t>foulée et submergée par les eaux de l’oubli.</w:t>
      </w:r>
    </w:p>
    <w:p w:rsidR="004C50DC" w:rsidRPr="00E8358C" w:rsidRDefault="004C50DC" w:rsidP="004C50DC">
      <w:pPr>
        <w:spacing w:before="120" w:after="120"/>
        <w:jc w:val="both"/>
      </w:pPr>
      <w:r w:rsidRPr="00E8358C">
        <w:t>Cette thèse permet de mettre en lumière le rôle des mémoires mu</w:t>
      </w:r>
      <w:r w:rsidRPr="00E8358C">
        <w:t>l</w:t>
      </w:r>
      <w:r w:rsidRPr="00E8358C">
        <w:t>tiples dans la construction des éléments de l’identité haïtienne qui h</w:t>
      </w:r>
      <w:r w:rsidRPr="00E8358C">
        <w:t>é</w:t>
      </w:r>
      <w:r w:rsidRPr="00E8358C">
        <w:t>site entre une reconnaissance ou une ignorance de la descendance d’esclave et une appropriation de la descendance d’homme libre. À travers ces mémoires embrouillées, Haïti nous apprend que le patr</w:t>
      </w:r>
      <w:r w:rsidRPr="00E8358C">
        <w:t>i</w:t>
      </w:r>
      <w:r w:rsidRPr="00E8358C">
        <w:t>moine valorisé, outre le volet du « tourisme » souvent évoqué, est un outil de revendication, de combat perpétuel, de questionnement sur les inégalités sociales et de résistance. Donc, plutôt que de considérer [iv] les mémoires de l’esclavage sous un seul aspect de dévoilement, elles peuvent être aussi abordées comme des instruments pour l’enseignement, pour l’apaisement des tensions sociales, pour la co</w:t>
      </w:r>
      <w:r w:rsidRPr="00E8358C">
        <w:t>m</w:t>
      </w:r>
      <w:r w:rsidRPr="00E8358C">
        <w:t>préhension mutuelle et le « vivre ensemble ». Cette thèse nous ense</w:t>
      </w:r>
      <w:r w:rsidRPr="00E8358C">
        <w:t>i</w:t>
      </w:r>
      <w:r w:rsidRPr="00E8358C">
        <w:t>gne aussi que la patrimonialisation des mémoires de l’esclavage dans la société haïtienne d’aujourd’hui doit accommoder le traumatisme des douleurs subies, la fierté d’avoir triomphé de cette ignominie et les conséquences de ce passé.</w:t>
      </w:r>
    </w:p>
    <w:p w:rsidR="004C50DC" w:rsidRDefault="004C50DC" w:rsidP="004C50DC">
      <w:pPr>
        <w:pStyle w:val="Normal0"/>
      </w:pPr>
    </w:p>
    <w:p w:rsidR="004C50DC" w:rsidRDefault="004C50DC" w:rsidP="004C50DC">
      <w:pPr>
        <w:pStyle w:val="p"/>
      </w:pPr>
      <w:r>
        <w:br w:type="page"/>
        <w:t>[v]</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2" w:name="Memoire_abstract"/>
      <w:r w:rsidRPr="00EF76C4">
        <w:rPr>
          <w:b/>
          <w:sz w:val="24"/>
        </w:rPr>
        <w:t>Mémoire de l’esclavage en Haïti.</w:t>
      </w:r>
    </w:p>
    <w:p w:rsidR="004C50DC" w:rsidRPr="00B13DD6" w:rsidRDefault="004C50DC" w:rsidP="004C50DC">
      <w:pPr>
        <w:pStyle w:val="planchest"/>
      </w:pPr>
      <w:r>
        <w:t>ABSTRACT</w:t>
      </w:r>
    </w:p>
    <w:bookmarkEnd w:id="2"/>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Although the study of the memories of slavery has still attracted little attention among scholars in Haïti, the first country to be freed from the jaws of transatlantic slavery. Existing synthesis work on the subject are incomplete and take little these memories into account as being of heritage. The present thesis aims to fill this gap and to better our understanding of the situation, the entanglement and the stakes of the memories of slavery in Haiti today. Drawing from a large variety of oral and written sources, the study reveals a two parallel currents of thought characterized by, on the one hand, a lacunar amnesia of slav</w:t>
      </w:r>
      <w:r w:rsidRPr="00E8358C">
        <w:t>e</w:t>
      </w:r>
      <w:r w:rsidRPr="00E8358C">
        <w:t>ry and its social consequences (poverty, problem of color, social e</w:t>
      </w:r>
      <w:r w:rsidRPr="00E8358C">
        <w:t>x</w:t>
      </w:r>
      <w:r w:rsidRPr="00E8358C">
        <w:t>clusion), and, on the other hand, by a hypermnesia of glorious histor</w:t>
      </w:r>
      <w:r w:rsidRPr="00E8358C">
        <w:t>i</w:t>
      </w:r>
      <w:r w:rsidRPr="00E8358C">
        <w:t>cal events (war of independence, slave revolts and liberation). The perceptions of Haitians are divided around the tangible and intangible elements present in public and social space and these divergent views remain at the heart of numerous controversies which shape a wide range of memories: prestigious memory, traumatizing memory, m</w:t>
      </w:r>
      <w:r w:rsidRPr="00E8358C">
        <w:t>e</w:t>
      </w:r>
      <w:r w:rsidRPr="00E8358C">
        <w:t>mory of guilt, memory of victimization, memory of reclamation, and consensual memory. Religious practices such as voodoo form the very apotheosis of a memorial occultism connected to this past. All of these memories shed light on the main issues – historic and mnemonic, cultural and religious, social and political, and economic – of the pr</w:t>
      </w:r>
      <w:r w:rsidRPr="00E8358C">
        <w:t>o</w:t>
      </w:r>
      <w:r w:rsidRPr="00E8358C">
        <w:t>cesses of heritage making in Haiti today. The consequences of slavery are very profond and complex. It is difficult to fully appreciate their full depth. Because the memory of slavery is like an iceberg, we only perceive the summit: the base is submerged and hidden under water of forgetfulness.</w:t>
      </w:r>
    </w:p>
    <w:p w:rsidR="004C50DC" w:rsidRPr="00E8358C" w:rsidRDefault="004C50DC" w:rsidP="004C50DC">
      <w:pPr>
        <w:spacing w:before="120" w:after="120"/>
        <w:jc w:val="both"/>
        <w:rPr>
          <w:szCs w:val="23"/>
        </w:rPr>
      </w:pPr>
      <w:r w:rsidRPr="00E8358C">
        <w:rPr>
          <w:szCs w:val="23"/>
        </w:rPr>
        <w:t>This thesis throws light on the role of these multiple memories in the construction of Haitian identity, torn between recognition and non-recognition of the ancestry of slavery and the appropriation of the a</w:t>
      </w:r>
      <w:r w:rsidRPr="00E8358C">
        <w:rPr>
          <w:szCs w:val="23"/>
        </w:rPr>
        <w:t>n</w:t>
      </w:r>
      <w:r w:rsidRPr="00E8358C">
        <w:rPr>
          <w:szCs w:val="23"/>
        </w:rPr>
        <w:t>cestry of a free man. Through its memories of slavery, Haiti teaches us that valorizing heritage – beyond the oft-mentioned aspects of “l</w:t>
      </w:r>
      <w:r w:rsidRPr="00E8358C">
        <w:rPr>
          <w:szCs w:val="23"/>
        </w:rPr>
        <w:t>i</w:t>
      </w:r>
      <w:r w:rsidRPr="00E8358C">
        <w:rPr>
          <w:szCs w:val="23"/>
        </w:rPr>
        <w:t xml:space="preserve">ving together” and tourism – is also a tool for making demands, for perpetual combat, for questioning social inequalities, and for </w:t>
      </w:r>
      <w:r w:rsidRPr="00E8358C">
        <w:rPr>
          <w:iCs/>
          <w:szCs w:val="23"/>
        </w:rPr>
        <w:t>resista</w:t>
      </w:r>
      <w:r w:rsidRPr="00E8358C">
        <w:rPr>
          <w:iCs/>
          <w:szCs w:val="23"/>
        </w:rPr>
        <w:t>n</w:t>
      </w:r>
      <w:r w:rsidRPr="00E8358C">
        <w:rPr>
          <w:iCs/>
          <w:szCs w:val="23"/>
        </w:rPr>
        <w:t>ce</w:t>
      </w:r>
      <w:r w:rsidRPr="00E8358C">
        <w:rPr>
          <w:szCs w:val="23"/>
        </w:rPr>
        <w:t xml:space="preserve">. </w:t>
      </w:r>
      <w:r w:rsidRPr="00E8358C">
        <w:t>This thesis also teaches us that the heritage status of the memories of slavery in Haitian society today must accommodate the trauma su</w:t>
      </w:r>
      <w:r w:rsidRPr="00E8358C">
        <w:t>f</w:t>
      </w:r>
      <w:r w:rsidRPr="00E8358C">
        <w:t xml:space="preserve">fered pain, the pride of having triumphed over this tragedy and the consequences of </w:t>
      </w:r>
    </w:p>
    <w:p w:rsidR="004C50DC" w:rsidRDefault="004C50DC" w:rsidP="004C50DC">
      <w:pPr>
        <w:pStyle w:val="Normal0"/>
      </w:pPr>
    </w:p>
    <w:p w:rsidR="004C50DC" w:rsidRDefault="004C50DC" w:rsidP="004C50DC">
      <w:pPr>
        <w:pStyle w:val="p"/>
      </w:pPr>
      <w:r>
        <w:br w:type="page"/>
        <w:t>[vi]</w:t>
      </w:r>
    </w:p>
    <w:p w:rsidR="004C50DC" w:rsidRDefault="004C50DC">
      <w:pPr>
        <w:jc w:val="both"/>
      </w:pPr>
    </w:p>
    <w:p w:rsidR="004C50DC" w:rsidRDefault="004C50DC">
      <w:pPr>
        <w:jc w:val="both"/>
      </w:pPr>
    </w:p>
    <w:p w:rsidR="004C50DC" w:rsidRPr="00EF76C4" w:rsidRDefault="004C50DC" w:rsidP="004C50DC">
      <w:pPr>
        <w:spacing w:after="120"/>
        <w:ind w:firstLine="0"/>
        <w:jc w:val="center"/>
        <w:rPr>
          <w:b/>
          <w:sz w:val="24"/>
        </w:rPr>
      </w:pPr>
      <w:bookmarkStart w:id="3" w:name="tdm"/>
      <w:r w:rsidRPr="00EF76C4">
        <w:rPr>
          <w:b/>
          <w:sz w:val="24"/>
        </w:rPr>
        <w:t>Mémoire de l’esclavage en Haïti.</w:t>
      </w:r>
    </w:p>
    <w:p w:rsidR="004C50DC" w:rsidRDefault="004C50DC" w:rsidP="004C50DC">
      <w:pPr>
        <w:ind w:firstLine="20"/>
        <w:jc w:val="center"/>
      </w:pPr>
      <w:r>
        <w:rPr>
          <w:color w:val="FF0000"/>
          <w:sz w:val="48"/>
        </w:rPr>
        <w:t>Table des matières</w:t>
      </w:r>
      <w:bookmarkEnd w:id="3"/>
    </w:p>
    <w:p w:rsidR="004C50DC" w:rsidRDefault="004C50DC">
      <w:pPr>
        <w:ind w:firstLine="0"/>
      </w:pPr>
    </w:p>
    <w:p w:rsidR="004C50DC" w:rsidRDefault="004C50DC">
      <w:pPr>
        <w:ind w:firstLine="0"/>
      </w:pPr>
    </w:p>
    <w:p w:rsidR="004C50DC" w:rsidRPr="00EF76C4" w:rsidRDefault="004C50DC" w:rsidP="004C50DC">
      <w:pPr>
        <w:spacing w:before="60" w:after="60"/>
        <w:ind w:firstLine="0"/>
        <w:rPr>
          <w:sz w:val="24"/>
        </w:rPr>
      </w:pPr>
      <w:hyperlink w:anchor="Memoire_resume" w:history="1">
        <w:r w:rsidRPr="00161573">
          <w:rPr>
            <w:rStyle w:val="Lienhypertexte"/>
            <w:sz w:val="24"/>
          </w:rPr>
          <w:t>Résumé</w:t>
        </w:r>
      </w:hyperlink>
      <w:r w:rsidRPr="00EF76C4">
        <w:rPr>
          <w:sz w:val="24"/>
        </w:rPr>
        <w:t xml:space="preserve"> [iii]</w:t>
      </w:r>
    </w:p>
    <w:p w:rsidR="004C50DC" w:rsidRPr="00EF76C4" w:rsidRDefault="004C50DC" w:rsidP="004C50DC">
      <w:pPr>
        <w:spacing w:before="60" w:after="60"/>
        <w:ind w:firstLine="0"/>
        <w:rPr>
          <w:sz w:val="24"/>
        </w:rPr>
      </w:pPr>
      <w:hyperlink w:anchor="Memoire_abstract" w:history="1">
        <w:r w:rsidRPr="00161573">
          <w:rPr>
            <w:rStyle w:val="Lienhypertexte"/>
            <w:sz w:val="24"/>
          </w:rPr>
          <w:t>Abstract</w:t>
        </w:r>
      </w:hyperlink>
      <w:r w:rsidRPr="00EF76C4">
        <w:rPr>
          <w:sz w:val="24"/>
        </w:rPr>
        <w:t xml:space="preserve"> [v]</w:t>
      </w:r>
    </w:p>
    <w:p w:rsidR="004C50DC" w:rsidRPr="00EF76C4" w:rsidRDefault="004C50DC" w:rsidP="004C50DC">
      <w:pPr>
        <w:spacing w:before="60" w:after="60"/>
        <w:ind w:firstLine="0"/>
        <w:rPr>
          <w:sz w:val="24"/>
        </w:rPr>
      </w:pPr>
      <w:hyperlink w:anchor="Memoire_table_illustrations" w:history="1">
        <w:r w:rsidRPr="00161573">
          <w:rPr>
            <w:rStyle w:val="Lienhypertexte"/>
            <w:sz w:val="24"/>
          </w:rPr>
          <w:t>Table des illustrations</w:t>
        </w:r>
      </w:hyperlink>
      <w:r w:rsidRPr="00EF76C4">
        <w:rPr>
          <w:sz w:val="24"/>
        </w:rPr>
        <w:t xml:space="preserve"> [xi]</w:t>
      </w:r>
    </w:p>
    <w:p w:rsidR="004C50DC" w:rsidRPr="00EF76C4" w:rsidRDefault="004C50DC" w:rsidP="004C50DC">
      <w:pPr>
        <w:spacing w:before="60" w:after="60"/>
        <w:ind w:firstLine="0"/>
        <w:rPr>
          <w:sz w:val="24"/>
        </w:rPr>
      </w:pPr>
      <w:hyperlink w:anchor="Memoire_dedicaces" w:history="1">
        <w:r w:rsidRPr="00161573">
          <w:rPr>
            <w:rStyle w:val="Lienhypertexte"/>
            <w:sz w:val="24"/>
          </w:rPr>
          <w:t>Dédicaces</w:t>
        </w:r>
      </w:hyperlink>
      <w:r w:rsidRPr="00EF76C4">
        <w:rPr>
          <w:sz w:val="24"/>
        </w:rPr>
        <w:t xml:space="preserve"> [xiii]</w:t>
      </w:r>
    </w:p>
    <w:p w:rsidR="004C50DC" w:rsidRPr="00EF76C4" w:rsidRDefault="004C50DC" w:rsidP="004C50DC">
      <w:pPr>
        <w:spacing w:before="60" w:after="60"/>
        <w:ind w:firstLine="0"/>
        <w:rPr>
          <w:sz w:val="24"/>
        </w:rPr>
      </w:pPr>
      <w:hyperlink w:anchor="Memoire_remerciements" w:history="1">
        <w:r w:rsidRPr="00161573">
          <w:rPr>
            <w:rStyle w:val="Lienhypertexte"/>
            <w:sz w:val="24"/>
          </w:rPr>
          <w:t>Remerciements</w:t>
        </w:r>
      </w:hyperlink>
      <w:r w:rsidRPr="00EF76C4">
        <w:rPr>
          <w:sz w:val="24"/>
        </w:rPr>
        <w:t xml:space="preserve"> [xiv]</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rPr>
          <w:sz w:val="24"/>
        </w:rPr>
      </w:pPr>
      <w:hyperlink w:anchor="Memoire_intro" w:history="1">
        <w:r w:rsidRPr="00161573">
          <w:rPr>
            <w:rStyle w:val="Lienhypertexte"/>
            <w:sz w:val="24"/>
          </w:rPr>
          <w:t>INTRODUCTION</w:t>
        </w:r>
      </w:hyperlink>
      <w:r w:rsidRPr="00EF76C4">
        <w:rPr>
          <w:sz w:val="24"/>
        </w:rPr>
        <w:t xml:space="preserve"> [1]</w:t>
      </w:r>
    </w:p>
    <w:p w:rsidR="004C50DC" w:rsidRPr="00EF76C4" w:rsidRDefault="004C50DC" w:rsidP="004C50DC">
      <w:pPr>
        <w:spacing w:before="60" w:after="60"/>
        <w:ind w:left="540" w:firstLine="0"/>
        <w:rPr>
          <w:sz w:val="24"/>
        </w:rPr>
      </w:pPr>
      <w:r w:rsidRPr="00EF76C4">
        <w:rPr>
          <w:sz w:val="24"/>
        </w:rPr>
        <w:t>Organisation de la thèse [5]</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jc w:val="center"/>
        <w:rPr>
          <w:sz w:val="24"/>
        </w:rPr>
      </w:pPr>
      <w:r w:rsidRPr="00161573">
        <w:rPr>
          <w:b/>
          <w:color w:val="FF0000"/>
          <w:sz w:val="24"/>
        </w:rPr>
        <w:t>Chapitre I</w:t>
      </w:r>
      <w:r w:rsidRPr="00161573">
        <w:rPr>
          <w:b/>
          <w:sz w:val="24"/>
        </w:rPr>
        <w:t>.</w:t>
      </w:r>
      <w:r w:rsidRPr="00161573">
        <w:rPr>
          <w:b/>
          <w:sz w:val="24"/>
        </w:rPr>
        <w:br/>
      </w:r>
      <w:hyperlink w:anchor="Memoire_chap_I" w:history="1">
        <w:r w:rsidRPr="00871030">
          <w:rPr>
            <w:rStyle w:val="Lienhypertexte"/>
            <w:b/>
            <w:sz w:val="24"/>
          </w:rPr>
          <w:t>Problématique des mémoires de l’esclavage en Haïti.</w:t>
        </w:r>
        <w:r w:rsidRPr="00871030">
          <w:rPr>
            <w:rStyle w:val="Lienhypertexte"/>
            <w:b/>
            <w:sz w:val="24"/>
          </w:rPr>
          <w:br/>
          <w:t>Théorie et méthodologie</w:t>
        </w:r>
      </w:hyperlink>
      <w:r w:rsidRPr="00EF76C4">
        <w:rPr>
          <w:sz w:val="24"/>
        </w:rPr>
        <w:t>. [11]</w:t>
      </w:r>
    </w:p>
    <w:p w:rsidR="004C50DC"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1.1.</w:t>
      </w:r>
      <w:r w:rsidRPr="00EF76C4">
        <w:rPr>
          <w:sz w:val="24"/>
        </w:rPr>
        <w:tab/>
      </w:r>
      <w:hyperlink w:anchor="Memoire_chap_I_1" w:history="1">
        <w:r w:rsidRPr="00C92F30">
          <w:rPr>
            <w:rStyle w:val="Lienhypertexte"/>
            <w:sz w:val="24"/>
          </w:rPr>
          <w:t>Problématique d’ensemble de la recherche</w:t>
        </w:r>
      </w:hyperlink>
      <w:r w:rsidRPr="00EF76C4">
        <w:rPr>
          <w:sz w:val="24"/>
        </w:rPr>
        <w:t xml:space="preserve"> [11]</w:t>
      </w:r>
    </w:p>
    <w:p w:rsidR="004C50DC" w:rsidRPr="00EF76C4" w:rsidRDefault="004C50DC" w:rsidP="004C50DC">
      <w:pPr>
        <w:spacing w:before="60" w:after="60"/>
        <w:ind w:left="1260" w:hanging="720"/>
        <w:rPr>
          <w:sz w:val="24"/>
        </w:rPr>
      </w:pPr>
      <w:r w:rsidRPr="00EF76C4">
        <w:rPr>
          <w:sz w:val="24"/>
        </w:rPr>
        <w:t>1.1.1.</w:t>
      </w:r>
      <w:r w:rsidRPr="00EF76C4">
        <w:rPr>
          <w:sz w:val="24"/>
        </w:rPr>
        <w:tab/>
        <w:t>Définition du cadre spatio-temporel [16]</w:t>
      </w:r>
    </w:p>
    <w:p w:rsidR="004C50DC" w:rsidRPr="00EF76C4" w:rsidRDefault="004C50DC" w:rsidP="004C50DC">
      <w:pPr>
        <w:spacing w:before="60" w:after="60"/>
        <w:ind w:left="540" w:hanging="540"/>
        <w:rPr>
          <w:sz w:val="24"/>
        </w:rPr>
      </w:pPr>
      <w:r w:rsidRPr="00EF76C4">
        <w:rPr>
          <w:sz w:val="24"/>
        </w:rPr>
        <w:t>1.2.</w:t>
      </w:r>
      <w:r w:rsidRPr="00EF76C4">
        <w:rPr>
          <w:sz w:val="24"/>
        </w:rPr>
        <w:tab/>
      </w:r>
      <w:hyperlink w:anchor="Memoire_chap_I_2" w:history="1">
        <w:r w:rsidRPr="00C92F30">
          <w:rPr>
            <w:rStyle w:val="Lienhypertexte"/>
            <w:sz w:val="24"/>
          </w:rPr>
          <w:t>Dimension conceptuelle de la patrimonialisation des lieux et de la mémoire: compréhension des enjeux autour des mémoires de l’esclavage en Haïti</w:t>
        </w:r>
      </w:hyperlink>
      <w:r w:rsidRPr="00EF76C4">
        <w:rPr>
          <w:sz w:val="24"/>
        </w:rPr>
        <w:t xml:space="preserve"> [17]</w:t>
      </w:r>
    </w:p>
    <w:p w:rsidR="004C50DC" w:rsidRPr="00EF76C4" w:rsidRDefault="004C50DC" w:rsidP="004C50DC">
      <w:pPr>
        <w:spacing w:before="60" w:after="60"/>
        <w:ind w:left="540" w:hanging="540"/>
        <w:rPr>
          <w:sz w:val="24"/>
        </w:rPr>
      </w:pPr>
      <w:r w:rsidRPr="00EF76C4">
        <w:rPr>
          <w:sz w:val="24"/>
        </w:rPr>
        <w:t>1.3.</w:t>
      </w:r>
      <w:r w:rsidRPr="00EF76C4">
        <w:rPr>
          <w:sz w:val="24"/>
        </w:rPr>
        <w:tab/>
      </w:r>
      <w:hyperlink w:anchor="Memoire_chap_I_3" w:history="1">
        <w:r w:rsidRPr="00C92F30">
          <w:rPr>
            <w:rStyle w:val="Lienhypertexte"/>
            <w:sz w:val="24"/>
          </w:rPr>
          <w:t>Orientations théoriques</w:t>
        </w:r>
      </w:hyperlink>
      <w:r w:rsidRPr="00EF76C4">
        <w:rPr>
          <w:sz w:val="24"/>
        </w:rPr>
        <w:t xml:space="preserve"> [29]</w:t>
      </w:r>
    </w:p>
    <w:p w:rsidR="004C50DC" w:rsidRPr="00EF76C4" w:rsidRDefault="004C50DC" w:rsidP="004C50DC">
      <w:pPr>
        <w:spacing w:before="60" w:after="60"/>
        <w:ind w:left="1260" w:hanging="720"/>
        <w:rPr>
          <w:sz w:val="24"/>
        </w:rPr>
      </w:pPr>
      <w:r w:rsidRPr="00EF76C4">
        <w:rPr>
          <w:sz w:val="24"/>
        </w:rPr>
        <w:t>1.3.1.</w:t>
      </w:r>
      <w:r w:rsidRPr="00EF76C4">
        <w:rPr>
          <w:sz w:val="24"/>
        </w:rPr>
        <w:tab/>
        <w:t>Théorie du discours et du pouvoir de Michel Fo</w:t>
      </w:r>
      <w:r w:rsidRPr="00EF76C4">
        <w:rPr>
          <w:sz w:val="24"/>
        </w:rPr>
        <w:t>u</w:t>
      </w:r>
      <w:r w:rsidRPr="00EF76C4">
        <w:rPr>
          <w:sz w:val="24"/>
        </w:rPr>
        <w:t>cault [29]</w:t>
      </w:r>
    </w:p>
    <w:p w:rsidR="004C50DC" w:rsidRPr="00EF76C4" w:rsidRDefault="004C50DC" w:rsidP="004C50DC">
      <w:pPr>
        <w:spacing w:before="60" w:after="60"/>
        <w:ind w:left="1260" w:hanging="720"/>
        <w:rPr>
          <w:sz w:val="24"/>
        </w:rPr>
      </w:pPr>
      <w:r w:rsidRPr="00EF76C4">
        <w:rPr>
          <w:sz w:val="24"/>
        </w:rPr>
        <w:t>1.3.2.</w:t>
      </w:r>
      <w:r w:rsidRPr="00EF76C4">
        <w:rPr>
          <w:sz w:val="24"/>
        </w:rPr>
        <w:tab/>
        <w:t>Postcolonialisme et critiques postcoloniales [33]</w:t>
      </w:r>
    </w:p>
    <w:p w:rsidR="004C50DC" w:rsidRPr="00EF76C4" w:rsidRDefault="004C50DC" w:rsidP="004C50DC">
      <w:pPr>
        <w:spacing w:before="60" w:after="60"/>
        <w:ind w:left="1260" w:hanging="720"/>
        <w:rPr>
          <w:sz w:val="24"/>
        </w:rPr>
      </w:pPr>
      <w:r w:rsidRPr="00EF76C4">
        <w:rPr>
          <w:sz w:val="24"/>
        </w:rPr>
        <w:t>1.3.3.</w:t>
      </w:r>
      <w:r w:rsidRPr="00EF76C4">
        <w:rPr>
          <w:sz w:val="24"/>
        </w:rPr>
        <w:tab/>
        <w:t>Approches théoriques sur les rapports entre la mémoire et la culture mat</w:t>
      </w:r>
      <w:r w:rsidRPr="00EF76C4">
        <w:rPr>
          <w:sz w:val="24"/>
        </w:rPr>
        <w:t>é</w:t>
      </w:r>
      <w:r w:rsidRPr="00EF76C4">
        <w:rPr>
          <w:sz w:val="24"/>
        </w:rPr>
        <w:t>rielle [38]</w:t>
      </w:r>
    </w:p>
    <w:p w:rsidR="004C50DC" w:rsidRPr="00EF76C4" w:rsidRDefault="004C50DC" w:rsidP="004C50DC">
      <w:pPr>
        <w:spacing w:before="60" w:after="60"/>
        <w:ind w:left="540" w:hanging="540"/>
        <w:rPr>
          <w:sz w:val="24"/>
        </w:rPr>
      </w:pPr>
      <w:r w:rsidRPr="00EF76C4">
        <w:rPr>
          <w:sz w:val="24"/>
        </w:rPr>
        <w:t xml:space="preserve">1.4- </w:t>
      </w:r>
      <w:hyperlink w:anchor="Memoire_chap_I_4" w:history="1">
        <w:r w:rsidRPr="00C92F30">
          <w:rPr>
            <w:rStyle w:val="Lienhypertexte"/>
            <w:sz w:val="24"/>
          </w:rPr>
          <w:t>Sources et méthodologie</w:t>
        </w:r>
      </w:hyperlink>
      <w:r w:rsidRPr="00EF76C4">
        <w:rPr>
          <w:sz w:val="24"/>
        </w:rPr>
        <w:t xml:space="preserve"> [40]</w:t>
      </w:r>
    </w:p>
    <w:p w:rsidR="004C50DC" w:rsidRPr="00EF76C4" w:rsidRDefault="004C50DC" w:rsidP="004C50DC">
      <w:pPr>
        <w:spacing w:before="60" w:after="60"/>
        <w:ind w:left="1260" w:hanging="720"/>
        <w:rPr>
          <w:sz w:val="24"/>
        </w:rPr>
      </w:pPr>
      <w:r w:rsidRPr="00EF76C4">
        <w:rPr>
          <w:sz w:val="24"/>
        </w:rPr>
        <w:t>1.4.1.</w:t>
      </w:r>
      <w:r w:rsidRPr="00EF76C4">
        <w:rPr>
          <w:sz w:val="24"/>
        </w:rPr>
        <w:tab/>
        <w:t>Présentation critique des sources [40]</w:t>
      </w:r>
    </w:p>
    <w:p w:rsidR="004C50DC" w:rsidRPr="00EF76C4" w:rsidRDefault="004C50DC" w:rsidP="004C50DC">
      <w:pPr>
        <w:spacing w:before="60" w:after="60"/>
        <w:ind w:left="1800" w:hanging="540"/>
        <w:rPr>
          <w:sz w:val="24"/>
        </w:rPr>
      </w:pPr>
      <w:r w:rsidRPr="00EF76C4">
        <w:rPr>
          <w:i/>
          <w:sz w:val="24"/>
        </w:rPr>
        <w:t>Sources écrites</w:t>
      </w:r>
      <w:r w:rsidRPr="00EF76C4">
        <w:rPr>
          <w:sz w:val="24"/>
        </w:rPr>
        <w:t xml:space="preserve"> [41]</w:t>
      </w:r>
    </w:p>
    <w:p w:rsidR="004C50DC" w:rsidRPr="00EF76C4" w:rsidRDefault="004C50DC" w:rsidP="004C50DC">
      <w:pPr>
        <w:spacing w:before="60" w:after="60"/>
        <w:ind w:left="1800" w:hanging="540"/>
        <w:rPr>
          <w:sz w:val="24"/>
        </w:rPr>
      </w:pPr>
      <w:r w:rsidRPr="00EF76C4">
        <w:rPr>
          <w:i/>
          <w:sz w:val="24"/>
        </w:rPr>
        <w:t>Sources orales</w:t>
      </w:r>
      <w:r w:rsidRPr="00EF76C4">
        <w:rPr>
          <w:sz w:val="24"/>
        </w:rPr>
        <w:t xml:space="preserve"> [42]</w:t>
      </w:r>
    </w:p>
    <w:p w:rsidR="004C50DC" w:rsidRPr="00EF76C4" w:rsidRDefault="004C50DC" w:rsidP="004C50DC">
      <w:pPr>
        <w:spacing w:before="60" w:after="60"/>
        <w:ind w:left="1800" w:hanging="540"/>
        <w:rPr>
          <w:sz w:val="24"/>
        </w:rPr>
      </w:pPr>
      <w:r w:rsidRPr="00EF76C4">
        <w:rPr>
          <w:i/>
          <w:sz w:val="24"/>
        </w:rPr>
        <w:t>Sources audiovisuelles</w:t>
      </w:r>
      <w:r w:rsidRPr="00EF76C4">
        <w:rPr>
          <w:sz w:val="24"/>
        </w:rPr>
        <w:t xml:space="preserve"> [48]</w:t>
      </w:r>
    </w:p>
    <w:p w:rsidR="004C50DC" w:rsidRPr="00EF76C4" w:rsidRDefault="004C50DC" w:rsidP="004C50DC">
      <w:pPr>
        <w:spacing w:before="60" w:after="60"/>
        <w:ind w:left="1800" w:hanging="540"/>
        <w:rPr>
          <w:sz w:val="24"/>
        </w:rPr>
      </w:pPr>
      <w:r w:rsidRPr="00EF76C4">
        <w:rPr>
          <w:i/>
          <w:sz w:val="24"/>
        </w:rPr>
        <w:t>Sources iconographiques</w:t>
      </w:r>
      <w:r w:rsidRPr="00EF76C4">
        <w:rPr>
          <w:sz w:val="24"/>
        </w:rPr>
        <w:t xml:space="preserve"> [50]</w:t>
      </w:r>
    </w:p>
    <w:p w:rsidR="004C50DC" w:rsidRPr="00EF76C4" w:rsidRDefault="004C50DC" w:rsidP="004C50DC">
      <w:pPr>
        <w:spacing w:before="60" w:after="60"/>
        <w:ind w:left="1260" w:hanging="720"/>
        <w:rPr>
          <w:sz w:val="24"/>
        </w:rPr>
      </w:pPr>
      <w:r w:rsidRPr="00EF76C4">
        <w:rPr>
          <w:sz w:val="24"/>
        </w:rPr>
        <w:t>1.4.2.</w:t>
      </w:r>
      <w:r w:rsidRPr="00EF76C4">
        <w:rPr>
          <w:sz w:val="24"/>
        </w:rPr>
        <w:tab/>
        <w:t>Description raisonnée des méthodes d’analyse [52]</w:t>
      </w:r>
    </w:p>
    <w:p w:rsidR="004C50DC" w:rsidRPr="00EF76C4" w:rsidRDefault="004C50DC" w:rsidP="004C50DC">
      <w:pPr>
        <w:spacing w:before="60" w:after="60"/>
        <w:ind w:firstLine="0"/>
        <w:rPr>
          <w:sz w:val="24"/>
        </w:rPr>
      </w:pPr>
      <w:r w:rsidRPr="00EF76C4">
        <w:rPr>
          <w:sz w:val="24"/>
        </w:rPr>
        <w:br w:type="page"/>
      </w:r>
    </w:p>
    <w:p w:rsidR="004C50DC" w:rsidRPr="00EF76C4" w:rsidRDefault="004C50DC" w:rsidP="004C50DC">
      <w:pPr>
        <w:spacing w:before="60" w:after="60"/>
        <w:ind w:firstLine="0"/>
        <w:jc w:val="center"/>
        <w:rPr>
          <w:sz w:val="24"/>
        </w:rPr>
      </w:pPr>
      <w:r w:rsidRPr="00161573">
        <w:rPr>
          <w:b/>
          <w:color w:val="FF0000"/>
          <w:sz w:val="24"/>
        </w:rPr>
        <w:t>Chapitre II</w:t>
      </w:r>
      <w:r w:rsidRPr="00161573">
        <w:rPr>
          <w:b/>
          <w:sz w:val="24"/>
        </w:rPr>
        <w:t>.</w:t>
      </w:r>
      <w:r w:rsidRPr="00161573">
        <w:rPr>
          <w:b/>
          <w:sz w:val="24"/>
        </w:rPr>
        <w:br/>
      </w:r>
      <w:hyperlink w:anchor="Memoire_chap_II" w:history="1">
        <w:r w:rsidRPr="00871030">
          <w:rPr>
            <w:rStyle w:val="Lienhypertexte"/>
            <w:b/>
            <w:sz w:val="24"/>
          </w:rPr>
          <w:t>Esclavages : entre histoire et mémoire</w:t>
        </w:r>
      </w:hyperlink>
      <w:r w:rsidRPr="00EF76C4">
        <w:rPr>
          <w:sz w:val="24"/>
        </w:rPr>
        <w:t>. [55]</w:t>
      </w:r>
    </w:p>
    <w:p w:rsidR="004C50DC" w:rsidRPr="00EF76C4"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2.1.</w:t>
      </w:r>
      <w:r w:rsidRPr="00EF76C4">
        <w:rPr>
          <w:sz w:val="24"/>
        </w:rPr>
        <w:tab/>
      </w:r>
      <w:hyperlink w:anchor="Memoire_chap_II_1" w:history="1">
        <w:r w:rsidRPr="00C92F30">
          <w:rPr>
            <w:rStyle w:val="Lienhypertexte"/>
            <w:sz w:val="24"/>
          </w:rPr>
          <w:t>L’Esclavage : une histoire diversifiée selon les pays et les époques</w:t>
        </w:r>
      </w:hyperlink>
      <w:r w:rsidRPr="00EF76C4">
        <w:rPr>
          <w:sz w:val="24"/>
        </w:rPr>
        <w:t xml:space="preserve"> [55]</w:t>
      </w:r>
    </w:p>
    <w:p w:rsidR="004C50DC" w:rsidRPr="00EF76C4" w:rsidRDefault="004C50DC" w:rsidP="004C50DC">
      <w:pPr>
        <w:spacing w:before="60" w:after="60"/>
        <w:ind w:left="1260" w:hanging="720"/>
        <w:rPr>
          <w:sz w:val="24"/>
        </w:rPr>
      </w:pPr>
      <w:r w:rsidRPr="00EF76C4">
        <w:rPr>
          <w:sz w:val="24"/>
        </w:rPr>
        <w:t>2.1.1.</w:t>
      </w:r>
      <w:r w:rsidRPr="00EF76C4">
        <w:rPr>
          <w:sz w:val="24"/>
        </w:rPr>
        <w:tab/>
        <w:t>Organisation et développement du système esclav</w:t>
      </w:r>
      <w:r w:rsidRPr="00EF76C4">
        <w:rPr>
          <w:sz w:val="24"/>
        </w:rPr>
        <w:t>a</w:t>
      </w:r>
      <w:r w:rsidRPr="00EF76C4">
        <w:rPr>
          <w:sz w:val="24"/>
        </w:rPr>
        <w:t>giste dans le contexte de la colonisation européenne [60]</w:t>
      </w:r>
    </w:p>
    <w:p w:rsidR="004C50DC" w:rsidRPr="00EF76C4" w:rsidRDefault="004C50DC" w:rsidP="004C50DC">
      <w:pPr>
        <w:spacing w:before="60" w:after="60"/>
        <w:ind w:left="540" w:hanging="540"/>
        <w:rPr>
          <w:sz w:val="24"/>
        </w:rPr>
      </w:pPr>
      <w:r w:rsidRPr="00EF76C4">
        <w:rPr>
          <w:sz w:val="24"/>
        </w:rPr>
        <w:t>2.2.</w:t>
      </w:r>
      <w:r w:rsidRPr="00EF76C4">
        <w:rPr>
          <w:sz w:val="24"/>
        </w:rPr>
        <w:tab/>
      </w:r>
      <w:hyperlink w:anchor="Memoire_chap_II_2" w:history="1">
        <w:r w:rsidRPr="00C92F30">
          <w:rPr>
            <w:rStyle w:val="Lienhypertexte"/>
            <w:sz w:val="24"/>
          </w:rPr>
          <w:t>Patrimonialisation des mémoires de l’esclavage : un même vocable pour plusieurs  mémoires</w:t>
        </w:r>
      </w:hyperlink>
      <w:r w:rsidRPr="00EF76C4">
        <w:rPr>
          <w:sz w:val="24"/>
        </w:rPr>
        <w:t xml:space="preserve"> [75]</w:t>
      </w:r>
    </w:p>
    <w:p w:rsidR="004C50DC" w:rsidRPr="00EF76C4" w:rsidRDefault="004C50DC" w:rsidP="004C50DC">
      <w:pPr>
        <w:spacing w:before="60" w:after="60"/>
        <w:ind w:left="1260" w:hanging="720"/>
        <w:rPr>
          <w:sz w:val="24"/>
        </w:rPr>
      </w:pPr>
      <w:r w:rsidRPr="00EF76C4">
        <w:rPr>
          <w:sz w:val="24"/>
        </w:rPr>
        <w:t>2.2.1.</w:t>
      </w:r>
      <w:r w:rsidRPr="00EF76C4">
        <w:rPr>
          <w:sz w:val="24"/>
        </w:rPr>
        <w:tab/>
        <w:t>En Europe [77]</w:t>
      </w:r>
    </w:p>
    <w:p w:rsidR="004C50DC" w:rsidRPr="00EF76C4" w:rsidRDefault="004C50DC" w:rsidP="004C50DC">
      <w:pPr>
        <w:spacing w:before="60" w:after="60"/>
        <w:ind w:left="1260" w:hanging="720"/>
        <w:rPr>
          <w:sz w:val="24"/>
        </w:rPr>
      </w:pPr>
      <w:r w:rsidRPr="00EF76C4">
        <w:rPr>
          <w:sz w:val="24"/>
        </w:rPr>
        <w:t>2.2.2.</w:t>
      </w:r>
      <w:r w:rsidRPr="00EF76C4">
        <w:rPr>
          <w:sz w:val="24"/>
        </w:rPr>
        <w:tab/>
        <w:t>Dans les Départements d’outre-mer français [89]</w:t>
      </w:r>
    </w:p>
    <w:p w:rsidR="004C50DC" w:rsidRPr="00EF76C4" w:rsidRDefault="004C50DC" w:rsidP="004C50DC">
      <w:pPr>
        <w:spacing w:before="60" w:after="60"/>
        <w:ind w:left="1260" w:hanging="720"/>
        <w:rPr>
          <w:sz w:val="24"/>
        </w:rPr>
      </w:pPr>
      <w:r w:rsidRPr="00EF76C4">
        <w:rPr>
          <w:sz w:val="24"/>
        </w:rPr>
        <w:t>2.2.3.</w:t>
      </w:r>
      <w:r w:rsidRPr="00EF76C4">
        <w:rPr>
          <w:sz w:val="24"/>
        </w:rPr>
        <w:tab/>
        <w:t>En Afrique [93]</w:t>
      </w:r>
    </w:p>
    <w:p w:rsidR="004C50DC" w:rsidRPr="00EF76C4" w:rsidRDefault="004C50DC" w:rsidP="004C50DC">
      <w:pPr>
        <w:spacing w:before="60" w:after="60"/>
        <w:ind w:left="1260" w:hanging="720"/>
        <w:rPr>
          <w:sz w:val="24"/>
        </w:rPr>
      </w:pPr>
      <w:r w:rsidRPr="00EF76C4">
        <w:rPr>
          <w:sz w:val="24"/>
        </w:rPr>
        <w:t>2.2.4.</w:t>
      </w:r>
      <w:r w:rsidRPr="00EF76C4">
        <w:rPr>
          <w:sz w:val="24"/>
        </w:rPr>
        <w:tab/>
        <w:t>Dans les Amériques [95]</w:t>
      </w:r>
    </w:p>
    <w:p w:rsidR="004C50DC" w:rsidRPr="00EF76C4" w:rsidRDefault="004C50DC" w:rsidP="004C50DC">
      <w:pPr>
        <w:spacing w:before="60" w:after="60"/>
        <w:ind w:left="540" w:hanging="540"/>
        <w:rPr>
          <w:sz w:val="24"/>
        </w:rPr>
      </w:pPr>
    </w:p>
    <w:p w:rsidR="004C50DC" w:rsidRPr="00EF76C4" w:rsidRDefault="004C50DC" w:rsidP="004C50DC">
      <w:pPr>
        <w:spacing w:before="60" w:after="60"/>
        <w:ind w:firstLine="0"/>
        <w:jc w:val="center"/>
        <w:rPr>
          <w:sz w:val="24"/>
        </w:rPr>
      </w:pPr>
      <w:r w:rsidRPr="00161573">
        <w:rPr>
          <w:b/>
          <w:color w:val="FF0000"/>
          <w:sz w:val="24"/>
        </w:rPr>
        <w:t>Chapitre III</w:t>
      </w:r>
      <w:r w:rsidRPr="00161573">
        <w:rPr>
          <w:b/>
          <w:sz w:val="24"/>
        </w:rPr>
        <w:t>.</w:t>
      </w:r>
      <w:r w:rsidRPr="00161573">
        <w:rPr>
          <w:b/>
          <w:sz w:val="24"/>
        </w:rPr>
        <w:br/>
      </w:r>
      <w:hyperlink w:anchor="Memoire_chap_III" w:history="1">
        <w:r w:rsidRPr="00871030">
          <w:rPr>
            <w:rStyle w:val="Lienhypertexte"/>
            <w:b/>
            <w:sz w:val="24"/>
          </w:rPr>
          <w:t>Mémoires de l’esclavage en Haïti.</w:t>
        </w:r>
        <w:r w:rsidRPr="00871030">
          <w:rPr>
            <w:rStyle w:val="Lienhypertexte"/>
            <w:b/>
            <w:sz w:val="24"/>
          </w:rPr>
          <w:br/>
          <w:t>Construction politico-historique, place dans l’Instruction publique</w:t>
        </w:r>
        <w:r w:rsidRPr="00871030">
          <w:rPr>
            <w:rStyle w:val="Lienhypertexte"/>
            <w:b/>
            <w:sz w:val="24"/>
          </w:rPr>
          <w:br/>
          <w:t>et transmission</w:t>
        </w:r>
      </w:hyperlink>
      <w:r w:rsidRPr="00EF76C4">
        <w:rPr>
          <w:sz w:val="24"/>
        </w:rPr>
        <w:t>. [106]</w:t>
      </w:r>
    </w:p>
    <w:p w:rsidR="004C50DC" w:rsidRPr="00EF76C4" w:rsidRDefault="004C50DC" w:rsidP="004C50DC">
      <w:pPr>
        <w:spacing w:before="60" w:after="60"/>
        <w:ind w:left="540" w:hanging="540"/>
        <w:rPr>
          <w:sz w:val="24"/>
        </w:rPr>
      </w:pPr>
    </w:p>
    <w:p w:rsidR="004C50DC" w:rsidRPr="00EF76C4" w:rsidRDefault="004C50DC" w:rsidP="004C50DC">
      <w:pPr>
        <w:spacing w:before="60" w:after="60"/>
        <w:ind w:left="540" w:hanging="540"/>
        <w:rPr>
          <w:sz w:val="24"/>
        </w:rPr>
      </w:pPr>
      <w:r w:rsidRPr="00EF76C4">
        <w:rPr>
          <w:sz w:val="24"/>
        </w:rPr>
        <w:t>3.1.</w:t>
      </w:r>
      <w:r w:rsidRPr="00EF76C4">
        <w:rPr>
          <w:sz w:val="24"/>
        </w:rPr>
        <w:tab/>
      </w:r>
      <w:hyperlink w:anchor="Memoire_chap_III_1" w:history="1">
        <w:r w:rsidRPr="00C92F30">
          <w:rPr>
            <w:rStyle w:val="Lienhypertexte"/>
            <w:sz w:val="24"/>
          </w:rPr>
          <w:t>Genèse des entreprises mémorielles de l’esclavage en Haïti</w:t>
        </w:r>
      </w:hyperlink>
      <w:r w:rsidRPr="00EF76C4">
        <w:rPr>
          <w:sz w:val="24"/>
        </w:rPr>
        <w:t xml:space="preserve"> [106]</w:t>
      </w:r>
    </w:p>
    <w:p w:rsidR="004C50DC" w:rsidRPr="00EF76C4" w:rsidRDefault="004C50DC" w:rsidP="004C50DC">
      <w:pPr>
        <w:spacing w:before="60" w:after="60"/>
        <w:ind w:left="1080" w:hanging="540"/>
        <w:rPr>
          <w:sz w:val="24"/>
        </w:rPr>
      </w:pPr>
      <w:r w:rsidRPr="00EF76C4">
        <w:rPr>
          <w:i/>
          <w:sz w:val="24"/>
        </w:rPr>
        <w:t>Contexte et influence d’une mémoire de la liberté</w:t>
      </w:r>
      <w:r w:rsidRPr="00EF76C4">
        <w:rPr>
          <w:sz w:val="24"/>
        </w:rPr>
        <w:t xml:space="preserve"> [108]</w:t>
      </w:r>
    </w:p>
    <w:p w:rsidR="004C50DC" w:rsidRPr="00EF76C4" w:rsidRDefault="004C50DC" w:rsidP="004C50DC">
      <w:pPr>
        <w:spacing w:before="60" w:after="60"/>
        <w:ind w:left="540" w:hanging="540"/>
        <w:rPr>
          <w:sz w:val="24"/>
        </w:rPr>
      </w:pPr>
      <w:r w:rsidRPr="00EF76C4">
        <w:rPr>
          <w:sz w:val="24"/>
        </w:rPr>
        <w:t>3.2.</w:t>
      </w:r>
      <w:r w:rsidRPr="00EF76C4">
        <w:rPr>
          <w:sz w:val="24"/>
        </w:rPr>
        <w:tab/>
      </w:r>
      <w:hyperlink w:anchor="Memoire_chap_III_2" w:history="1">
        <w:r w:rsidRPr="00C92F30">
          <w:rPr>
            <w:rStyle w:val="Lienhypertexte"/>
            <w:sz w:val="24"/>
          </w:rPr>
          <w:t>Politique culturelle : une responsabilité partagée entre l’État et les citoyens</w:t>
        </w:r>
      </w:hyperlink>
      <w:r w:rsidRPr="00EF76C4">
        <w:rPr>
          <w:sz w:val="24"/>
        </w:rPr>
        <w:t xml:space="preserve"> [120]</w:t>
      </w:r>
    </w:p>
    <w:p w:rsidR="004C50DC" w:rsidRPr="00EF76C4" w:rsidRDefault="004C50DC" w:rsidP="004C50DC">
      <w:pPr>
        <w:spacing w:before="60" w:after="60"/>
        <w:ind w:left="1260" w:hanging="720"/>
        <w:rPr>
          <w:sz w:val="24"/>
        </w:rPr>
      </w:pPr>
      <w:r w:rsidRPr="00EF76C4">
        <w:rPr>
          <w:sz w:val="24"/>
        </w:rPr>
        <w:t>3.2.1.</w:t>
      </w:r>
      <w:r w:rsidRPr="00EF76C4">
        <w:rPr>
          <w:sz w:val="24"/>
        </w:rPr>
        <w:tab/>
        <w:t>Politiques culturelles en Haïti : hier et aujourd’hui [123]</w:t>
      </w:r>
    </w:p>
    <w:p w:rsidR="004C50DC" w:rsidRPr="00EF76C4" w:rsidRDefault="004C50DC" w:rsidP="004C50DC">
      <w:pPr>
        <w:spacing w:before="60" w:after="60"/>
        <w:ind w:left="1260" w:hanging="720"/>
        <w:rPr>
          <w:sz w:val="24"/>
        </w:rPr>
      </w:pPr>
      <w:r w:rsidRPr="00EF76C4">
        <w:rPr>
          <w:sz w:val="24"/>
        </w:rPr>
        <w:t>3.2.2.</w:t>
      </w:r>
      <w:r w:rsidRPr="00EF76C4">
        <w:rPr>
          <w:sz w:val="24"/>
        </w:rPr>
        <w:tab/>
        <w:t>La mémoire de l’esclavage dans les politiques cult</w:t>
      </w:r>
      <w:r w:rsidRPr="00EF76C4">
        <w:rPr>
          <w:sz w:val="24"/>
        </w:rPr>
        <w:t>u</w:t>
      </w:r>
      <w:r w:rsidRPr="00EF76C4">
        <w:rPr>
          <w:sz w:val="24"/>
        </w:rPr>
        <w:t>relles [140]</w:t>
      </w:r>
    </w:p>
    <w:p w:rsidR="004C50DC" w:rsidRPr="00EF76C4" w:rsidRDefault="004C50DC" w:rsidP="004C50DC">
      <w:pPr>
        <w:spacing w:before="60" w:after="60"/>
        <w:ind w:left="1800" w:hanging="540"/>
        <w:rPr>
          <w:sz w:val="24"/>
        </w:rPr>
      </w:pPr>
      <w:r w:rsidRPr="00EF76C4">
        <w:rPr>
          <w:i/>
          <w:sz w:val="24"/>
        </w:rPr>
        <w:t>Amnésie, contournement et/ou cautionnement des f</w:t>
      </w:r>
      <w:r w:rsidRPr="00EF76C4">
        <w:rPr>
          <w:i/>
          <w:sz w:val="24"/>
        </w:rPr>
        <w:t>i</w:t>
      </w:r>
      <w:r w:rsidRPr="00EF76C4">
        <w:rPr>
          <w:i/>
          <w:sz w:val="24"/>
        </w:rPr>
        <w:t>gures de l’esclavage</w:t>
      </w:r>
      <w:r w:rsidRPr="00EF76C4">
        <w:rPr>
          <w:sz w:val="24"/>
        </w:rPr>
        <w:t xml:space="preserve"> [145]</w:t>
      </w:r>
    </w:p>
    <w:p w:rsidR="004C50DC" w:rsidRPr="00EF76C4" w:rsidRDefault="004C50DC" w:rsidP="004C50DC">
      <w:pPr>
        <w:spacing w:before="60" w:after="60"/>
        <w:ind w:left="540" w:hanging="540"/>
        <w:rPr>
          <w:sz w:val="24"/>
        </w:rPr>
      </w:pPr>
      <w:r w:rsidRPr="00EF76C4">
        <w:rPr>
          <w:sz w:val="24"/>
        </w:rPr>
        <w:t>3.3.</w:t>
      </w:r>
      <w:r w:rsidRPr="00EF76C4">
        <w:rPr>
          <w:sz w:val="24"/>
        </w:rPr>
        <w:tab/>
      </w:r>
      <w:hyperlink w:anchor="Memoire_chap_III_3" w:history="1">
        <w:r w:rsidRPr="00C92F30">
          <w:rPr>
            <w:rStyle w:val="Lienhypertexte"/>
            <w:sz w:val="24"/>
          </w:rPr>
          <w:t>Instruction publique en Haïti: à l’angle des politiques gouvernementales et des intérêts de la nation</w:t>
        </w:r>
      </w:hyperlink>
      <w:r w:rsidRPr="00EF76C4">
        <w:rPr>
          <w:sz w:val="24"/>
        </w:rPr>
        <w:t xml:space="preserve"> [148]</w:t>
      </w:r>
    </w:p>
    <w:p w:rsidR="004C50DC" w:rsidRPr="00EF76C4" w:rsidRDefault="004C50DC" w:rsidP="004C50DC">
      <w:pPr>
        <w:spacing w:before="60" w:after="60"/>
        <w:ind w:left="1080" w:hanging="540"/>
        <w:rPr>
          <w:sz w:val="24"/>
        </w:rPr>
      </w:pPr>
      <w:r w:rsidRPr="00EF76C4">
        <w:rPr>
          <w:i/>
          <w:sz w:val="24"/>
        </w:rPr>
        <w:t>Prémisses de l’enseignement de l’histoire d’Haïti</w:t>
      </w:r>
      <w:r w:rsidRPr="00EF76C4">
        <w:rPr>
          <w:sz w:val="24"/>
        </w:rPr>
        <w:t xml:space="preserve"> [152]</w:t>
      </w:r>
    </w:p>
    <w:p w:rsidR="004C50DC" w:rsidRPr="00EF76C4" w:rsidRDefault="004C50DC" w:rsidP="004C50DC">
      <w:pPr>
        <w:spacing w:before="60" w:after="60"/>
        <w:ind w:left="540" w:hanging="540"/>
        <w:rPr>
          <w:sz w:val="24"/>
        </w:rPr>
      </w:pPr>
      <w:r w:rsidRPr="00EF76C4">
        <w:rPr>
          <w:sz w:val="24"/>
        </w:rPr>
        <w:t>3.4.</w:t>
      </w:r>
      <w:r w:rsidRPr="00EF76C4">
        <w:rPr>
          <w:sz w:val="24"/>
        </w:rPr>
        <w:tab/>
      </w:r>
      <w:hyperlink w:anchor="Memoire_chap_III_4" w:history="1">
        <w:r w:rsidRPr="00C92F30">
          <w:rPr>
            <w:rStyle w:val="Lienhypertexte"/>
            <w:sz w:val="24"/>
          </w:rPr>
          <w:t>Influence et apport des écoles historiques dans l’enseignement de l’histoire</w:t>
        </w:r>
      </w:hyperlink>
      <w:r w:rsidRPr="00EF76C4">
        <w:rPr>
          <w:sz w:val="24"/>
        </w:rPr>
        <w:t xml:space="preserve"> [155]</w:t>
      </w:r>
    </w:p>
    <w:p w:rsidR="004C50DC" w:rsidRPr="00EF76C4" w:rsidRDefault="004C50DC" w:rsidP="004C50DC">
      <w:pPr>
        <w:spacing w:before="60" w:after="60"/>
        <w:ind w:left="1260" w:hanging="720"/>
        <w:rPr>
          <w:sz w:val="24"/>
        </w:rPr>
      </w:pPr>
      <w:r w:rsidRPr="00EF76C4">
        <w:rPr>
          <w:sz w:val="24"/>
        </w:rPr>
        <w:t>3.4.1.</w:t>
      </w:r>
      <w:r w:rsidRPr="00EF76C4">
        <w:rPr>
          <w:sz w:val="24"/>
        </w:rPr>
        <w:tab/>
        <w:t>Le nationalisme héroïque plutôt que l’esclavage comme choix m</w:t>
      </w:r>
      <w:r w:rsidRPr="00EF76C4">
        <w:rPr>
          <w:sz w:val="24"/>
        </w:rPr>
        <w:t>é</w:t>
      </w:r>
      <w:r w:rsidRPr="00EF76C4">
        <w:rPr>
          <w:sz w:val="24"/>
        </w:rPr>
        <w:t>moriel officiel [156]</w:t>
      </w:r>
    </w:p>
    <w:p w:rsidR="004C50DC" w:rsidRPr="00EF76C4" w:rsidRDefault="004C50DC" w:rsidP="004C50DC">
      <w:pPr>
        <w:spacing w:before="60" w:after="60"/>
        <w:ind w:left="1260" w:hanging="720"/>
        <w:rPr>
          <w:sz w:val="24"/>
        </w:rPr>
      </w:pPr>
      <w:r w:rsidRPr="00EF76C4">
        <w:rPr>
          <w:sz w:val="24"/>
        </w:rPr>
        <w:t>3.4.2.</w:t>
      </w:r>
      <w:r w:rsidRPr="00EF76C4">
        <w:rPr>
          <w:sz w:val="24"/>
        </w:rPr>
        <w:tab/>
        <w:t>Place de l’esclavage dans les programmes d’enseignement de l’histoire d’Haïti [160]</w:t>
      </w:r>
    </w:p>
    <w:p w:rsidR="004C50DC" w:rsidRPr="00EF76C4" w:rsidRDefault="004C50DC" w:rsidP="004C50DC">
      <w:pPr>
        <w:spacing w:before="60" w:after="60"/>
        <w:ind w:left="540" w:hanging="540"/>
        <w:rPr>
          <w:sz w:val="24"/>
        </w:rPr>
      </w:pPr>
      <w:r w:rsidRPr="00EF76C4">
        <w:rPr>
          <w:sz w:val="24"/>
        </w:rPr>
        <w:t>3.5.</w:t>
      </w:r>
      <w:r w:rsidRPr="00EF76C4">
        <w:rPr>
          <w:sz w:val="24"/>
        </w:rPr>
        <w:tab/>
      </w:r>
      <w:hyperlink w:anchor="Memoire_chap_III_5" w:history="1">
        <w:r w:rsidRPr="00C92F30">
          <w:rPr>
            <w:rStyle w:val="Lienhypertexte"/>
            <w:sz w:val="24"/>
          </w:rPr>
          <w:t>Travail de mémoire et mémoires de l’esclavage en Haïti</w:t>
        </w:r>
      </w:hyperlink>
      <w:r w:rsidRPr="00EF76C4">
        <w:rPr>
          <w:sz w:val="24"/>
        </w:rPr>
        <w:t xml:space="preserve"> [165]</w:t>
      </w:r>
    </w:p>
    <w:p w:rsidR="004C50DC" w:rsidRPr="00EF76C4" w:rsidRDefault="004C50DC" w:rsidP="004C50DC">
      <w:pPr>
        <w:spacing w:before="60" w:after="60"/>
        <w:ind w:left="1260" w:hanging="720"/>
        <w:rPr>
          <w:sz w:val="24"/>
        </w:rPr>
      </w:pPr>
      <w:r w:rsidRPr="00EF76C4">
        <w:rPr>
          <w:sz w:val="24"/>
        </w:rPr>
        <w:t>3.5.1.</w:t>
      </w:r>
      <w:r w:rsidRPr="00EF76C4">
        <w:rPr>
          <w:sz w:val="24"/>
        </w:rPr>
        <w:tab/>
        <w:t>Présentation analytique de la transmission des mémo</w:t>
      </w:r>
      <w:r w:rsidRPr="00EF76C4">
        <w:rPr>
          <w:sz w:val="24"/>
        </w:rPr>
        <w:t>i</w:t>
      </w:r>
      <w:r w:rsidRPr="00EF76C4">
        <w:rPr>
          <w:sz w:val="24"/>
        </w:rPr>
        <w:t>res [167]</w:t>
      </w:r>
    </w:p>
    <w:p w:rsidR="004C50DC" w:rsidRDefault="004C50DC" w:rsidP="004C50DC">
      <w:pPr>
        <w:spacing w:before="60" w:after="60"/>
        <w:ind w:firstLine="0"/>
        <w:rPr>
          <w:sz w:val="24"/>
        </w:rPr>
      </w:pPr>
    </w:p>
    <w:p w:rsidR="004C50DC" w:rsidRDefault="004C50DC" w:rsidP="004C50DC">
      <w:pPr>
        <w:spacing w:before="60" w:after="60"/>
        <w:ind w:firstLine="0"/>
        <w:rPr>
          <w:sz w:val="24"/>
        </w:rPr>
      </w:pPr>
    </w:p>
    <w:p w:rsidR="004C50DC" w:rsidRPr="00EF76C4" w:rsidRDefault="004C50DC" w:rsidP="004C50DC">
      <w:pPr>
        <w:spacing w:before="60" w:after="60"/>
        <w:ind w:firstLine="0"/>
        <w:jc w:val="center"/>
        <w:rPr>
          <w:sz w:val="24"/>
        </w:rPr>
      </w:pPr>
      <w:r w:rsidRPr="00161573">
        <w:rPr>
          <w:b/>
          <w:color w:val="FF0000"/>
          <w:sz w:val="24"/>
        </w:rPr>
        <w:t>Chapitre IV</w:t>
      </w:r>
      <w:r w:rsidRPr="00161573">
        <w:rPr>
          <w:b/>
          <w:sz w:val="24"/>
        </w:rPr>
        <w:t>.</w:t>
      </w:r>
      <w:r w:rsidRPr="00161573">
        <w:rPr>
          <w:b/>
          <w:sz w:val="24"/>
        </w:rPr>
        <w:br/>
      </w:r>
      <w:hyperlink w:anchor="Memoire_chap_IV" w:history="1">
        <w:r w:rsidRPr="00871030">
          <w:rPr>
            <w:rStyle w:val="Lienhypertexte"/>
            <w:b/>
            <w:sz w:val="24"/>
          </w:rPr>
          <w:t>Usages sociaux des mémoires de l’esclavage en Haïti</w:t>
        </w:r>
      </w:hyperlink>
      <w:r w:rsidRPr="00EF76C4">
        <w:rPr>
          <w:sz w:val="24"/>
        </w:rPr>
        <w:t>. [170]</w:t>
      </w:r>
    </w:p>
    <w:p w:rsidR="004C50DC" w:rsidRPr="00EF76C4"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4.1.</w:t>
      </w:r>
      <w:r w:rsidRPr="00EF76C4">
        <w:rPr>
          <w:sz w:val="24"/>
        </w:rPr>
        <w:tab/>
      </w:r>
      <w:hyperlink w:anchor="Memoire_chap_IV_1" w:history="1">
        <w:r w:rsidRPr="00C92F30">
          <w:rPr>
            <w:rStyle w:val="Lienhypertexte"/>
            <w:sz w:val="24"/>
          </w:rPr>
          <w:t>La mémoire de l’esclavage dans la littérature haïtienne</w:t>
        </w:r>
      </w:hyperlink>
      <w:r w:rsidRPr="00EF76C4">
        <w:rPr>
          <w:sz w:val="24"/>
        </w:rPr>
        <w:t xml:space="preserve"> [171]</w:t>
      </w:r>
    </w:p>
    <w:p w:rsidR="004C50DC" w:rsidRPr="00EF76C4" w:rsidRDefault="004C50DC" w:rsidP="004C50DC">
      <w:pPr>
        <w:spacing w:before="60" w:after="60"/>
        <w:ind w:left="1080" w:hanging="540"/>
        <w:rPr>
          <w:sz w:val="24"/>
        </w:rPr>
      </w:pPr>
      <w:r w:rsidRPr="00EF76C4">
        <w:rPr>
          <w:i/>
          <w:sz w:val="24"/>
        </w:rPr>
        <w:t>L'École indigéniste haïtienne: la culture populaire et l’évocation des racines afr</w:t>
      </w:r>
      <w:r w:rsidRPr="00EF76C4">
        <w:rPr>
          <w:i/>
          <w:sz w:val="24"/>
        </w:rPr>
        <w:t>i</w:t>
      </w:r>
      <w:r w:rsidRPr="00EF76C4">
        <w:rPr>
          <w:i/>
          <w:sz w:val="24"/>
        </w:rPr>
        <w:t>caines inspirent la lutte contre l’oppresseur étranger</w:t>
      </w:r>
      <w:r w:rsidRPr="00EF76C4">
        <w:rPr>
          <w:sz w:val="24"/>
        </w:rPr>
        <w:t xml:space="preserve"> [179]</w:t>
      </w:r>
    </w:p>
    <w:p w:rsidR="004C50DC" w:rsidRPr="00EF76C4" w:rsidRDefault="004C50DC" w:rsidP="004C50DC">
      <w:pPr>
        <w:spacing w:before="60" w:after="60"/>
        <w:ind w:left="540" w:hanging="540"/>
        <w:rPr>
          <w:sz w:val="24"/>
        </w:rPr>
      </w:pPr>
      <w:r w:rsidRPr="00EF76C4">
        <w:rPr>
          <w:sz w:val="24"/>
        </w:rPr>
        <w:t>4.2.</w:t>
      </w:r>
      <w:r w:rsidRPr="00EF76C4">
        <w:rPr>
          <w:sz w:val="24"/>
        </w:rPr>
        <w:tab/>
      </w:r>
      <w:hyperlink w:anchor="Memoire_chap_IV_2" w:history="1">
        <w:r w:rsidRPr="00C92F30">
          <w:rPr>
            <w:rStyle w:val="Lienhypertexte"/>
            <w:sz w:val="24"/>
          </w:rPr>
          <w:t>Mise en œuvre sociopolitique de la mémoire de l’esclavage</w:t>
        </w:r>
      </w:hyperlink>
      <w:r w:rsidRPr="00EF76C4">
        <w:rPr>
          <w:sz w:val="24"/>
        </w:rPr>
        <w:t xml:space="preserve"> [185]</w:t>
      </w:r>
    </w:p>
    <w:p w:rsidR="004C50DC" w:rsidRPr="00EF76C4" w:rsidRDefault="004C50DC" w:rsidP="004C50DC">
      <w:pPr>
        <w:spacing w:before="60" w:after="60"/>
        <w:ind w:left="1260" w:hanging="720"/>
        <w:rPr>
          <w:sz w:val="24"/>
        </w:rPr>
      </w:pPr>
      <w:r w:rsidRPr="00EF76C4">
        <w:rPr>
          <w:sz w:val="24"/>
        </w:rPr>
        <w:t>4.2.1.</w:t>
      </w:r>
      <w:r w:rsidRPr="00EF76C4">
        <w:rPr>
          <w:sz w:val="24"/>
        </w:rPr>
        <w:tab/>
        <w:t>Position de la presse haïtienne [187]</w:t>
      </w:r>
    </w:p>
    <w:p w:rsidR="004C50DC" w:rsidRPr="00EF76C4" w:rsidRDefault="004C50DC" w:rsidP="004C50DC">
      <w:pPr>
        <w:spacing w:before="60" w:after="60"/>
        <w:ind w:left="540" w:hanging="540"/>
        <w:rPr>
          <w:sz w:val="24"/>
        </w:rPr>
      </w:pPr>
      <w:r w:rsidRPr="00EF76C4">
        <w:rPr>
          <w:sz w:val="24"/>
        </w:rPr>
        <w:t>4.3.</w:t>
      </w:r>
      <w:r w:rsidRPr="00EF76C4">
        <w:rPr>
          <w:sz w:val="24"/>
        </w:rPr>
        <w:tab/>
      </w:r>
      <w:hyperlink w:anchor="Memoire_chap_IV_3" w:history="1">
        <w:r w:rsidRPr="00C92F30">
          <w:rPr>
            <w:rStyle w:val="Lienhypertexte"/>
            <w:sz w:val="24"/>
          </w:rPr>
          <w:t>Représentations de l’esclavage dans l’espace public haïtien</w:t>
        </w:r>
      </w:hyperlink>
      <w:r w:rsidRPr="00EF76C4">
        <w:rPr>
          <w:sz w:val="24"/>
        </w:rPr>
        <w:t xml:space="preserve"> [190]</w:t>
      </w:r>
    </w:p>
    <w:p w:rsidR="004C50DC" w:rsidRPr="00EF76C4" w:rsidRDefault="004C50DC" w:rsidP="004C50DC">
      <w:pPr>
        <w:spacing w:before="60" w:after="60"/>
        <w:ind w:left="1260" w:hanging="720"/>
        <w:rPr>
          <w:sz w:val="24"/>
        </w:rPr>
      </w:pPr>
      <w:r w:rsidRPr="00EF76C4">
        <w:rPr>
          <w:sz w:val="24"/>
        </w:rPr>
        <w:t>4.3.1.</w:t>
      </w:r>
      <w:r w:rsidRPr="00EF76C4">
        <w:rPr>
          <w:sz w:val="24"/>
        </w:rPr>
        <w:tab/>
        <w:t>La mémoire de l’esclavage au Musée du Panthéon national haïtien (M</w:t>
      </w:r>
      <w:r w:rsidRPr="00EF76C4">
        <w:rPr>
          <w:sz w:val="24"/>
        </w:rPr>
        <w:t>U</w:t>
      </w:r>
      <w:r w:rsidRPr="00EF76C4">
        <w:rPr>
          <w:sz w:val="24"/>
        </w:rPr>
        <w:t>PANAH) [191]</w:t>
      </w:r>
    </w:p>
    <w:p w:rsidR="004C50DC" w:rsidRPr="00EF76C4" w:rsidRDefault="004C50DC" w:rsidP="004C50DC">
      <w:pPr>
        <w:spacing w:before="60" w:after="60"/>
        <w:ind w:left="1800" w:hanging="540"/>
        <w:rPr>
          <w:sz w:val="24"/>
        </w:rPr>
      </w:pPr>
      <w:r w:rsidRPr="00EF76C4">
        <w:rPr>
          <w:i/>
          <w:sz w:val="24"/>
        </w:rPr>
        <w:t>Code noir et cloche</w:t>
      </w:r>
      <w:r w:rsidRPr="00EF76C4">
        <w:rPr>
          <w:sz w:val="24"/>
        </w:rPr>
        <w:t xml:space="preserve"> [192]</w:t>
      </w:r>
    </w:p>
    <w:p w:rsidR="004C50DC" w:rsidRPr="00EF76C4" w:rsidRDefault="004C50DC" w:rsidP="004C50DC">
      <w:pPr>
        <w:spacing w:before="60" w:after="60"/>
        <w:ind w:left="1800" w:hanging="540"/>
        <w:rPr>
          <w:sz w:val="24"/>
        </w:rPr>
      </w:pPr>
      <w:r w:rsidRPr="00EF76C4">
        <w:rPr>
          <w:i/>
          <w:sz w:val="24"/>
        </w:rPr>
        <w:t>Les fers d’esclaves</w:t>
      </w:r>
      <w:r w:rsidRPr="00EF76C4">
        <w:rPr>
          <w:sz w:val="24"/>
        </w:rPr>
        <w:t xml:space="preserve"> [193]</w:t>
      </w:r>
    </w:p>
    <w:p w:rsidR="004C50DC" w:rsidRPr="00EF76C4" w:rsidRDefault="004C50DC" w:rsidP="004C50DC">
      <w:pPr>
        <w:spacing w:before="60" w:after="60"/>
        <w:ind w:left="1800" w:hanging="540"/>
        <w:rPr>
          <w:sz w:val="24"/>
        </w:rPr>
      </w:pPr>
      <w:r w:rsidRPr="00EF76C4">
        <w:rPr>
          <w:i/>
          <w:sz w:val="24"/>
        </w:rPr>
        <w:t>Tambour « Asòtò</w:t>
      </w:r>
      <w:r w:rsidRPr="00EF76C4">
        <w:rPr>
          <w:sz w:val="24"/>
        </w:rPr>
        <w:t xml:space="preserve"> » [194]</w:t>
      </w:r>
    </w:p>
    <w:p w:rsidR="004C50DC" w:rsidRPr="00EF76C4" w:rsidRDefault="004C50DC" w:rsidP="004C50DC">
      <w:pPr>
        <w:spacing w:before="60" w:after="60"/>
        <w:ind w:left="1800" w:hanging="540"/>
        <w:rPr>
          <w:sz w:val="24"/>
        </w:rPr>
      </w:pPr>
      <w:r w:rsidRPr="00EF76C4">
        <w:rPr>
          <w:i/>
          <w:sz w:val="24"/>
        </w:rPr>
        <w:t>Exposition « D’Ayiti à Haïti, la Liberté conquise</w:t>
      </w:r>
      <w:r w:rsidRPr="00EF76C4">
        <w:rPr>
          <w:sz w:val="24"/>
        </w:rPr>
        <w:t xml:space="preserve"> » [197]</w:t>
      </w:r>
    </w:p>
    <w:p w:rsidR="004C50DC" w:rsidRPr="00EF76C4" w:rsidRDefault="004C50DC" w:rsidP="004C50DC">
      <w:pPr>
        <w:spacing w:before="60" w:after="60"/>
        <w:ind w:left="1800" w:hanging="540"/>
        <w:rPr>
          <w:sz w:val="24"/>
        </w:rPr>
      </w:pPr>
      <w:r w:rsidRPr="00EF76C4">
        <w:rPr>
          <w:i/>
          <w:sz w:val="24"/>
        </w:rPr>
        <w:t>Exposition « Chimen libète » (Chemin de la liberté)</w:t>
      </w:r>
      <w:r w:rsidRPr="00EF76C4">
        <w:rPr>
          <w:sz w:val="24"/>
        </w:rPr>
        <w:t xml:space="preserve"> [198]</w:t>
      </w:r>
    </w:p>
    <w:p w:rsidR="004C50DC" w:rsidRPr="00EF76C4" w:rsidRDefault="004C50DC" w:rsidP="004C50DC">
      <w:pPr>
        <w:spacing w:before="60" w:after="60"/>
        <w:ind w:left="1260" w:hanging="720"/>
        <w:rPr>
          <w:sz w:val="24"/>
        </w:rPr>
      </w:pPr>
      <w:r w:rsidRPr="00EF76C4">
        <w:rPr>
          <w:sz w:val="24"/>
        </w:rPr>
        <w:t>4.3.2.</w:t>
      </w:r>
      <w:r w:rsidRPr="00EF76C4">
        <w:rPr>
          <w:sz w:val="24"/>
        </w:rPr>
        <w:tab/>
        <w:t>Le Bureau national d’ethnologie et la mémoire de l’esclavage [199]</w:t>
      </w:r>
    </w:p>
    <w:p w:rsidR="004C50DC" w:rsidRPr="00EF76C4" w:rsidRDefault="004C50DC" w:rsidP="004C50DC">
      <w:pPr>
        <w:spacing w:before="60" w:after="60"/>
        <w:ind w:left="1260" w:hanging="720"/>
        <w:rPr>
          <w:sz w:val="24"/>
        </w:rPr>
      </w:pPr>
      <w:r w:rsidRPr="00EF76C4">
        <w:rPr>
          <w:sz w:val="24"/>
        </w:rPr>
        <w:t>4.3.3.</w:t>
      </w:r>
      <w:r w:rsidRPr="00EF76C4">
        <w:rPr>
          <w:sz w:val="24"/>
        </w:rPr>
        <w:tab/>
        <w:t>Tambour  marengwen : entre instrument de musique et symbole de rébe</w:t>
      </w:r>
      <w:r w:rsidRPr="00EF76C4">
        <w:rPr>
          <w:sz w:val="24"/>
        </w:rPr>
        <w:t>l</w:t>
      </w:r>
      <w:r w:rsidRPr="00EF76C4">
        <w:rPr>
          <w:sz w:val="24"/>
        </w:rPr>
        <w:t>lion [200]</w:t>
      </w:r>
    </w:p>
    <w:p w:rsidR="004C50DC" w:rsidRPr="00EF76C4" w:rsidRDefault="004C50DC" w:rsidP="004C50DC">
      <w:pPr>
        <w:spacing w:before="60" w:after="60"/>
        <w:ind w:left="1260" w:hanging="720"/>
        <w:rPr>
          <w:sz w:val="24"/>
        </w:rPr>
      </w:pPr>
      <w:r w:rsidRPr="00EF76C4">
        <w:rPr>
          <w:sz w:val="24"/>
        </w:rPr>
        <w:t>4.3.4.</w:t>
      </w:r>
      <w:r w:rsidRPr="00EF76C4">
        <w:rPr>
          <w:sz w:val="24"/>
        </w:rPr>
        <w:tab/>
        <w:t>Le Marron inconnu, symbole populaire de la liberté au Champ de Mars [202]</w:t>
      </w:r>
    </w:p>
    <w:p w:rsidR="004C50DC" w:rsidRPr="00EF76C4" w:rsidRDefault="004C50DC" w:rsidP="004C50DC">
      <w:pPr>
        <w:spacing w:before="60" w:after="60"/>
        <w:ind w:left="1260" w:hanging="720"/>
        <w:rPr>
          <w:sz w:val="24"/>
        </w:rPr>
      </w:pPr>
      <w:r w:rsidRPr="00EF76C4">
        <w:rPr>
          <w:sz w:val="24"/>
        </w:rPr>
        <w:t>4.3.5.</w:t>
      </w:r>
      <w:r w:rsidRPr="00EF76C4">
        <w:rPr>
          <w:sz w:val="24"/>
        </w:rPr>
        <w:tab/>
        <w:t>Parc historique de la canne à sucre et musée Ogier Fombrun: initiat</w:t>
      </w:r>
      <w:r w:rsidRPr="00EF76C4">
        <w:rPr>
          <w:sz w:val="24"/>
        </w:rPr>
        <w:t>i</w:t>
      </w:r>
      <w:r w:rsidRPr="00EF76C4">
        <w:rPr>
          <w:sz w:val="24"/>
        </w:rPr>
        <w:t>ves citoyennes pour la valorisation de la m</w:t>
      </w:r>
      <w:r w:rsidRPr="00EF76C4">
        <w:rPr>
          <w:sz w:val="24"/>
        </w:rPr>
        <w:t>é</w:t>
      </w:r>
      <w:r w:rsidRPr="00EF76C4">
        <w:rPr>
          <w:sz w:val="24"/>
        </w:rPr>
        <w:t>moire de l’esclavage [204]</w:t>
      </w:r>
    </w:p>
    <w:p w:rsidR="004C50DC" w:rsidRPr="00EF76C4" w:rsidRDefault="004C50DC" w:rsidP="004C50DC">
      <w:pPr>
        <w:spacing w:before="60" w:after="60"/>
        <w:ind w:left="1800" w:hanging="540"/>
        <w:rPr>
          <w:sz w:val="24"/>
        </w:rPr>
      </w:pPr>
      <w:r w:rsidRPr="00EF76C4">
        <w:rPr>
          <w:i/>
          <w:sz w:val="24"/>
        </w:rPr>
        <w:t>Parc historique de la canne à sucre</w:t>
      </w:r>
      <w:r w:rsidRPr="00EF76C4">
        <w:rPr>
          <w:sz w:val="24"/>
        </w:rPr>
        <w:t xml:space="preserve"> [205]</w:t>
      </w:r>
    </w:p>
    <w:p w:rsidR="004C50DC" w:rsidRPr="00EF76C4" w:rsidRDefault="004C50DC" w:rsidP="004C50DC">
      <w:pPr>
        <w:spacing w:before="60" w:after="60"/>
        <w:ind w:left="1800" w:hanging="540"/>
        <w:rPr>
          <w:sz w:val="24"/>
        </w:rPr>
      </w:pPr>
      <w:r w:rsidRPr="00EF76C4">
        <w:rPr>
          <w:i/>
          <w:sz w:val="24"/>
        </w:rPr>
        <w:t>Musée colonial Ogier-Fombrun</w:t>
      </w:r>
      <w:r w:rsidRPr="00EF76C4">
        <w:rPr>
          <w:sz w:val="24"/>
        </w:rPr>
        <w:t xml:space="preserve"> [206]</w:t>
      </w:r>
    </w:p>
    <w:p w:rsidR="004C50DC" w:rsidRPr="00EF76C4" w:rsidRDefault="004C50DC" w:rsidP="004C50DC">
      <w:pPr>
        <w:spacing w:before="60" w:after="60"/>
        <w:ind w:left="1260" w:hanging="720"/>
        <w:rPr>
          <w:sz w:val="24"/>
        </w:rPr>
      </w:pPr>
      <w:r w:rsidRPr="00EF76C4">
        <w:rPr>
          <w:sz w:val="24"/>
        </w:rPr>
        <w:t>4.3.6.</w:t>
      </w:r>
      <w:r w:rsidRPr="00EF76C4">
        <w:rPr>
          <w:sz w:val="24"/>
        </w:rPr>
        <w:tab/>
        <w:t>La Place d’armes aux Gonaïves [208]</w:t>
      </w:r>
    </w:p>
    <w:p w:rsidR="004C50DC" w:rsidRPr="00EF76C4" w:rsidRDefault="004C50DC" w:rsidP="004C50DC">
      <w:pPr>
        <w:spacing w:before="60" w:after="60"/>
        <w:ind w:left="1260" w:hanging="720"/>
        <w:rPr>
          <w:sz w:val="24"/>
        </w:rPr>
      </w:pPr>
      <w:r w:rsidRPr="00EF76C4">
        <w:rPr>
          <w:sz w:val="24"/>
        </w:rPr>
        <w:t>4.3.7.</w:t>
      </w:r>
      <w:r w:rsidRPr="00EF76C4">
        <w:rPr>
          <w:sz w:val="24"/>
        </w:rPr>
        <w:tab/>
        <w:t>Les Héros de Vertières au Cap-Haïtien [210]</w:t>
      </w:r>
    </w:p>
    <w:p w:rsidR="004C50DC" w:rsidRPr="00EF76C4" w:rsidRDefault="004C50DC" w:rsidP="004C50DC">
      <w:pPr>
        <w:spacing w:before="60" w:after="60"/>
        <w:ind w:left="540" w:hanging="540"/>
        <w:rPr>
          <w:sz w:val="24"/>
        </w:rPr>
      </w:pPr>
      <w:r w:rsidRPr="00EF76C4">
        <w:rPr>
          <w:sz w:val="24"/>
        </w:rPr>
        <w:t>4.4.</w:t>
      </w:r>
      <w:r w:rsidRPr="00EF76C4">
        <w:rPr>
          <w:sz w:val="24"/>
        </w:rPr>
        <w:tab/>
      </w:r>
      <w:hyperlink w:anchor="Memoire_chap_IV_4" w:history="1">
        <w:r w:rsidRPr="00C92F30">
          <w:rPr>
            <w:rStyle w:val="Lienhypertexte"/>
            <w:sz w:val="24"/>
          </w:rPr>
          <w:t>Euphémisme ou réelle question de couleur</w:t>
        </w:r>
      </w:hyperlink>
      <w:r w:rsidRPr="00EF76C4">
        <w:rPr>
          <w:sz w:val="24"/>
        </w:rPr>
        <w:t xml:space="preserve"> [213]</w:t>
      </w:r>
    </w:p>
    <w:p w:rsidR="004C50DC" w:rsidRPr="00EF76C4" w:rsidRDefault="004C50DC" w:rsidP="004C50DC">
      <w:pPr>
        <w:spacing w:before="60" w:after="60"/>
        <w:ind w:left="540" w:hanging="540"/>
        <w:rPr>
          <w:sz w:val="24"/>
        </w:rPr>
      </w:pPr>
      <w:r w:rsidRPr="00EF76C4">
        <w:rPr>
          <w:sz w:val="24"/>
        </w:rPr>
        <w:t>4.5.</w:t>
      </w:r>
      <w:r w:rsidRPr="00EF76C4">
        <w:rPr>
          <w:sz w:val="24"/>
        </w:rPr>
        <w:tab/>
      </w:r>
      <w:hyperlink w:anchor="Memoire_chap_IV_5" w:history="1">
        <w:r w:rsidRPr="00C92F30">
          <w:rPr>
            <w:rStyle w:val="Lienhypertexte"/>
            <w:sz w:val="24"/>
          </w:rPr>
          <w:t>Gestion des pouvoirs publics : difficultés et incohérences</w:t>
        </w:r>
      </w:hyperlink>
      <w:r w:rsidRPr="00EF76C4">
        <w:rPr>
          <w:sz w:val="24"/>
        </w:rPr>
        <w:t xml:space="preserve"> [222]</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jc w:val="center"/>
        <w:rPr>
          <w:sz w:val="24"/>
        </w:rPr>
      </w:pPr>
      <w:r w:rsidRPr="00161573">
        <w:rPr>
          <w:b/>
          <w:color w:val="FF0000"/>
          <w:sz w:val="24"/>
        </w:rPr>
        <w:t>Chapitre V</w:t>
      </w:r>
      <w:r w:rsidRPr="00161573">
        <w:rPr>
          <w:b/>
          <w:sz w:val="24"/>
        </w:rPr>
        <w:t>.</w:t>
      </w:r>
      <w:r w:rsidRPr="00161573">
        <w:rPr>
          <w:b/>
          <w:sz w:val="24"/>
        </w:rPr>
        <w:br/>
      </w:r>
      <w:hyperlink w:anchor="Memoire_chap_V" w:history="1">
        <w:r w:rsidRPr="00871030">
          <w:rPr>
            <w:rStyle w:val="Lienhypertexte"/>
            <w:b/>
            <w:sz w:val="24"/>
          </w:rPr>
          <w:t>Perceptions des mémoires de l’esclavage dans les lieux matériels :</w:t>
        </w:r>
        <w:r w:rsidRPr="00871030">
          <w:rPr>
            <w:rStyle w:val="Lienhypertexte"/>
            <w:b/>
            <w:sz w:val="24"/>
          </w:rPr>
          <w:br/>
          <w:t>habitations coloniales et fortifications</w:t>
        </w:r>
      </w:hyperlink>
      <w:r w:rsidRPr="00EF76C4">
        <w:rPr>
          <w:sz w:val="24"/>
        </w:rPr>
        <w:t>. [227]</w:t>
      </w:r>
    </w:p>
    <w:p w:rsidR="004C50DC" w:rsidRPr="00EF76C4" w:rsidRDefault="004C50DC" w:rsidP="004C50DC">
      <w:pPr>
        <w:spacing w:before="60" w:after="60"/>
        <w:ind w:left="1080" w:firstLine="0"/>
        <w:rPr>
          <w:sz w:val="24"/>
        </w:rPr>
      </w:pPr>
    </w:p>
    <w:p w:rsidR="004C50DC" w:rsidRPr="00EF76C4" w:rsidRDefault="004C50DC" w:rsidP="004C50DC">
      <w:pPr>
        <w:spacing w:before="60" w:after="60"/>
        <w:ind w:left="540" w:hanging="540"/>
        <w:rPr>
          <w:sz w:val="24"/>
        </w:rPr>
      </w:pPr>
      <w:r w:rsidRPr="00EF76C4">
        <w:rPr>
          <w:sz w:val="24"/>
        </w:rPr>
        <w:t>5.1.</w:t>
      </w:r>
      <w:r w:rsidRPr="00EF76C4">
        <w:rPr>
          <w:sz w:val="24"/>
        </w:rPr>
        <w:tab/>
      </w:r>
      <w:hyperlink w:anchor="Memoire_chap_V_1" w:history="1">
        <w:r w:rsidRPr="00C92F30">
          <w:rPr>
            <w:rStyle w:val="Lienhypertexte"/>
            <w:sz w:val="24"/>
          </w:rPr>
          <w:t>Organisation et type d’habitation coloniale</w:t>
        </w:r>
      </w:hyperlink>
      <w:r w:rsidRPr="00EF76C4">
        <w:rPr>
          <w:sz w:val="24"/>
        </w:rPr>
        <w:t xml:space="preserve"> [227]</w:t>
      </w:r>
    </w:p>
    <w:p w:rsidR="004C50DC" w:rsidRPr="00EF76C4" w:rsidRDefault="004C50DC" w:rsidP="004C50DC">
      <w:pPr>
        <w:spacing w:before="60" w:after="60"/>
        <w:ind w:left="540" w:hanging="540"/>
        <w:rPr>
          <w:sz w:val="24"/>
        </w:rPr>
      </w:pPr>
      <w:r w:rsidRPr="00EF76C4">
        <w:rPr>
          <w:sz w:val="24"/>
        </w:rPr>
        <w:t>5.2.</w:t>
      </w:r>
      <w:r w:rsidRPr="00EF76C4">
        <w:rPr>
          <w:sz w:val="24"/>
        </w:rPr>
        <w:tab/>
      </w:r>
      <w:hyperlink w:anchor="Memoire_chap_V_2" w:history="1">
        <w:r w:rsidRPr="00C92F30">
          <w:rPr>
            <w:rStyle w:val="Lienhypertexte"/>
            <w:sz w:val="24"/>
          </w:rPr>
          <w:t>Place des habitations coloniales et des fortifications dans les entreprises mémorielles et dans la construction de la nation haïtienne</w:t>
        </w:r>
      </w:hyperlink>
      <w:r w:rsidRPr="00EF76C4">
        <w:rPr>
          <w:sz w:val="24"/>
        </w:rPr>
        <w:t xml:space="preserve"> [233]</w:t>
      </w:r>
    </w:p>
    <w:p w:rsidR="004C50DC" w:rsidRPr="00EF76C4" w:rsidRDefault="004C50DC" w:rsidP="004C50DC">
      <w:pPr>
        <w:spacing w:before="60" w:after="60"/>
        <w:ind w:left="1260" w:hanging="720"/>
        <w:rPr>
          <w:sz w:val="24"/>
        </w:rPr>
      </w:pPr>
      <w:r w:rsidRPr="00EF76C4">
        <w:rPr>
          <w:sz w:val="24"/>
        </w:rPr>
        <w:t>5.2.1.</w:t>
      </w:r>
      <w:r w:rsidRPr="00EF76C4">
        <w:rPr>
          <w:sz w:val="24"/>
        </w:rPr>
        <w:tab/>
        <w:t>Mémoires consignées dans les vestiges des habitations coloni</w:t>
      </w:r>
      <w:r w:rsidRPr="00EF76C4">
        <w:rPr>
          <w:sz w:val="24"/>
        </w:rPr>
        <w:t>a</w:t>
      </w:r>
      <w:r w:rsidRPr="00EF76C4">
        <w:rPr>
          <w:sz w:val="24"/>
        </w:rPr>
        <w:t>les [233]</w:t>
      </w:r>
    </w:p>
    <w:p w:rsidR="004C50DC" w:rsidRPr="00EF76C4" w:rsidRDefault="004C50DC" w:rsidP="004C50DC">
      <w:pPr>
        <w:spacing w:before="60" w:after="60"/>
        <w:ind w:left="2160" w:hanging="900"/>
        <w:rPr>
          <w:sz w:val="24"/>
        </w:rPr>
      </w:pPr>
      <w:r w:rsidRPr="00EF76C4">
        <w:rPr>
          <w:sz w:val="24"/>
        </w:rPr>
        <w:t>5.2.1.1.</w:t>
      </w:r>
      <w:r w:rsidRPr="00EF76C4">
        <w:rPr>
          <w:sz w:val="24"/>
        </w:rPr>
        <w:tab/>
        <w:t>Moteur de l’expansion économique des colonies europée</w:t>
      </w:r>
      <w:r w:rsidRPr="00EF76C4">
        <w:rPr>
          <w:sz w:val="24"/>
        </w:rPr>
        <w:t>n</w:t>
      </w:r>
      <w:r w:rsidRPr="00EF76C4">
        <w:rPr>
          <w:sz w:val="24"/>
        </w:rPr>
        <w:t>nes dans les Amériques, raison d’être de la condition serv</w:t>
      </w:r>
      <w:r w:rsidRPr="00EF76C4">
        <w:rPr>
          <w:sz w:val="24"/>
        </w:rPr>
        <w:t>i</w:t>
      </w:r>
      <w:r w:rsidRPr="00EF76C4">
        <w:rPr>
          <w:sz w:val="24"/>
        </w:rPr>
        <w:t>le et modèle d’une rationalisation très poussée du travail de nat</w:t>
      </w:r>
      <w:r w:rsidRPr="00EF76C4">
        <w:rPr>
          <w:sz w:val="24"/>
        </w:rPr>
        <w:t>u</w:t>
      </w:r>
      <w:r w:rsidRPr="00EF76C4">
        <w:rPr>
          <w:sz w:val="24"/>
        </w:rPr>
        <w:t>re proto-industrielle [234]</w:t>
      </w:r>
    </w:p>
    <w:p w:rsidR="004C50DC" w:rsidRPr="00EF76C4" w:rsidRDefault="004C50DC" w:rsidP="004C50DC">
      <w:pPr>
        <w:spacing w:before="60" w:after="60"/>
        <w:ind w:left="2160" w:hanging="900"/>
        <w:rPr>
          <w:sz w:val="24"/>
        </w:rPr>
      </w:pPr>
      <w:r w:rsidRPr="00EF76C4">
        <w:rPr>
          <w:sz w:val="24"/>
        </w:rPr>
        <w:t>5.2.1.2.</w:t>
      </w:r>
      <w:r w:rsidRPr="00EF76C4">
        <w:rPr>
          <w:sz w:val="24"/>
        </w:rPr>
        <w:tab/>
        <w:t>Lieu d’exploitation et d’aliénation de l’esclave [240]</w:t>
      </w:r>
    </w:p>
    <w:p w:rsidR="004C50DC" w:rsidRPr="00EF76C4" w:rsidRDefault="004C50DC" w:rsidP="004C50DC">
      <w:pPr>
        <w:spacing w:before="60" w:after="60"/>
        <w:ind w:left="2160" w:hanging="900"/>
        <w:rPr>
          <w:sz w:val="24"/>
        </w:rPr>
      </w:pPr>
      <w:r w:rsidRPr="00EF76C4">
        <w:rPr>
          <w:sz w:val="24"/>
        </w:rPr>
        <w:t>5.2.1.3.</w:t>
      </w:r>
      <w:r w:rsidRPr="00EF76C4">
        <w:rPr>
          <w:sz w:val="24"/>
        </w:rPr>
        <w:tab/>
        <w:t>Espace de cohabitation et de métissage cult</w:t>
      </w:r>
      <w:r w:rsidRPr="00EF76C4">
        <w:rPr>
          <w:sz w:val="24"/>
        </w:rPr>
        <w:t>u</w:t>
      </w:r>
      <w:r w:rsidRPr="00EF76C4">
        <w:rPr>
          <w:sz w:val="24"/>
        </w:rPr>
        <w:t>rel [244]</w:t>
      </w:r>
    </w:p>
    <w:p w:rsidR="004C50DC" w:rsidRPr="00EF76C4" w:rsidRDefault="004C50DC" w:rsidP="004C50DC">
      <w:pPr>
        <w:spacing w:before="60" w:after="60"/>
        <w:ind w:left="540" w:hanging="540"/>
        <w:rPr>
          <w:sz w:val="24"/>
        </w:rPr>
      </w:pPr>
      <w:r w:rsidRPr="00EF76C4">
        <w:rPr>
          <w:sz w:val="24"/>
        </w:rPr>
        <w:t>5.3.</w:t>
      </w:r>
      <w:r w:rsidRPr="00EF76C4">
        <w:rPr>
          <w:sz w:val="24"/>
        </w:rPr>
        <w:tab/>
      </w:r>
      <w:hyperlink w:anchor="Memoire_chap_V_3" w:history="1">
        <w:r w:rsidRPr="00C92F30">
          <w:rPr>
            <w:rStyle w:val="Lienhypertexte"/>
            <w:sz w:val="24"/>
          </w:rPr>
          <w:t>Structuration générale d’une fortification coloniale et post-coloniale haïtie</w:t>
        </w:r>
        <w:r w:rsidRPr="00C92F30">
          <w:rPr>
            <w:rStyle w:val="Lienhypertexte"/>
            <w:sz w:val="24"/>
          </w:rPr>
          <w:t>n</w:t>
        </w:r>
        <w:r w:rsidRPr="00C92F30">
          <w:rPr>
            <w:rStyle w:val="Lienhypertexte"/>
            <w:sz w:val="24"/>
          </w:rPr>
          <w:t>ne</w:t>
        </w:r>
      </w:hyperlink>
      <w:r w:rsidRPr="00EF76C4">
        <w:rPr>
          <w:sz w:val="24"/>
        </w:rPr>
        <w:t xml:space="preserve"> [247]</w:t>
      </w:r>
    </w:p>
    <w:p w:rsidR="004C50DC" w:rsidRPr="00EF76C4" w:rsidRDefault="004C50DC" w:rsidP="004C50DC">
      <w:pPr>
        <w:spacing w:before="60" w:after="60"/>
        <w:ind w:left="540" w:hanging="540"/>
        <w:rPr>
          <w:sz w:val="24"/>
        </w:rPr>
      </w:pPr>
      <w:r w:rsidRPr="00EF76C4">
        <w:rPr>
          <w:sz w:val="24"/>
        </w:rPr>
        <w:t>5.4.</w:t>
      </w:r>
      <w:r w:rsidRPr="00EF76C4">
        <w:rPr>
          <w:sz w:val="24"/>
        </w:rPr>
        <w:tab/>
      </w:r>
      <w:hyperlink w:anchor="Memoire_chap_V_4" w:history="1">
        <w:r w:rsidRPr="00C92F30">
          <w:rPr>
            <w:rStyle w:val="Lienhypertexte"/>
            <w:sz w:val="24"/>
          </w:rPr>
          <w:t>Symbolisme et idées véhiculées dans les fortifications</w:t>
        </w:r>
      </w:hyperlink>
      <w:r w:rsidRPr="00EF76C4">
        <w:rPr>
          <w:sz w:val="24"/>
        </w:rPr>
        <w:t xml:space="preserve"> [258]</w:t>
      </w:r>
    </w:p>
    <w:p w:rsidR="004C50DC" w:rsidRPr="00EF76C4" w:rsidRDefault="004C50DC" w:rsidP="004C50DC">
      <w:pPr>
        <w:spacing w:before="60" w:after="60"/>
        <w:ind w:left="1260" w:hanging="720"/>
        <w:rPr>
          <w:sz w:val="24"/>
        </w:rPr>
      </w:pPr>
      <w:r w:rsidRPr="00EF76C4">
        <w:rPr>
          <w:sz w:val="24"/>
        </w:rPr>
        <w:t>5.4.1.</w:t>
      </w:r>
      <w:r w:rsidRPr="00EF76C4">
        <w:rPr>
          <w:sz w:val="24"/>
        </w:rPr>
        <w:tab/>
        <w:t>Habitations et fortifications : berceaux de la révolte, ressorts de la l</w:t>
      </w:r>
      <w:r w:rsidRPr="00EF76C4">
        <w:rPr>
          <w:sz w:val="24"/>
        </w:rPr>
        <w:t>i</w:t>
      </w:r>
      <w:r w:rsidRPr="00EF76C4">
        <w:rPr>
          <w:sz w:val="24"/>
        </w:rPr>
        <w:t>berté et lieux d’anonymat [261]</w:t>
      </w:r>
    </w:p>
    <w:p w:rsidR="004C50DC" w:rsidRPr="00EF76C4" w:rsidRDefault="004C50DC" w:rsidP="004C50DC">
      <w:pPr>
        <w:spacing w:before="60" w:after="60"/>
        <w:ind w:left="540" w:hanging="540"/>
        <w:rPr>
          <w:sz w:val="24"/>
        </w:rPr>
      </w:pPr>
      <w:r w:rsidRPr="00EF76C4">
        <w:rPr>
          <w:sz w:val="24"/>
        </w:rPr>
        <w:t>5.5.</w:t>
      </w:r>
      <w:r w:rsidRPr="00EF76C4">
        <w:rPr>
          <w:sz w:val="24"/>
        </w:rPr>
        <w:tab/>
      </w:r>
      <w:hyperlink w:anchor="Memoire_chap_V_5" w:history="1">
        <w:r w:rsidRPr="00C92F30">
          <w:rPr>
            <w:rStyle w:val="Lienhypertexte"/>
            <w:sz w:val="24"/>
          </w:rPr>
          <w:t>Le regard haïtien sur les habitations coloniales et les fortifications</w:t>
        </w:r>
      </w:hyperlink>
      <w:r w:rsidRPr="00EF76C4">
        <w:rPr>
          <w:sz w:val="24"/>
        </w:rPr>
        <w:t xml:space="preserve"> [265]</w:t>
      </w:r>
    </w:p>
    <w:p w:rsidR="004C50DC" w:rsidRPr="00EF76C4" w:rsidRDefault="004C50DC" w:rsidP="004C50DC">
      <w:pPr>
        <w:spacing w:before="60" w:after="60"/>
        <w:ind w:left="1080" w:hanging="540"/>
        <w:rPr>
          <w:sz w:val="24"/>
        </w:rPr>
      </w:pPr>
      <w:r w:rsidRPr="00EF76C4">
        <w:rPr>
          <w:i/>
          <w:sz w:val="24"/>
        </w:rPr>
        <w:t>Citadelle Henri Christophe à Milot</w:t>
      </w:r>
      <w:r w:rsidRPr="00EF76C4">
        <w:rPr>
          <w:sz w:val="24"/>
        </w:rPr>
        <w:t xml:space="preserve"> [267]</w:t>
      </w:r>
    </w:p>
    <w:p w:rsidR="004C50DC" w:rsidRPr="00EF76C4" w:rsidRDefault="004C50DC" w:rsidP="004C50DC">
      <w:pPr>
        <w:spacing w:before="60" w:after="60"/>
        <w:ind w:left="1080" w:hanging="540"/>
        <w:rPr>
          <w:sz w:val="24"/>
        </w:rPr>
      </w:pPr>
      <w:r w:rsidRPr="00EF76C4">
        <w:rPr>
          <w:i/>
          <w:sz w:val="24"/>
        </w:rPr>
        <w:t>Le fort de la Crête-à-Pierrot</w:t>
      </w:r>
      <w:r w:rsidRPr="00EF76C4">
        <w:rPr>
          <w:sz w:val="24"/>
        </w:rPr>
        <w:t xml:space="preserve"> [272]</w:t>
      </w:r>
    </w:p>
    <w:p w:rsidR="004C50DC" w:rsidRPr="00EF76C4" w:rsidRDefault="004C50DC" w:rsidP="004C50DC">
      <w:pPr>
        <w:spacing w:before="60" w:after="60"/>
        <w:ind w:left="1080" w:hanging="540"/>
        <w:rPr>
          <w:sz w:val="24"/>
        </w:rPr>
      </w:pPr>
      <w:r w:rsidRPr="00EF76C4">
        <w:rPr>
          <w:i/>
          <w:sz w:val="24"/>
        </w:rPr>
        <w:t>Les fortiﬁcations de Dessalines</w:t>
      </w:r>
      <w:r w:rsidRPr="00EF76C4">
        <w:rPr>
          <w:sz w:val="24"/>
        </w:rPr>
        <w:t xml:space="preserve"> [278]</w:t>
      </w:r>
    </w:p>
    <w:p w:rsidR="004C50DC" w:rsidRPr="00EF76C4" w:rsidRDefault="004C50DC" w:rsidP="004C50DC">
      <w:pPr>
        <w:spacing w:before="60" w:after="60"/>
        <w:ind w:left="1080" w:hanging="540"/>
        <w:rPr>
          <w:sz w:val="24"/>
        </w:rPr>
      </w:pPr>
      <w:r w:rsidRPr="00EF76C4">
        <w:rPr>
          <w:i/>
          <w:sz w:val="24"/>
        </w:rPr>
        <w:t>Habitation (Camp) Gérard dans la commune des Cayes</w:t>
      </w:r>
      <w:r w:rsidRPr="00EF76C4">
        <w:rPr>
          <w:sz w:val="24"/>
        </w:rPr>
        <w:t xml:space="preserve"> [283]</w:t>
      </w:r>
    </w:p>
    <w:p w:rsidR="004C50DC" w:rsidRPr="00EF76C4" w:rsidRDefault="004C50DC" w:rsidP="004C50DC">
      <w:pPr>
        <w:spacing w:before="60" w:after="60"/>
        <w:ind w:left="1080" w:hanging="540"/>
        <w:rPr>
          <w:sz w:val="24"/>
        </w:rPr>
      </w:pPr>
      <w:r w:rsidRPr="00EF76C4">
        <w:rPr>
          <w:i/>
          <w:sz w:val="24"/>
        </w:rPr>
        <w:t>Habitation Pemerle aux Cayes</w:t>
      </w:r>
      <w:r w:rsidRPr="00EF76C4">
        <w:rPr>
          <w:sz w:val="24"/>
        </w:rPr>
        <w:t xml:space="preserve"> [287]</w:t>
      </w:r>
    </w:p>
    <w:p w:rsidR="004C50DC" w:rsidRPr="00EF76C4" w:rsidRDefault="004C50DC" w:rsidP="004C50DC">
      <w:pPr>
        <w:spacing w:before="60" w:after="60"/>
        <w:ind w:left="1080" w:hanging="540"/>
        <w:rPr>
          <w:sz w:val="24"/>
        </w:rPr>
      </w:pPr>
      <w:r w:rsidRPr="00EF76C4">
        <w:rPr>
          <w:i/>
          <w:sz w:val="24"/>
        </w:rPr>
        <w:t>Habitation Caradeux à Tabarre</w:t>
      </w:r>
      <w:r w:rsidRPr="00EF76C4">
        <w:rPr>
          <w:sz w:val="24"/>
        </w:rPr>
        <w:t xml:space="preserve"> [289]</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jc w:val="center"/>
        <w:rPr>
          <w:sz w:val="24"/>
        </w:rPr>
      </w:pPr>
      <w:r w:rsidRPr="00161573">
        <w:rPr>
          <w:b/>
          <w:color w:val="FF0000"/>
          <w:sz w:val="24"/>
        </w:rPr>
        <w:t>Chapitre VI</w:t>
      </w:r>
      <w:r w:rsidRPr="00161573">
        <w:rPr>
          <w:b/>
          <w:sz w:val="24"/>
        </w:rPr>
        <w:t>.</w:t>
      </w:r>
      <w:r w:rsidRPr="00161573">
        <w:rPr>
          <w:b/>
          <w:sz w:val="24"/>
        </w:rPr>
        <w:br/>
      </w:r>
      <w:hyperlink w:anchor="Memoire_chap_VI" w:history="1">
        <w:r w:rsidRPr="00871030">
          <w:rPr>
            <w:rStyle w:val="Lienhypertexte"/>
            <w:b/>
            <w:sz w:val="24"/>
          </w:rPr>
          <w:t>Pratiques et formes d’expressions liées aux mémoires de l'esclavage :</w:t>
        </w:r>
        <w:r w:rsidRPr="00871030">
          <w:rPr>
            <w:rStyle w:val="Lienhypertexte"/>
            <w:b/>
            <w:sz w:val="24"/>
          </w:rPr>
          <w:br/>
          <w:t>éléments d’une identité</w:t>
        </w:r>
      </w:hyperlink>
      <w:r w:rsidRPr="00EF76C4">
        <w:rPr>
          <w:sz w:val="24"/>
        </w:rPr>
        <w:t>. [295]</w:t>
      </w:r>
    </w:p>
    <w:p w:rsidR="004C50DC" w:rsidRPr="00EF76C4"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6.1.</w:t>
      </w:r>
      <w:r w:rsidRPr="00EF76C4">
        <w:rPr>
          <w:sz w:val="24"/>
        </w:rPr>
        <w:tab/>
      </w:r>
      <w:hyperlink w:anchor="Memoire_chap_VI_1" w:history="1">
        <w:r w:rsidRPr="00C92F30">
          <w:rPr>
            <w:rStyle w:val="Lienhypertexte"/>
            <w:sz w:val="24"/>
          </w:rPr>
          <w:t>Mémoires et expériences de l'esclavage : accommodement d’une fierté et d'une gêne</w:t>
        </w:r>
      </w:hyperlink>
      <w:r w:rsidRPr="00EF76C4">
        <w:rPr>
          <w:sz w:val="24"/>
        </w:rPr>
        <w:t xml:space="preserve"> [296]</w:t>
      </w:r>
    </w:p>
    <w:p w:rsidR="004C50DC" w:rsidRPr="00EF76C4" w:rsidRDefault="004C50DC" w:rsidP="004C50DC">
      <w:pPr>
        <w:spacing w:before="60" w:after="60"/>
        <w:ind w:left="1080" w:hanging="540"/>
        <w:rPr>
          <w:sz w:val="24"/>
        </w:rPr>
      </w:pPr>
      <w:r w:rsidRPr="00EF76C4">
        <w:rPr>
          <w:i/>
          <w:sz w:val="24"/>
        </w:rPr>
        <w:t>L’évidence paysanne haïtienne</w:t>
      </w:r>
      <w:r w:rsidRPr="00EF76C4">
        <w:rPr>
          <w:sz w:val="24"/>
        </w:rPr>
        <w:t xml:space="preserve"> [299]</w:t>
      </w:r>
    </w:p>
    <w:p w:rsidR="004C50DC" w:rsidRPr="00EF76C4" w:rsidRDefault="004C50DC" w:rsidP="004C50DC">
      <w:pPr>
        <w:spacing w:before="60" w:after="60"/>
        <w:ind w:left="1080" w:hanging="540"/>
        <w:rPr>
          <w:sz w:val="24"/>
        </w:rPr>
      </w:pPr>
      <w:r w:rsidRPr="00EF76C4">
        <w:rPr>
          <w:i/>
          <w:sz w:val="24"/>
        </w:rPr>
        <w:t>La domesticité infantile</w:t>
      </w:r>
      <w:r w:rsidRPr="00EF76C4">
        <w:rPr>
          <w:sz w:val="24"/>
        </w:rPr>
        <w:t xml:space="preserve"> [303]</w:t>
      </w:r>
    </w:p>
    <w:p w:rsidR="004C50DC" w:rsidRPr="00EF76C4" w:rsidRDefault="004C50DC" w:rsidP="004C50DC">
      <w:pPr>
        <w:spacing w:before="60" w:after="60"/>
        <w:ind w:left="1080" w:hanging="540"/>
        <w:rPr>
          <w:sz w:val="24"/>
        </w:rPr>
      </w:pPr>
      <w:r w:rsidRPr="00EF76C4">
        <w:rPr>
          <w:i/>
          <w:sz w:val="24"/>
        </w:rPr>
        <w:t>La figure des femmes</w:t>
      </w:r>
      <w:r w:rsidRPr="00EF76C4">
        <w:rPr>
          <w:sz w:val="24"/>
        </w:rPr>
        <w:t xml:space="preserve"> [306]</w:t>
      </w:r>
    </w:p>
    <w:p w:rsidR="004C50DC" w:rsidRPr="00EF76C4" w:rsidRDefault="004C50DC" w:rsidP="004C50DC">
      <w:pPr>
        <w:spacing w:before="60" w:after="60"/>
        <w:ind w:left="540" w:hanging="540"/>
        <w:rPr>
          <w:sz w:val="24"/>
        </w:rPr>
      </w:pPr>
      <w:r w:rsidRPr="00EF76C4">
        <w:rPr>
          <w:sz w:val="24"/>
        </w:rPr>
        <w:t>6.2.</w:t>
      </w:r>
      <w:r w:rsidRPr="00EF76C4">
        <w:rPr>
          <w:sz w:val="24"/>
        </w:rPr>
        <w:tab/>
      </w:r>
      <w:hyperlink w:anchor="Memoire_chap_VI_2" w:history="1">
        <w:r w:rsidRPr="00C92F30">
          <w:rPr>
            <w:rStyle w:val="Lienhypertexte"/>
            <w:sz w:val="24"/>
          </w:rPr>
          <w:t>Le créole haïtien : une adaptation linguistique en contexte colonial</w:t>
        </w:r>
      </w:hyperlink>
      <w:r w:rsidRPr="00EF76C4">
        <w:rPr>
          <w:sz w:val="24"/>
        </w:rPr>
        <w:t xml:space="preserve"> [310]</w:t>
      </w:r>
    </w:p>
    <w:p w:rsidR="004C50DC" w:rsidRPr="00EF76C4" w:rsidRDefault="004C50DC" w:rsidP="004C50DC">
      <w:pPr>
        <w:spacing w:before="60" w:after="60"/>
        <w:ind w:left="1080" w:hanging="540"/>
        <w:rPr>
          <w:sz w:val="24"/>
        </w:rPr>
      </w:pPr>
      <w:r w:rsidRPr="00EF76C4">
        <w:rPr>
          <w:i/>
          <w:sz w:val="24"/>
        </w:rPr>
        <w:t>Proverbe</w:t>
      </w:r>
      <w:r w:rsidRPr="00EF76C4">
        <w:rPr>
          <w:sz w:val="24"/>
        </w:rPr>
        <w:t xml:space="preserve"> [317]</w:t>
      </w:r>
    </w:p>
    <w:p w:rsidR="004C50DC" w:rsidRPr="00EF76C4" w:rsidRDefault="004C50DC" w:rsidP="004C50DC">
      <w:pPr>
        <w:spacing w:before="60" w:after="60"/>
        <w:ind w:left="1080" w:hanging="540"/>
        <w:rPr>
          <w:sz w:val="24"/>
        </w:rPr>
      </w:pPr>
      <w:r w:rsidRPr="00EF76C4">
        <w:rPr>
          <w:i/>
          <w:sz w:val="24"/>
        </w:rPr>
        <w:t>Contes</w:t>
      </w:r>
      <w:r w:rsidRPr="00EF76C4">
        <w:rPr>
          <w:sz w:val="24"/>
        </w:rPr>
        <w:t xml:space="preserve"> [322]</w:t>
      </w:r>
    </w:p>
    <w:p w:rsidR="004C50DC" w:rsidRPr="00EF76C4" w:rsidRDefault="004C50DC" w:rsidP="004C50DC">
      <w:pPr>
        <w:spacing w:before="60" w:after="60"/>
        <w:ind w:left="540" w:hanging="540"/>
        <w:rPr>
          <w:sz w:val="24"/>
        </w:rPr>
      </w:pPr>
      <w:r w:rsidRPr="00EF76C4">
        <w:rPr>
          <w:sz w:val="24"/>
        </w:rPr>
        <w:t>6.3.</w:t>
      </w:r>
      <w:r w:rsidRPr="00EF76C4">
        <w:rPr>
          <w:sz w:val="24"/>
        </w:rPr>
        <w:tab/>
      </w:r>
      <w:hyperlink w:anchor="Memoire_chap_VI_3" w:history="1">
        <w:r w:rsidRPr="00C92F30">
          <w:rPr>
            <w:rStyle w:val="Lienhypertexte"/>
            <w:sz w:val="24"/>
          </w:rPr>
          <w:t>La mémoire de l’esclavage dans les expressions artistiques et culturelles</w:t>
        </w:r>
      </w:hyperlink>
      <w:r w:rsidRPr="00EF76C4">
        <w:rPr>
          <w:sz w:val="24"/>
        </w:rPr>
        <w:t xml:space="preserve"> [325]</w:t>
      </w:r>
    </w:p>
    <w:p w:rsidR="004C50DC" w:rsidRPr="00EF76C4" w:rsidRDefault="004C50DC" w:rsidP="004C50DC">
      <w:pPr>
        <w:spacing w:before="60" w:after="60"/>
        <w:ind w:left="1080" w:hanging="540"/>
        <w:rPr>
          <w:sz w:val="24"/>
        </w:rPr>
      </w:pPr>
      <w:r w:rsidRPr="00EF76C4">
        <w:rPr>
          <w:i/>
          <w:sz w:val="24"/>
        </w:rPr>
        <w:t>Musique</w:t>
      </w:r>
      <w:r w:rsidRPr="00EF76C4">
        <w:rPr>
          <w:sz w:val="24"/>
        </w:rPr>
        <w:t xml:space="preserve"> [325]</w:t>
      </w:r>
    </w:p>
    <w:p w:rsidR="004C50DC" w:rsidRPr="00EF76C4" w:rsidRDefault="004C50DC" w:rsidP="004C50DC">
      <w:pPr>
        <w:spacing w:before="60" w:after="60"/>
        <w:ind w:left="1080" w:hanging="540"/>
        <w:rPr>
          <w:sz w:val="24"/>
        </w:rPr>
      </w:pPr>
      <w:r w:rsidRPr="00EF76C4">
        <w:rPr>
          <w:i/>
          <w:sz w:val="24"/>
        </w:rPr>
        <w:t>Défilés carnavalesques</w:t>
      </w:r>
      <w:r w:rsidRPr="00EF76C4">
        <w:rPr>
          <w:sz w:val="24"/>
        </w:rPr>
        <w:t xml:space="preserve"> [330]</w:t>
      </w:r>
    </w:p>
    <w:p w:rsidR="004C50DC" w:rsidRPr="00EF76C4" w:rsidRDefault="004C50DC" w:rsidP="004C50DC">
      <w:pPr>
        <w:spacing w:before="60" w:after="60"/>
        <w:ind w:left="1080" w:hanging="540"/>
        <w:rPr>
          <w:sz w:val="24"/>
        </w:rPr>
      </w:pPr>
      <w:r w:rsidRPr="00EF76C4">
        <w:rPr>
          <w:i/>
          <w:sz w:val="24"/>
        </w:rPr>
        <w:t>Rara</w:t>
      </w:r>
      <w:r w:rsidRPr="00EF76C4">
        <w:rPr>
          <w:sz w:val="24"/>
        </w:rPr>
        <w:t xml:space="preserve"> [333]</w:t>
      </w:r>
    </w:p>
    <w:p w:rsidR="004C50DC" w:rsidRPr="00EF76C4" w:rsidRDefault="004C50DC" w:rsidP="004C50DC">
      <w:pPr>
        <w:spacing w:before="60" w:after="60"/>
        <w:ind w:left="1080" w:hanging="540"/>
        <w:rPr>
          <w:sz w:val="24"/>
        </w:rPr>
      </w:pPr>
      <w:r w:rsidRPr="00EF76C4">
        <w:rPr>
          <w:i/>
          <w:sz w:val="24"/>
        </w:rPr>
        <w:t>Représentations de la mémoire de l’esclavage dans la peinture naïve ha</w:t>
      </w:r>
      <w:r w:rsidRPr="00EF76C4">
        <w:rPr>
          <w:i/>
          <w:sz w:val="24"/>
        </w:rPr>
        <w:t>ï</w:t>
      </w:r>
      <w:r w:rsidRPr="00EF76C4">
        <w:rPr>
          <w:i/>
          <w:sz w:val="24"/>
        </w:rPr>
        <w:t>tienne</w:t>
      </w:r>
      <w:r w:rsidRPr="00EF76C4">
        <w:rPr>
          <w:sz w:val="24"/>
        </w:rPr>
        <w:t xml:space="preserve"> [336]</w:t>
      </w:r>
    </w:p>
    <w:p w:rsidR="004C50DC" w:rsidRPr="00EF76C4" w:rsidRDefault="004C50DC" w:rsidP="004C50DC">
      <w:pPr>
        <w:spacing w:before="60" w:after="60"/>
        <w:ind w:left="1080" w:hanging="540"/>
        <w:rPr>
          <w:sz w:val="24"/>
        </w:rPr>
      </w:pPr>
      <w:r w:rsidRPr="00EF76C4">
        <w:rPr>
          <w:i/>
          <w:sz w:val="24"/>
        </w:rPr>
        <w:t>Cinéma de fiction et documentaire</w:t>
      </w:r>
      <w:r w:rsidRPr="00EF76C4">
        <w:rPr>
          <w:sz w:val="24"/>
        </w:rPr>
        <w:t xml:space="preserve"> [338]</w:t>
      </w:r>
    </w:p>
    <w:p w:rsidR="004C50DC" w:rsidRPr="00EF76C4" w:rsidRDefault="004C50DC" w:rsidP="004C50DC">
      <w:pPr>
        <w:spacing w:before="60" w:after="60"/>
        <w:ind w:left="540" w:hanging="540"/>
        <w:rPr>
          <w:sz w:val="24"/>
        </w:rPr>
      </w:pPr>
      <w:r w:rsidRPr="00EF76C4">
        <w:rPr>
          <w:sz w:val="24"/>
        </w:rPr>
        <w:t>6.4.</w:t>
      </w:r>
      <w:r w:rsidRPr="00EF76C4">
        <w:rPr>
          <w:sz w:val="24"/>
        </w:rPr>
        <w:tab/>
      </w:r>
      <w:hyperlink w:anchor="Memoire_chap_VI_4" w:history="1">
        <w:r w:rsidRPr="00C92F30">
          <w:rPr>
            <w:rStyle w:val="Lienhypertexte"/>
            <w:sz w:val="24"/>
          </w:rPr>
          <w:t>Vodou: patrimoine religieux de la colonisation</w:t>
        </w:r>
      </w:hyperlink>
      <w:r w:rsidRPr="00EF76C4">
        <w:rPr>
          <w:sz w:val="24"/>
        </w:rPr>
        <w:t xml:space="preserve"> [340]</w:t>
      </w:r>
    </w:p>
    <w:p w:rsidR="004C50DC" w:rsidRPr="00EF76C4" w:rsidRDefault="004C50DC" w:rsidP="004C50DC">
      <w:pPr>
        <w:spacing w:before="60" w:after="60"/>
        <w:ind w:left="1080" w:hanging="540"/>
        <w:rPr>
          <w:sz w:val="24"/>
        </w:rPr>
      </w:pPr>
      <w:r w:rsidRPr="00EF76C4">
        <w:rPr>
          <w:i/>
          <w:sz w:val="24"/>
        </w:rPr>
        <w:t>Gédé et rapport au passé colonial esclavagiste</w:t>
      </w:r>
      <w:r w:rsidRPr="00EF76C4">
        <w:rPr>
          <w:sz w:val="24"/>
        </w:rPr>
        <w:t xml:space="preserve"> [354]</w:t>
      </w:r>
    </w:p>
    <w:p w:rsidR="004C50DC" w:rsidRPr="00EF76C4" w:rsidRDefault="004C50DC" w:rsidP="004C50DC">
      <w:pPr>
        <w:spacing w:before="60" w:after="60"/>
        <w:ind w:left="1080" w:hanging="540"/>
        <w:rPr>
          <w:sz w:val="24"/>
        </w:rPr>
      </w:pPr>
      <w:r w:rsidRPr="00EF76C4">
        <w:rPr>
          <w:i/>
          <w:sz w:val="24"/>
        </w:rPr>
        <w:t>De l’esclavage à la zombification: questionnement de la continuité c</w:t>
      </w:r>
      <w:r w:rsidRPr="00EF76C4">
        <w:rPr>
          <w:i/>
          <w:sz w:val="24"/>
        </w:rPr>
        <w:t>o</w:t>
      </w:r>
      <w:r w:rsidRPr="00EF76C4">
        <w:rPr>
          <w:i/>
          <w:sz w:val="24"/>
        </w:rPr>
        <w:t>loniale</w:t>
      </w:r>
      <w:r w:rsidRPr="00EF76C4">
        <w:rPr>
          <w:sz w:val="24"/>
        </w:rPr>
        <w:t xml:space="preserve"> [356]</w:t>
      </w:r>
    </w:p>
    <w:p w:rsidR="004C50DC" w:rsidRPr="00EF76C4" w:rsidRDefault="004C50DC" w:rsidP="004C50DC">
      <w:pPr>
        <w:spacing w:before="60" w:after="60"/>
        <w:ind w:left="1080" w:hanging="540"/>
        <w:rPr>
          <w:sz w:val="24"/>
        </w:rPr>
      </w:pPr>
      <w:r w:rsidRPr="00EF76C4">
        <w:rPr>
          <w:i/>
          <w:sz w:val="24"/>
        </w:rPr>
        <w:t>Vodou et pharmacopée haïtienne: un patrimoine mémoriel de l’esclavage</w:t>
      </w:r>
      <w:r w:rsidRPr="00EF76C4">
        <w:rPr>
          <w:sz w:val="24"/>
        </w:rPr>
        <w:t xml:space="preserve"> [359]</w:t>
      </w:r>
    </w:p>
    <w:p w:rsidR="004C50DC" w:rsidRPr="00EF76C4" w:rsidRDefault="004C50DC" w:rsidP="004C50DC">
      <w:pPr>
        <w:spacing w:before="60" w:after="60"/>
        <w:ind w:left="540" w:hanging="540"/>
        <w:rPr>
          <w:sz w:val="24"/>
        </w:rPr>
      </w:pPr>
      <w:r w:rsidRPr="00EF76C4">
        <w:rPr>
          <w:sz w:val="24"/>
        </w:rPr>
        <w:t>6.5.</w:t>
      </w:r>
      <w:r w:rsidRPr="00EF76C4">
        <w:rPr>
          <w:sz w:val="24"/>
        </w:rPr>
        <w:tab/>
      </w:r>
      <w:hyperlink w:anchor="Memoire_chap_VI_5" w:history="1">
        <w:r w:rsidRPr="00C92F30">
          <w:rPr>
            <w:rStyle w:val="Lienhypertexte"/>
            <w:sz w:val="24"/>
          </w:rPr>
          <w:t>Pratiques alimentaires : un savoir-faire entre résistance et survie</w:t>
        </w:r>
      </w:hyperlink>
      <w:r w:rsidRPr="00EF76C4">
        <w:rPr>
          <w:sz w:val="24"/>
        </w:rPr>
        <w:t xml:space="preserve"> [361]</w:t>
      </w:r>
    </w:p>
    <w:p w:rsidR="004C50DC" w:rsidRPr="00EF76C4" w:rsidRDefault="004C50DC" w:rsidP="004C50DC">
      <w:pPr>
        <w:spacing w:before="60" w:after="60"/>
        <w:ind w:left="540" w:hanging="540"/>
        <w:rPr>
          <w:sz w:val="24"/>
        </w:rPr>
      </w:pPr>
      <w:r w:rsidRPr="00EF76C4">
        <w:rPr>
          <w:sz w:val="24"/>
        </w:rPr>
        <w:t>6.6.</w:t>
      </w:r>
      <w:r w:rsidRPr="00EF76C4">
        <w:rPr>
          <w:sz w:val="24"/>
        </w:rPr>
        <w:tab/>
      </w:r>
      <w:hyperlink w:anchor="Memoire_chap_VI_6" w:history="1">
        <w:r w:rsidRPr="00C92F30">
          <w:rPr>
            <w:rStyle w:val="Lienhypertexte"/>
            <w:sz w:val="24"/>
          </w:rPr>
          <w:t>Représentations de l’esclavage dans les mises en scène commémoratives</w:t>
        </w:r>
      </w:hyperlink>
      <w:r w:rsidRPr="00EF76C4">
        <w:rPr>
          <w:sz w:val="24"/>
        </w:rPr>
        <w:t xml:space="preserve"> [368]</w:t>
      </w:r>
    </w:p>
    <w:p w:rsidR="004C50DC" w:rsidRPr="00EF76C4" w:rsidRDefault="004C50DC" w:rsidP="004C50DC">
      <w:pPr>
        <w:spacing w:before="60" w:after="60"/>
        <w:ind w:left="1260" w:hanging="720"/>
        <w:rPr>
          <w:sz w:val="24"/>
        </w:rPr>
      </w:pPr>
      <w:r w:rsidRPr="00EF76C4">
        <w:rPr>
          <w:sz w:val="24"/>
        </w:rPr>
        <w:t>6.6.1.</w:t>
      </w:r>
      <w:r w:rsidRPr="00EF76C4">
        <w:rPr>
          <w:sz w:val="24"/>
        </w:rPr>
        <w:tab/>
        <w:t>Valorisation de lieux et de mémoires [370]</w:t>
      </w:r>
    </w:p>
    <w:p w:rsidR="004C50DC" w:rsidRPr="00EF76C4" w:rsidRDefault="004C50DC" w:rsidP="004C50DC">
      <w:pPr>
        <w:spacing w:before="60" w:after="60"/>
        <w:ind w:left="1800" w:hanging="540"/>
        <w:rPr>
          <w:sz w:val="24"/>
        </w:rPr>
      </w:pPr>
      <w:r w:rsidRPr="00EF76C4">
        <w:rPr>
          <w:i/>
          <w:sz w:val="24"/>
        </w:rPr>
        <w:t>Bois Caïman</w:t>
      </w:r>
      <w:r w:rsidRPr="00EF76C4">
        <w:rPr>
          <w:sz w:val="24"/>
        </w:rPr>
        <w:t xml:space="preserve"> [370]</w:t>
      </w:r>
    </w:p>
    <w:p w:rsidR="004C50DC" w:rsidRPr="00EF76C4" w:rsidRDefault="004C50DC" w:rsidP="004C50DC">
      <w:pPr>
        <w:spacing w:before="60" w:after="60"/>
        <w:ind w:left="1800" w:hanging="540"/>
        <w:rPr>
          <w:sz w:val="24"/>
        </w:rPr>
      </w:pPr>
      <w:r w:rsidRPr="00EF76C4">
        <w:rPr>
          <w:i/>
          <w:sz w:val="24"/>
        </w:rPr>
        <w:t>Création du drapeau</w:t>
      </w:r>
      <w:r w:rsidRPr="00EF76C4">
        <w:rPr>
          <w:sz w:val="24"/>
        </w:rPr>
        <w:t xml:space="preserve"> [372]</w:t>
      </w:r>
    </w:p>
    <w:p w:rsidR="004C50DC" w:rsidRPr="00EF76C4" w:rsidRDefault="004C50DC" w:rsidP="004C50DC">
      <w:pPr>
        <w:spacing w:before="60" w:after="60"/>
        <w:ind w:left="1800" w:hanging="540"/>
        <w:rPr>
          <w:sz w:val="24"/>
        </w:rPr>
      </w:pPr>
      <w:r w:rsidRPr="00EF76C4">
        <w:rPr>
          <w:sz w:val="24"/>
        </w:rPr>
        <w:t xml:space="preserve">La </w:t>
      </w:r>
      <w:r w:rsidRPr="00EF76C4">
        <w:rPr>
          <w:i/>
          <w:sz w:val="24"/>
        </w:rPr>
        <w:t>bataille de Vertières</w:t>
      </w:r>
      <w:r w:rsidRPr="00EF76C4">
        <w:rPr>
          <w:sz w:val="24"/>
        </w:rPr>
        <w:t xml:space="preserve"> [375]</w:t>
      </w:r>
    </w:p>
    <w:p w:rsidR="004C50DC" w:rsidRPr="00EF76C4" w:rsidRDefault="004C50DC" w:rsidP="004C50DC">
      <w:pPr>
        <w:spacing w:before="60" w:after="60"/>
        <w:ind w:left="1800" w:hanging="540"/>
        <w:rPr>
          <w:sz w:val="24"/>
        </w:rPr>
      </w:pPr>
      <w:r w:rsidRPr="00EF76C4">
        <w:rPr>
          <w:i/>
          <w:sz w:val="24"/>
        </w:rPr>
        <w:t>Fête de l’Indépendance</w:t>
      </w:r>
      <w:r w:rsidRPr="00EF76C4">
        <w:rPr>
          <w:sz w:val="24"/>
        </w:rPr>
        <w:t xml:space="preserve"> [379]</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jc w:val="center"/>
        <w:rPr>
          <w:sz w:val="24"/>
        </w:rPr>
      </w:pPr>
      <w:r w:rsidRPr="00161573">
        <w:rPr>
          <w:b/>
          <w:color w:val="FF0000"/>
          <w:sz w:val="24"/>
        </w:rPr>
        <w:t>Chapitre VII</w:t>
      </w:r>
      <w:r w:rsidRPr="00161573">
        <w:rPr>
          <w:b/>
          <w:sz w:val="24"/>
        </w:rPr>
        <w:t>.</w:t>
      </w:r>
      <w:r w:rsidRPr="00161573">
        <w:rPr>
          <w:b/>
          <w:sz w:val="24"/>
        </w:rPr>
        <w:br/>
      </w:r>
      <w:hyperlink w:anchor="Memoire_chap_VII" w:history="1">
        <w:r w:rsidRPr="00871030">
          <w:rPr>
            <w:rStyle w:val="Lienhypertexte"/>
            <w:b/>
            <w:sz w:val="24"/>
          </w:rPr>
          <w:t>Interprétations et enjeux pour comprendre la patrimonialisation</w:t>
        </w:r>
        <w:r w:rsidRPr="00871030">
          <w:rPr>
            <w:rStyle w:val="Lienhypertexte"/>
            <w:b/>
            <w:sz w:val="24"/>
          </w:rPr>
          <w:br/>
          <w:t>des mémoires de l’esclavage en Haïti</w:t>
        </w:r>
      </w:hyperlink>
      <w:r w:rsidRPr="00EF76C4">
        <w:rPr>
          <w:sz w:val="24"/>
        </w:rPr>
        <w:t>. [382]</w:t>
      </w:r>
    </w:p>
    <w:p w:rsidR="004C50DC" w:rsidRPr="00EF76C4"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7.1.</w:t>
      </w:r>
      <w:r w:rsidRPr="00EF76C4">
        <w:rPr>
          <w:sz w:val="24"/>
        </w:rPr>
        <w:tab/>
      </w:r>
      <w:hyperlink w:anchor="Memoire_chap_VII_1" w:history="1">
        <w:r w:rsidRPr="00C92F30">
          <w:rPr>
            <w:rStyle w:val="Lienhypertexte"/>
            <w:sz w:val="24"/>
          </w:rPr>
          <w:t>Typologie de mémoire de l’esclavage en Haïti</w:t>
        </w:r>
      </w:hyperlink>
      <w:r w:rsidRPr="00EF76C4">
        <w:rPr>
          <w:sz w:val="24"/>
        </w:rPr>
        <w:t xml:space="preserve"> [382]</w:t>
      </w:r>
    </w:p>
    <w:p w:rsidR="004C50DC" w:rsidRPr="00EF76C4" w:rsidRDefault="004C50DC" w:rsidP="004C50DC">
      <w:pPr>
        <w:spacing w:before="60" w:after="60"/>
        <w:ind w:left="1080" w:hanging="540"/>
        <w:rPr>
          <w:sz w:val="24"/>
        </w:rPr>
      </w:pPr>
      <w:r w:rsidRPr="00EF76C4">
        <w:rPr>
          <w:i/>
          <w:sz w:val="24"/>
        </w:rPr>
        <w:t>Mémoire de fierté</w:t>
      </w:r>
      <w:r w:rsidRPr="00EF76C4">
        <w:rPr>
          <w:sz w:val="24"/>
        </w:rPr>
        <w:t xml:space="preserve"> [383]</w:t>
      </w:r>
    </w:p>
    <w:p w:rsidR="004C50DC" w:rsidRPr="00EF76C4" w:rsidRDefault="004C50DC" w:rsidP="004C50DC">
      <w:pPr>
        <w:spacing w:before="60" w:after="60"/>
        <w:ind w:left="1080" w:hanging="540"/>
        <w:rPr>
          <w:sz w:val="24"/>
        </w:rPr>
      </w:pPr>
      <w:r w:rsidRPr="00EF76C4">
        <w:rPr>
          <w:i/>
          <w:sz w:val="24"/>
        </w:rPr>
        <w:t>Mémoire de culpabilité</w:t>
      </w:r>
      <w:r w:rsidRPr="00EF76C4">
        <w:rPr>
          <w:sz w:val="24"/>
        </w:rPr>
        <w:t xml:space="preserve"> [385]</w:t>
      </w:r>
    </w:p>
    <w:p w:rsidR="004C50DC" w:rsidRPr="00EF76C4" w:rsidRDefault="004C50DC" w:rsidP="004C50DC">
      <w:pPr>
        <w:spacing w:before="60" w:after="60"/>
        <w:ind w:left="1080" w:hanging="540"/>
        <w:rPr>
          <w:sz w:val="24"/>
        </w:rPr>
      </w:pPr>
      <w:r w:rsidRPr="00EF76C4">
        <w:rPr>
          <w:i/>
          <w:sz w:val="24"/>
        </w:rPr>
        <w:t>Mémoire de victimisation</w:t>
      </w:r>
      <w:r w:rsidRPr="00EF76C4">
        <w:rPr>
          <w:sz w:val="24"/>
        </w:rPr>
        <w:t xml:space="preserve"> [387]</w:t>
      </w:r>
    </w:p>
    <w:p w:rsidR="004C50DC" w:rsidRPr="00EF76C4" w:rsidRDefault="004C50DC" w:rsidP="004C50DC">
      <w:pPr>
        <w:spacing w:before="60" w:after="60"/>
        <w:ind w:left="1080" w:hanging="540"/>
        <w:rPr>
          <w:sz w:val="24"/>
        </w:rPr>
      </w:pPr>
      <w:r w:rsidRPr="00EF76C4">
        <w:rPr>
          <w:i/>
          <w:sz w:val="24"/>
        </w:rPr>
        <w:t>Mémoire de réconciliation</w:t>
      </w:r>
      <w:r w:rsidRPr="00EF76C4">
        <w:rPr>
          <w:sz w:val="24"/>
        </w:rPr>
        <w:t xml:space="preserve"> [391]</w:t>
      </w:r>
    </w:p>
    <w:p w:rsidR="004C50DC" w:rsidRPr="00EF76C4" w:rsidRDefault="004C50DC" w:rsidP="004C50DC">
      <w:pPr>
        <w:spacing w:before="60" w:after="60"/>
        <w:ind w:left="540" w:hanging="540"/>
        <w:rPr>
          <w:sz w:val="24"/>
        </w:rPr>
      </w:pPr>
      <w:r w:rsidRPr="00EF76C4">
        <w:rPr>
          <w:sz w:val="24"/>
        </w:rPr>
        <w:t>7.2.</w:t>
      </w:r>
      <w:r w:rsidRPr="00EF76C4">
        <w:rPr>
          <w:sz w:val="24"/>
        </w:rPr>
        <w:tab/>
      </w:r>
      <w:hyperlink w:anchor="Memoire_chap_VII_2" w:history="1">
        <w:r w:rsidRPr="00C92F30">
          <w:rPr>
            <w:rStyle w:val="Lienhypertexte"/>
            <w:sz w:val="24"/>
          </w:rPr>
          <w:t>Polémiques autour des mémoires de l’esclavage en Haïti et enjeux d’une patrimonialisation</w:t>
        </w:r>
      </w:hyperlink>
      <w:r w:rsidRPr="00EF76C4">
        <w:rPr>
          <w:sz w:val="24"/>
        </w:rPr>
        <w:t xml:space="preserve"> [393]</w:t>
      </w:r>
    </w:p>
    <w:p w:rsidR="004C50DC" w:rsidRPr="00EF76C4" w:rsidRDefault="004C50DC" w:rsidP="004C50DC">
      <w:pPr>
        <w:spacing w:before="60" w:after="60"/>
        <w:ind w:left="1260" w:hanging="720"/>
        <w:rPr>
          <w:sz w:val="24"/>
        </w:rPr>
      </w:pPr>
      <w:r w:rsidRPr="00EF76C4">
        <w:rPr>
          <w:sz w:val="24"/>
        </w:rPr>
        <w:t>7.2.1.</w:t>
      </w:r>
      <w:r w:rsidRPr="00EF76C4">
        <w:rPr>
          <w:sz w:val="24"/>
        </w:rPr>
        <w:tab/>
        <w:t>Présentation et examen des polémiques [394]</w:t>
      </w:r>
    </w:p>
    <w:p w:rsidR="004C50DC" w:rsidRPr="00EF76C4" w:rsidRDefault="004C50DC" w:rsidP="004C50DC">
      <w:pPr>
        <w:spacing w:before="60" w:after="60"/>
        <w:ind w:left="1800" w:hanging="540"/>
        <w:rPr>
          <w:sz w:val="24"/>
        </w:rPr>
      </w:pPr>
      <w:r w:rsidRPr="00EF76C4">
        <w:rPr>
          <w:i/>
          <w:sz w:val="24"/>
        </w:rPr>
        <w:t>Polémiques anticolonialistes et antiesclavagistes</w:t>
      </w:r>
      <w:r w:rsidRPr="00EF76C4">
        <w:rPr>
          <w:sz w:val="24"/>
        </w:rPr>
        <w:t xml:space="preserve"> [394]</w:t>
      </w:r>
    </w:p>
    <w:p w:rsidR="004C50DC" w:rsidRPr="00EF76C4" w:rsidRDefault="004C50DC" w:rsidP="004C50DC">
      <w:pPr>
        <w:spacing w:before="60" w:after="60"/>
        <w:ind w:left="1800" w:hanging="540"/>
        <w:rPr>
          <w:sz w:val="24"/>
        </w:rPr>
      </w:pPr>
      <w:r w:rsidRPr="00EF76C4">
        <w:rPr>
          <w:i/>
          <w:sz w:val="24"/>
        </w:rPr>
        <w:t>Polémiques antiségrégationnistes</w:t>
      </w:r>
      <w:r w:rsidRPr="00EF76C4">
        <w:rPr>
          <w:sz w:val="24"/>
        </w:rPr>
        <w:t xml:space="preserve"> [396]</w:t>
      </w:r>
    </w:p>
    <w:p w:rsidR="004C50DC" w:rsidRPr="00EF76C4" w:rsidRDefault="004C50DC" w:rsidP="004C50DC">
      <w:pPr>
        <w:spacing w:before="60" w:after="60"/>
        <w:ind w:left="1800" w:hanging="540"/>
        <w:rPr>
          <w:sz w:val="24"/>
        </w:rPr>
      </w:pPr>
      <w:r w:rsidRPr="00EF76C4">
        <w:rPr>
          <w:i/>
          <w:sz w:val="24"/>
        </w:rPr>
        <w:t>Débats anticorruption et antidomination des élites</w:t>
      </w:r>
      <w:r w:rsidRPr="00EF76C4">
        <w:rPr>
          <w:sz w:val="24"/>
        </w:rPr>
        <w:t xml:space="preserve"> [398]</w:t>
      </w:r>
    </w:p>
    <w:p w:rsidR="004C50DC" w:rsidRPr="00EF76C4" w:rsidRDefault="004C50DC" w:rsidP="004C50DC">
      <w:pPr>
        <w:spacing w:before="60" w:after="60"/>
        <w:ind w:left="1260" w:hanging="720"/>
        <w:rPr>
          <w:sz w:val="24"/>
        </w:rPr>
      </w:pPr>
      <w:r w:rsidRPr="00EF76C4">
        <w:rPr>
          <w:sz w:val="24"/>
        </w:rPr>
        <w:t>7.2.2.</w:t>
      </w:r>
      <w:r w:rsidRPr="00EF76C4">
        <w:rPr>
          <w:sz w:val="24"/>
        </w:rPr>
        <w:tab/>
        <w:t>Identification des enjeux [400]</w:t>
      </w:r>
    </w:p>
    <w:p w:rsidR="004C50DC" w:rsidRPr="00EF76C4" w:rsidRDefault="004C50DC" w:rsidP="004C50DC">
      <w:pPr>
        <w:spacing w:before="60" w:after="60"/>
        <w:ind w:left="1800" w:hanging="540"/>
        <w:rPr>
          <w:sz w:val="24"/>
        </w:rPr>
      </w:pPr>
      <w:r w:rsidRPr="00EF76C4">
        <w:rPr>
          <w:i/>
          <w:sz w:val="24"/>
        </w:rPr>
        <w:t>Enjeux historiques et mnémoniques</w:t>
      </w:r>
      <w:r w:rsidRPr="00EF76C4">
        <w:rPr>
          <w:sz w:val="24"/>
        </w:rPr>
        <w:t xml:space="preserve"> [400]</w:t>
      </w:r>
    </w:p>
    <w:p w:rsidR="004C50DC" w:rsidRPr="00EF76C4" w:rsidRDefault="004C50DC" w:rsidP="004C50DC">
      <w:pPr>
        <w:spacing w:before="60" w:after="60"/>
        <w:ind w:left="1800" w:hanging="540"/>
        <w:rPr>
          <w:sz w:val="24"/>
        </w:rPr>
      </w:pPr>
      <w:r w:rsidRPr="00EF76C4">
        <w:rPr>
          <w:i/>
          <w:sz w:val="24"/>
        </w:rPr>
        <w:t>Enjeux culturels et religieux</w:t>
      </w:r>
      <w:r w:rsidRPr="00EF76C4">
        <w:rPr>
          <w:sz w:val="24"/>
        </w:rPr>
        <w:t xml:space="preserve"> [403]</w:t>
      </w:r>
    </w:p>
    <w:p w:rsidR="004C50DC" w:rsidRPr="00EF76C4" w:rsidRDefault="004C50DC" w:rsidP="004C50DC">
      <w:pPr>
        <w:spacing w:before="60" w:after="60"/>
        <w:ind w:left="1800" w:hanging="540"/>
        <w:rPr>
          <w:sz w:val="24"/>
        </w:rPr>
      </w:pPr>
      <w:r w:rsidRPr="00EF76C4">
        <w:rPr>
          <w:i/>
          <w:sz w:val="24"/>
        </w:rPr>
        <w:t>Enjeux sociaux et politiques</w:t>
      </w:r>
      <w:r w:rsidRPr="00EF76C4">
        <w:rPr>
          <w:sz w:val="24"/>
        </w:rPr>
        <w:t xml:space="preserve"> [404]</w:t>
      </w:r>
    </w:p>
    <w:p w:rsidR="004C50DC" w:rsidRPr="00EF76C4" w:rsidRDefault="004C50DC" w:rsidP="004C50DC">
      <w:pPr>
        <w:spacing w:before="60" w:after="60"/>
        <w:ind w:left="1800" w:hanging="540"/>
        <w:rPr>
          <w:sz w:val="24"/>
        </w:rPr>
      </w:pPr>
      <w:r w:rsidRPr="00EF76C4">
        <w:rPr>
          <w:i/>
          <w:sz w:val="24"/>
        </w:rPr>
        <w:t>Enjeux économiques</w:t>
      </w:r>
      <w:r w:rsidRPr="00EF76C4">
        <w:rPr>
          <w:sz w:val="24"/>
        </w:rPr>
        <w:t xml:space="preserve"> [406]</w:t>
      </w:r>
    </w:p>
    <w:p w:rsidR="004C50DC" w:rsidRPr="00EF76C4" w:rsidRDefault="004C50DC" w:rsidP="004C50DC">
      <w:pPr>
        <w:spacing w:before="60" w:after="60"/>
        <w:ind w:firstLine="0"/>
        <w:rPr>
          <w:sz w:val="24"/>
        </w:rPr>
      </w:pPr>
    </w:p>
    <w:p w:rsidR="004C50DC" w:rsidRPr="00EF76C4" w:rsidRDefault="004C50DC" w:rsidP="004C50DC">
      <w:pPr>
        <w:spacing w:before="60" w:after="60"/>
        <w:ind w:left="1440" w:firstLine="0"/>
        <w:rPr>
          <w:sz w:val="24"/>
        </w:rPr>
      </w:pPr>
    </w:p>
    <w:p w:rsidR="004C50DC" w:rsidRPr="00EF76C4" w:rsidRDefault="004C50DC" w:rsidP="004C50DC">
      <w:pPr>
        <w:spacing w:before="60" w:after="60"/>
        <w:ind w:firstLine="0"/>
        <w:jc w:val="center"/>
        <w:rPr>
          <w:sz w:val="24"/>
        </w:rPr>
      </w:pPr>
      <w:r w:rsidRPr="00161573">
        <w:rPr>
          <w:b/>
          <w:color w:val="FF0000"/>
          <w:sz w:val="24"/>
        </w:rPr>
        <w:t>Chapitre VIII</w:t>
      </w:r>
      <w:r w:rsidRPr="00161573">
        <w:rPr>
          <w:b/>
          <w:sz w:val="24"/>
        </w:rPr>
        <w:t>.</w:t>
      </w:r>
      <w:r w:rsidRPr="00161573">
        <w:rPr>
          <w:b/>
          <w:sz w:val="24"/>
        </w:rPr>
        <w:br/>
      </w:r>
      <w:hyperlink w:anchor="Memoire_chap_VIII" w:history="1">
        <w:r w:rsidRPr="00871030">
          <w:rPr>
            <w:rStyle w:val="Lienhypertexte"/>
            <w:b/>
            <w:sz w:val="24"/>
          </w:rPr>
          <w:t>Définition universelle d’une patrimonialisation des mémoires</w:t>
        </w:r>
        <w:r w:rsidRPr="00871030">
          <w:rPr>
            <w:rStyle w:val="Lienhypertexte"/>
            <w:b/>
            <w:sz w:val="24"/>
          </w:rPr>
          <w:br/>
          <w:t>de l’esclavage en Haïti</w:t>
        </w:r>
      </w:hyperlink>
      <w:r w:rsidRPr="00EF76C4">
        <w:rPr>
          <w:sz w:val="24"/>
        </w:rPr>
        <w:t>. [412]</w:t>
      </w:r>
    </w:p>
    <w:p w:rsidR="004C50DC" w:rsidRPr="00EF76C4" w:rsidRDefault="004C50DC" w:rsidP="004C50DC">
      <w:pPr>
        <w:spacing w:before="60" w:after="60"/>
        <w:ind w:firstLine="0"/>
        <w:rPr>
          <w:sz w:val="24"/>
        </w:rPr>
      </w:pPr>
    </w:p>
    <w:p w:rsidR="004C50DC" w:rsidRPr="00EF76C4" w:rsidRDefault="004C50DC" w:rsidP="004C50DC">
      <w:pPr>
        <w:spacing w:before="60" w:after="60"/>
        <w:ind w:left="540" w:hanging="540"/>
        <w:rPr>
          <w:sz w:val="24"/>
        </w:rPr>
      </w:pPr>
      <w:r w:rsidRPr="00EF76C4">
        <w:rPr>
          <w:sz w:val="24"/>
        </w:rPr>
        <w:t>8.1.</w:t>
      </w:r>
      <w:r w:rsidRPr="00EF76C4">
        <w:rPr>
          <w:sz w:val="24"/>
        </w:rPr>
        <w:tab/>
      </w:r>
      <w:hyperlink w:anchor="Memoire_chap_VIII_1" w:history="1">
        <w:r w:rsidRPr="00C92F30">
          <w:rPr>
            <w:rStyle w:val="Lienhypertexte"/>
            <w:sz w:val="24"/>
          </w:rPr>
          <w:t>Projet « Route 2004 » : une initiative annonciatrice du bicentenaire de l’Indépendance d’Haïti</w:t>
        </w:r>
      </w:hyperlink>
      <w:r w:rsidRPr="00EF76C4">
        <w:rPr>
          <w:sz w:val="24"/>
        </w:rPr>
        <w:t xml:space="preserve"> [412]</w:t>
      </w:r>
    </w:p>
    <w:p w:rsidR="004C50DC" w:rsidRPr="00EF76C4" w:rsidRDefault="004C50DC" w:rsidP="004C50DC">
      <w:pPr>
        <w:spacing w:before="60" w:after="60"/>
        <w:ind w:left="540" w:hanging="540"/>
        <w:rPr>
          <w:sz w:val="24"/>
        </w:rPr>
      </w:pPr>
      <w:r w:rsidRPr="00EF76C4">
        <w:rPr>
          <w:sz w:val="24"/>
        </w:rPr>
        <w:t>8.2.</w:t>
      </w:r>
      <w:r w:rsidRPr="00EF76C4">
        <w:rPr>
          <w:sz w:val="24"/>
        </w:rPr>
        <w:tab/>
      </w:r>
      <w:hyperlink w:anchor="Memoire_chap_VIII_2" w:history="1">
        <w:r w:rsidRPr="00C92F30">
          <w:rPr>
            <w:rStyle w:val="Lienhypertexte"/>
            <w:sz w:val="24"/>
          </w:rPr>
          <w:t>« La Route de l’esclave » : contexte de création et revendications mémorie</w:t>
        </w:r>
        <w:r w:rsidRPr="00C92F30">
          <w:rPr>
            <w:rStyle w:val="Lienhypertexte"/>
            <w:sz w:val="24"/>
          </w:rPr>
          <w:t>l</w:t>
        </w:r>
        <w:r w:rsidRPr="00C92F30">
          <w:rPr>
            <w:rStyle w:val="Lienhypertexte"/>
            <w:sz w:val="24"/>
          </w:rPr>
          <w:t>les</w:t>
        </w:r>
      </w:hyperlink>
      <w:r w:rsidRPr="00EF76C4">
        <w:rPr>
          <w:sz w:val="24"/>
        </w:rPr>
        <w:t xml:space="preserve"> [415]</w:t>
      </w:r>
    </w:p>
    <w:p w:rsidR="004C50DC" w:rsidRPr="00EF76C4" w:rsidRDefault="004C50DC" w:rsidP="004C50DC">
      <w:pPr>
        <w:spacing w:before="60" w:after="60"/>
        <w:ind w:left="540" w:hanging="540"/>
        <w:rPr>
          <w:sz w:val="24"/>
        </w:rPr>
      </w:pPr>
      <w:r w:rsidRPr="00EF76C4">
        <w:rPr>
          <w:sz w:val="24"/>
        </w:rPr>
        <w:t>8.3.</w:t>
      </w:r>
      <w:r w:rsidRPr="00EF76C4">
        <w:rPr>
          <w:sz w:val="24"/>
        </w:rPr>
        <w:tab/>
      </w:r>
      <w:hyperlink w:anchor="Memoire_chap_VIII_3" w:history="1">
        <w:r w:rsidRPr="00C92F30">
          <w:rPr>
            <w:rStyle w:val="Lienhypertexte"/>
            <w:sz w:val="24"/>
          </w:rPr>
          <w:t>Comité national haïtien de « la Route de l’Esclave » : état des lieux</w:t>
        </w:r>
      </w:hyperlink>
      <w:r w:rsidRPr="00EF76C4">
        <w:rPr>
          <w:sz w:val="24"/>
        </w:rPr>
        <w:t xml:space="preserve"> [419]</w:t>
      </w:r>
    </w:p>
    <w:p w:rsidR="004C50DC" w:rsidRPr="00EF76C4" w:rsidRDefault="004C50DC" w:rsidP="004C50DC">
      <w:pPr>
        <w:spacing w:before="60" w:after="60"/>
        <w:ind w:left="1260" w:hanging="720"/>
        <w:rPr>
          <w:sz w:val="24"/>
        </w:rPr>
      </w:pPr>
      <w:r w:rsidRPr="00EF76C4">
        <w:rPr>
          <w:sz w:val="24"/>
        </w:rPr>
        <w:t>8.3.1.</w:t>
      </w:r>
      <w:r w:rsidRPr="00EF76C4">
        <w:rPr>
          <w:sz w:val="24"/>
        </w:rPr>
        <w:tab/>
        <w:t>Analyse critique du projet de « la Route de l’Esclave » de l’UNESCO et de son application en Haïti [424]</w:t>
      </w:r>
    </w:p>
    <w:p w:rsidR="004C50DC" w:rsidRPr="00EF76C4" w:rsidRDefault="004C50DC" w:rsidP="004C50DC">
      <w:pPr>
        <w:spacing w:before="60" w:after="60"/>
        <w:ind w:left="1260" w:hanging="720"/>
        <w:rPr>
          <w:sz w:val="24"/>
        </w:rPr>
      </w:pPr>
      <w:r w:rsidRPr="00EF76C4">
        <w:rPr>
          <w:sz w:val="24"/>
        </w:rPr>
        <w:t>8.3.2.</w:t>
      </w:r>
      <w:r w:rsidRPr="00EF76C4">
        <w:rPr>
          <w:sz w:val="24"/>
        </w:rPr>
        <w:tab/>
        <w:t>Route de l’esclave pour un « vivre ensemble » entre Haïtiens [432]</w:t>
      </w:r>
    </w:p>
    <w:p w:rsidR="004C50DC" w:rsidRPr="00EF76C4" w:rsidRDefault="004C50DC" w:rsidP="004C50DC">
      <w:pPr>
        <w:spacing w:before="60" w:after="60"/>
        <w:ind w:left="540" w:hanging="540"/>
        <w:rPr>
          <w:sz w:val="24"/>
        </w:rPr>
      </w:pPr>
      <w:r w:rsidRPr="00EF76C4">
        <w:rPr>
          <w:sz w:val="24"/>
        </w:rPr>
        <w:t>8.4.</w:t>
      </w:r>
      <w:r w:rsidRPr="00EF76C4">
        <w:rPr>
          <w:sz w:val="24"/>
        </w:rPr>
        <w:tab/>
      </w:r>
      <w:hyperlink w:anchor="Memoire_chap_VIII_4" w:history="1">
        <w:r w:rsidRPr="00C92F30">
          <w:rPr>
            <w:rStyle w:val="Lienhypertexte"/>
            <w:sz w:val="24"/>
          </w:rPr>
          <w:t>Haïti au cœur des mémoires de l’esclavage : construction identitaire et r</w:t>
        </w:r>
        <w:r w:rsidRPr="00C92F30">
          <w:rPr>
            <w:rStyle w:val="Lienhypertexte"/>
            <w:sz w:val="24"/>
          </w:rPr>
          <w:t>e</w:t>
        </w:r>
        <w:r w:rsidRPr="00C92F30">
          <w:rPr>
            <w:rStyle w:val="Lienhypertexte"/>
            <w:sz w:val="24"/>
          </w:rPr>
          <w:t>conquête d’une humanité par la culture</w:t>
        </w:r>
      </w:hyperlink>
      <w:r w:rsidRPr="00EF76C4">
        <w:rPr>
          <w:sz w:val="24"/>
        </w:rPr>
        <w:t xml:space="preserve"> [433]</w:t>
      </w:r>
    </w:p>
    <w:p w:rsidR="004C50DC" w:rsidRPr="00EF76C4" w:rsidRDefault="004C50DC" w:rsidP="004C50DC">
      <w:pPr>
        <w:spacing w:before="60" w:after="60"/>
        <w:ind w:left="1260" w:hanging="720"/>
        <w:rPr>
          <w:sz w:val="24"/>
        </w:rPr>
      </w:pPr>
      <w:r w:rsidRPr="00EF76C4">
        <w:rPr>
          <w:sz w:val="24"/>
        </w:rPr>
        <w:t>8.4.1.</w:t>
      </w:r>
      <w:r w:rsidRPr="00EF76C4">
        <w:rPr>
          <w:sz w:val="24"/>
        </w:rPr>
        <w:tab/>
        <w:t>Importance d’une transmission de la valeur universelle de la mémo</w:t>
      </w:r>
      <w:r w:rsidRPr="00EF76C4">
        <w:rPr>
          <w:sz w:val="24"/>
        </w:rPr>
        <w:t>i</w:t>
      </w:r>
      <w:r w:rsidRPr="00EF76C4">
        <w:rPr>
          <w:sz w:val="24"/>
        </w:rPr>
        <w:t>re des luttes contre l’esclavage à travers Haïti [435]</w:t>
      </w:r>
    </w:p>
    <w:p w:rsidR="004C50DC" w:rsidRPr="00EF76C4" w:rsidRDefault="004C50DC" w:rsidP="004C50DC">
      <w:pPr>
        <w:spacing w:before="60" w:after="60"/>
        <w:ind w:left="1800" w:hanging="540"/>
        <w:rPr>
          <w:sz w:val="24"/>
        </w:rPr>
      </w:pPr>
      <w:r w:rsidRPr="00EF76C4">
        <w:rPr>
          <w:i/>
          <w:sz w:val="24"/>
        </w:rPr>
        <w:t>Démarches et raisons d’une valorisation des patrimoines m</w:t>
      </w:r>
      <w:r w:rsidRPr="00EF76C4">
        <w:rPr>
          <w:i/>
          <w:sz w:val="24"/>
        </w:rPr>
        <w:t>é</w:t>
      </w:r>
      <w:r w:rsidRPr="00EF76C4">
        <w:rPr>
          <w:i/>
          <w:sz w:val="24"/>
        </w:rPr>
        <w:t>moriels de l’esclavage</w:t>
      </w:r>
      <w:r w:rsidRPr="00EF76C4">
        <w:rPr>
          <w:sz w:val="24"/>
        </w:rPr>
        <w:t xml:space="preserve"> [439]</w:t>
      </w:r>
    </w:p>
    <w:p w:rsidR="004C50DC" w:rsidRPr="00EF76C4" w:rsidRDefault="004C50DC" w:rsidP="004C50DC">
      <w:pPr>
        <w:spacing w:before="60" w:after="60"/>
        <w:ind w:left="1800" w:hanging="540"/>
        <w:rPr>
          <w:sz w:val="24"/>
        </w:rPr>
      </w:pPr>
      <w:r w:rsidRPr="00EF76C4">
        <w:rPr>
          <w:i/>
          <w:sz w:val="24"/>
        </w:rPr>
        <w:t>Place des représentations de l’esclavage</w:t>
      </w:r>
      <w:r w:rsidRPr="00EF76C4">
        <w:rPr>
          <w:sz w:val="24"/>
        </w:rPr>
        <w:t xml:space="preserve"> [441]</w:t>
      </w:r>
    </w:p>
    <w:p w:rsidR="004C50DC" w:rsidRPr="00EF76C4" w:rsidRDefault="004C50DC" w:rsidP="004C50DC">
      <w:pPr>
        <w:spacing w:before="60" w:after="60"/>
        <w:ind w:left="1800" w:hanging="540"/>
        <w:rPr>
          <w:sz w:val="24"/>
        </w:rPr>
      </w:pPr>
      <w:r w:rsidRPr="00EF76C4">
        <w:rPr>
          <w:i/>
          <w:sz w:val="24"/>
        </w:rPr>
        <w:t>Implications des acteurs : les communautés locales, l’État ha</w:t>
      </w:r>
      <w:r w:rsidRPr="00EF76C4">
        <w:rPr>
          <w:i/>
          <w:sz w:val="24"/>
        </w:rPr>
        <w:t>ï</w:t>
      </w:r>
      <w:r w:rsidRPr="00EF76C4">
        <w:rPr>
          <w:i/>
          <w:sz w:val="24"/>
        </w:rPr>
        <w:t>tien et l’UNESCO</w:t>
      </w:r>
      <w:r w:rsidRPr="00EF76C4">
        <w:rPr>
          <w:sz w:val="24"/>
        </w:rPr>
        <w:t xml:space="preserve"> [442]</w:t>
      </w:r>
    </w:p>
    <w:p w:rsidR="004C50DC" w:rsidRPr="00EF76C4" w:rsidRDefault="004C50DC" w:rsidP="004C50DC">
      <w:pPr>
        <w:spacing w:before="60" w:after="60"/>
        <w:ind w:firstLine="0"/>
        <w:rPr>
          <w:sz w:val="24"/>
        </w:rPr>
      </w:pPr>
    </w:p>
    <w:p w:rsidR="004C50DC" w:rsidRPr="00EF76C4" w:rsidRDefault="004C50DC" w:rsidP="004C50DC">
      <w:pPr>
        <w:spacing w:before="60" w:after="60"/>
        <w:ind w:firstLine="0"/>
        <w:rPr>
          <w:sz w:val="24"/>
        </w:rPr>
      </w:pPr>
      <w:hyperlink w:anchor="Memoire_conclusion" w:history="1">
        <w:r w:rsidRPr="00161573">
          <w:rPr>
            <w:rStyle w:val="Lienhypertexte"/>
            <w:b/>
            <w:sz w:val="24"/>
          </w:rPr>
          <w:t>Conclusion</w:t>
        </w:r>
      </w:hyperlink>
      <w:r w:rsidRPr="00EF76C4">
        <w:rPr>
          <w:sz w:val="24"/>
        </w:rPr>
        <w:t xml:space="preserve"> [445]</w:t>
      </w:r>
    </w:p>
    <w:p w:rsidR="004C50DC" w:rsidRPr="00EF76C4" w:rsidRDefault="004C50DC" w:rsidP="004C50DC">
      <w:pPr>
        <w:spacing w:before="60" w:after="60"/>
        <w:ind w:firstLine="0"/>
        <w:rPr>
          <w:sz w:val="24"/>
        </w:rPr>
      </w:pPr>
    </w:p>
    <w:p w:rsidR="004C50DC" w:rsidRPr="00EF76C4" w:rsidRDefault="004C50DC" w:rsidP="004C50DC">
      <w:pPr>
        <w:spacing w:before="60" w:after="60"/>
        <w:ind w:left="720" w:hanging="360"/>
        <w:rPr>
          <w:sz w:val="24"/>
        </w:rPr>
      </w:pPr>
      <w:r>
        <w:rPr>
          <w:i/>
          <w:sz w:val="24"/>
        </w:rPr>
        <w:t>-</w:t>
      </w:r>
      <w:r>
        <w:rPr>
          <w:i/>
          <w:sz w:val="24"/>
        </w:rPr>
        <w:tab/>
      </w:r>
      <w:r w:rsidRPr="00EF76C4">
        <w:rPr>
          <w:i/>
          <w:sz w:val="24"/>
        </w:rPr>
        <w:t>Reconsidération et redéfinition de l’esclavage transatlantique et de ses cor</w:t>
      </w:r>
      <w:r w:rsidRPr="00EF76C4">
        <w:rPr>
          <w:i/>
          <w:sz w:val="24"/>
        </w:rPr>
        <w:t>o</w:t>
      </w:r>
      <w:r w:rsidRPr="00EF76C4">
        <w:rPr>
          <w:i/>
          <w:sz w:val="24"/>
        </w:rPr>
        <w:t>laires</w:t>
      </w:r>
      <w:r w:rsidRPr="00EF76C4">
        <w:rPr>
          <w:sz w:val="24"/>
        </w:rPr>
        <w:t xml:space="preserve"> [447]</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Raisons de l’occultation des mémoires de l’esclavage en Haïti</w:t>
      </w:r>
      <w:r w:rsidRPr="00EF76C4">
        <w:rPr>
          <w:sz w:val="24"/>
        </w:rPr>
        <w:t xml:space="preserve"> [450]</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Identification à la descendance d’esclaves</w:t>
      </w:r>
      <w:r w:rsidRPr="00EF76C4">
        <w:rPr>
          <w:sz w:val="24"/>
        </w:rPr>
        <w:t xml:space="preserve"> [452]</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Formes vivantes des mémoires et valorisation de la résistance à l’esclavage en Haïti</w:t>
      </w:r>
      <w:r w:rsidRPr="00EF76C4">
        <w:rPr>
          <w:sz w:val="24"/>
        </w:rPr>
        <w:t xml:space="preserve"> [454]</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Action patrimoniale et enseignement de la mémoire de l’esclavage</w:t>
      </w:r>
      <w:r w:rsidRPr="00EF76C4">
        <w:rPr>
          <w:sz w:val="24"/>
        </w:rPr>
        <w:t xml:space="preserve"> [458]</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Expérience de l’esclavage et remise en question de la touristification des m</w:t>
      </w:r>
      <w:r w:rsidRPr="00EF76C4">
        <w:rPr>
          <w:i/>
          <w:sz w:val="24"/>
        </w:rPr>
        <w:t>é</w:t>
      </w:r>
      <w:r w:rsidRPr="00EF76C4">
        <w:rPr>
          <w:i/>
          <w:sz w:val="24"/>
        </w:rPr>
        <w:t>moires de l’esclavage</w:t>
      </w:r>
      <w:r w:rsidRPr="00EF76C4">
        <w:rPr>
          <w:sz w:val="24"/>
        </w:rPr>
        <w:t xml:space="preserve"> [460]</w:t>
      </w:r>
    </w:p>
    <w:p w:rsidR="004C50DC" w:rsidRPr="00EF76C4" w:rsidRDefault="004C50DC" w:rsidP="004C50DC">
      <w:pPr>
        <w:spacing w:before="60" w:after="60"/>
        <w:ind w:left="720" w:hanging="360"/>
        <w:rPr>
          <w:sz w:val="24"/>
        </w:rPr>
      </w:pPr>
      <w:r>
        <w:rPr>
          <w:i/>
          <w:sz w:val="24"/>
        </w:rPr>
        <w:t>-</w:t>
      </w:r>
      <w:r>
        <w:rPr>
          <w:i/>
          <w:sz w:val="24"/>
        </w:rPr>
        <w:tab/>
      </w:r>
      <w:r w:rsidRPr="00EF76C4">
        <w:rPr>
          <w:i/>
          <w:sz w:val="24"/>
        </w:rPr>
        <w:t>Représentation et manipulation du passé colonial et esclavagiste</w:t>
      </w:r>
      <w:r w:rsidRPr="00EF76C4">
        <w:rPr>
          <w:sz w:val="24"/>
        </w:rPr>
        <w:t xml:space="preserve"> [461]</w:t>
      </w:r>
    </w:p>
    <w:p w:rsidR="004C50DC" w:rsidRPr="00EF76C4" w:rsidRDefault="004C50DC" w:rsidP="004C50DC">
      <w:pPr>
        <w:spacing w:before="60" w:after="60"/>
        <w:ind w:firstLine="0"/>
        <w:jc w:val="both"/>
        <w:rPr>
          <w:sz w:val="24"/>
        </w:rPr>
      </w:pPr>
      <w:r w:rsidRPr="00EF76C4">
        <w:rPr>
          <w:sz w:val="24"/>
        </w:rPr>
        <w:br w:type="page"/>
      </w:r>
    </w:p>
    <w:p w:rsidR="004C50DC" w:rsidRPr="00EF76C4" w:rsidRDefault="004C50DC" w:rsidP="004C50DC">
      <w:pPr>
        <w:spacing w:before="60" w:after="60"/>
        <w:ind w:firstLine="0"/>
        <w:jc w:val="both"/>
        <w:rPr>
          <w:sz w:val="24"/>
        </w:rPr>
      </w:pPr>
      <w:hyperlink w:anchor="Memoire_biblio" w:history="1">
        <w:r w:rsidRPr="00161573">
          <w:rPr>
            <w:rStyle w:val="Lienhypertexte"/>
            <w:sz w:val="24"/>
          </w:rPr>
          <w:t>Bibliographie</w:t>
        </w:r>
      </w:hyperlink>
      <w:r w:rsidRPr="00EF76C4">
        <w:rPr>
          <w:sz w:val="24"/>
        </w:rPr>
        <w:t xml:space="preserve"> [466]</w:t>
      </w:r>
    </w:p>
    <w:p w:rsidR="004C50DC" w:rsidRPr="00EF76C4" w:rsidRDefault="004C50DC" w:rsidP="004C50DC">
      <w:pPr>
        <w:spacing w:before="60" w:after="60"/>
        <w:ind w:firstLine="0"/>
        <w:jc w:val="both"/>
        <w:rPr>
          <w:sz w:val="24"/>
        </w:rPr>
      </w:pPr>
    </w:p>
    <w:p w:rsidR="004C50DC" w:rsidRPr="00EF76C4" w:rsidRDefault="004C50DC" w:rsidP="004C50DC">
      <w:pPr>
        <w:spacing w:before="60" w:after="60"/>
        <w:ind w:firstLine="0"/>
        <w:jc w:val="both"/>
        <w:rPr>
          <w:sz w:val="24"/>
        </w:rPr>
      </w:pPr>
      <w:hyperlink w:anchor="Memoire_annexes" w:history="1">
        <w:r w:rsidRPr="00161573">
          <w:rPr>
            <w:rStyle w:val="Lienhypertexte"/>
            <w:sz w:val="24"/>
          </w:rPr>
          <w:t>Anne</w:t>
        </w:r>
        <w:r w:rsidRPr="00161573">
          <w:rPr>
            <w:rStyle w:val="Lienhypertexte"/>
            <w:sz w:val="24"/>
          </w:rPr>
          <w:t>x</w:t>
        </w:r>
        <w:r w:rsidRPr="00161573">
          <w:rPr>
            <w:rStyle w:val="Lienhypertexte"/>
            <w:sz w:val="24"/>
          </w:rPr>
          <w:t>es</w:t>
        </w:r>
      </w:hyperlink>
      <w:r w:rsidRPr="00EF76C4">
        <w:rPr>
          <w:sz w:val="24"/>
        </w:rPr>
        <w:t xml:space="preserve"> [495]</w:t>
      </w:r>
    </w:p>
    <w:p w:rsidR="004C50DC" w:rsidRDefault="004C50DC" w:rsidP="004C50DC">
      <w:pPr>
        <w:spacing w:before="60" w:after="60"/>
        <w:ind w:left="540" w:firstLine="0"/>
        <w:jc w:val="both"/>
        <w:rPr>
          <w:sz w:val="24"/>
        </w:rPr>
      </w:pPr>
    </w:p>
    <w:p w:rsidR="004C50DC" w:rsidRPr="00564948" w:rsidRDefault="004C50DC" w:rsidP="004C50DC">
      <w:pPr>
        <w:spacing w:before="60" w:after="60"/>
        <w:ind w:left="1620" w:hanging="1620"/>
        <w:jc w:val="both"/>
        <w:rPr>
          <w:sz w:val="24"/>
        </w:rPr>
      </w:pPr>
      <w:hyperlink w:anchor="Memoire_annexes_I" w:history="1">
        <w:r w:rsidRPr="00564948">
          <w:rPr>
            <w:rStyle w:val="Lienhypertexte"/>
            <w:sz w:val="24"/>
          </w:rPr>
          <w:t>Annexe I</w:t>
        </w:r>
      </w:hyperlink>
      <w:r w:rsidRPr="00564948">
        <w:rPr>
          <w:sz w:val="24"/>
        </w:rPr>
        <w:t>.</w:t>
      </w:r>
      <w:r w:rsidRPr="00564948">
        <w:rPr>
          <w:sz w:val="24"/>
        </w:rPr>
        <w:tab/>
      </w:r>
      <w:r w:rsidRPr="00564948">
        <w:rPr>
          <w:i/>
          <w:sz w:val="24"/>
        </w:rPr>
        <w:t>État général des Nègres et Négresses en date du 1er janvier 1791, habitation appartenant à la famille M</w:t>
      </w:r>
      <w:r w:rsidRPr="00564948">
        <w:rPr>
          <w:i/>
          <w:sz w:val="24"/>
        </w:rPr>
        <w:t>é</w:t>
      </w:r>
      <w:r w:rsidRPr="00564948">
        <w:rPr>
          <w:i/>
          <w:sz w:val="24"/>
        </w:rPr>
        <w:t>noire et Beaujau au quartier Morin</w:t>
      </w:r>
      <w:r w:rsidRPr="00564948">
        <w:rPr>
          <w:sz w:val="24"/>
        </w:rPr>
        <w:t xml:space="preserve"> [496]</w:t>
      </w:r>
    </w:p>
    <w:p w:rsidR="004C50DC" w:rsidRPr="00564948" w:rsidRDefault="004C50DC" w:rsidP="004C50DC">
      <w:pPr>
        <w:spacing w:before="60" w:after="60"/>
        <w:ind w:left="1620" w:hanging="1620"/>
        <w:jc w:val="both"/>
        <w:rPr>
          <w:sz w:val="24"/>
        </w:rPr>
      </w:pPr>
      <w:hyperlink w:anchor="Memoire_annexes_II" w:history="1">
        <w:r w:rsidRPr="00564948">
          <w:rPr>
            <w:rStyle w:val="Lienhypertexte"/>
            <w:sz w:val="24"/>
          </w:rPr>
          <w:t>Annexe II</w:t>
        </w:r>
      </w:hyperlink>
      <w:r w:rsidRPr="00564948">
        <w:rPr>
          <w:sz w:val="24"/>
        </w:rPr>
        <w:t>.</w:t>
      </w:r>
      <w:r w:rsidRPr="00564948">
        <w:rPr>
          <w:sz w:val="24"/>
        </w:rPr>
        <w:tab/>
        <w:t>Tableau d’une vingtaine d’ouvrages et manuels tra</w:t>
      </w:r>
      <w:r w:rsidRPr="00564948">
        <w:rPr>
          <w:sz w:val="24"/>
        </w:rPr>
        <w:t>i</w:t>
      </w:r>
      <w:r w:rsidRPr="00564948">
        <w:rPr>
          <w:sz w:val="24"/>
        </w:rPr>
        <w:t>tant de l’histoire et de la géographie d’Haïti, p</w:t>
      </w:r>
      <w:r w:rsidRPr="00564948">
        <w:rPr>
          <w:sz w:val="24"/>
        </w:rPr>
        <w:t>u</w:t>
      </w:r>
      <w:r w:rsidRPr="00564948">
        <w:rPr>
          <w:sz w:val="24"/>
        </w:rPr>
        <w:t>bliés de 1814 à 1924 par des auteurs haïtiens ou des hist</w:t>
      </w:r>
      <w:r w:rsidRPr="00564948">
        <w:rPr>
          <w:sz w:val="24"/>
        </w:rPr>
        <w:t>o</w:t>
      </w:r>
      <w:r w:rsidRPr="00564948">
        <w:rPr>
          <w:sz w:val="24"/>
        </w:rPr>
        <w:t>riens de Saint-Domingue [497]</w:t>
      </w:r>
    </w:p>
    <w:p w:rsidR="004C50DC" w:rsidRPr="00564948" w:rsidRDefault="004C50DC" w:rsidP="004C50DC">
      <w:pPr>
        <w:spacing w:before="60" w:after="60"/>
        <w:ind w:left="1620" w:hanging="1620"/>
        <w:jc w:val="both"/>
        <w:rPr>
          <w:sz w:val="24"/>
        </w:rPr>
      </w:pPr>
      <w:hyperlink w:anchor="Memoire_annexes_III" w:history="1">
        <w:r w:rsidRPr="00564948">
          <w:rPr>
            <w:rStyle w:val="Lienhypertexte"/>
            <w:sz w:val="24"/>
          </w:rPr>
          <w:t>Annexe III</w:t>
        </w:r>
      </w:hyperlink>
      <w:r w:rsidRPr="00564948">
        <w:rPr>
          <w:sz w:val="24"/>
        </w:rPr>
        <w:t>.</w:t>
      </w:r>
      <w:r w:rsidRPr="00564948">
        <w:rPr>
          <w:sz w:val="24"/>
        </w:rPr>
        <w:tab/>
        <w:t>Cérémonie du Bois Caïman. Tableau d’André Normil, 1990. [499]</w:t>
      </w:r>
    </w:p>
    <w:p w:rsidR="004C50DC" w:rsidRPr="00564948" w:rsidRDefault="004C50DC" w:rsidP="004C50DC">
      <w:pPr>
        <w:spacing w:before="60" w:after="60"/>
        <w:ind w:left="1620" w:hanging="1620"/>
        <w:jc w:val="both"/>
        <w:rPr>
          <w:sz w:val="24"/>
        </w:rPr>
      </w:pPr>
      <w:hyperlink w:anchor="Memoire_annexes_IV" w:history="1">
        <w:r w:rsidRPr="00564948">
          <w:rPr>
            <w:rStyle w:val="Lienhypertexte"/>
            <w:sz w:val="24"/>
          </w:rPr>
          <w:t>Annexe IV</w:t>
        </w:r>
      </w:hyperlink>
      <w:r w:rsidRPr="00564948">
        <w:rPr>
          <w:sz w:val="24"/>
        </w:rPr>
        <w:t>.</w:t>
      </w:r>
      <w:r w:rsidRPr="00564948">
        <w:rPr>
          <w:sz w:val="24"/>
        </w:rPr>
        <w:tab/>
      </w:r>
      <w:r w:rsidRPr="00564948">
        <w:rPr>
          <w:sz w:val="24"/>
          <w:lang w:eastAsia="en-CA"/>
        </w:rPr>
        <w:t>Buste de Toussaint Louverture au square Tou</w:t>
      </w:r>
      <w:r w:rsidRPr="00564948">
        <w:rPr>
          <w:sz w:val="24"/>
          <w:lang w:eastAsia="en-CA"/>
        </w:rPr>
        <w:t>s</w:t>
      </w:r>
      <w:r w:rsidRPr="00564948">
        <w:rPr>
          <w:sz w:val="24"/>
          <w:lang w:eastAsia="en-CA"/>
        </w:rPr>
        <w:t>saint. Louverture dans le quartier de Bastide à Bordeaux, France</w:t>
      </w:r>
      <w:r w:rsidRPr="00564948">
        <w:rPr>
          <w:sz w:val="24"/>
        </w:rPr>
        <w:t xml:space="preserve"> [499]</w:t>
      </w:r>
    </w:p>
    <w:p w:rsidR="004C50DC" w:rsidRPr="00564948" w:rsidRDefault="004C50DC" w:rsidP="004C50DC">
      <w:pPr>
        <w:spacing w:before="60" w:after="60"/>
        <w:ind w:left="1620" w:hanging="1620"/>
        <w:jc w:val="both"/>
        <w:rPr>
          <w:sz w:val="24"/>
        </w:rPr>
      </w:pPr>
      <w:hyperlink w:anchor="Memoire_annexes_V" w:history="1">
        <w:r w:rsidRPr="00564948">
          <w:rPr>
            <w:rStyle w:val="Lienhypertexte"/>
            <w:sz w:val="24"/>
          </w:rPr>
          <w:t>Annexe V</w:t>
        </w:r>
      </w:hyperlink>
      <w:r w:rsidRPr="00564948">
        <w:rPr>
          <w:sz w:val="24"/>
        </w:rPr>
        <w:t>.</w:t>
      </w:r>
      <w:r w:rsidRPr="00564948">
        <w:rPr>
          <w:sz w:val="24"/>
        </w:rPr>
        <w:tab/>
        <w:t>Emménagement d’esclaves dans un négrier, par M. Biard. [500]</w:t>
      </w:r>
    </w:p>
    <w:p w:rsidR="004C50DC" w:rsidRPr="00564948" w:rsidRDefault="004C50DC" w:rsidP="004C50DC">
      <w:pPr>
        <w:spacing w:before="60" w:after="60"/>
        <w:ind w:left="1620" w:hanging="1620"/>
        <w:jc w:val="both"/>
        <w:rPr>
          <w:sz w:val="24"/>
        </w:rPr>
      </w:pPr>
      <w:hyperlink w:anchor="Memoire_annexes_VI" w:history="1">
        <w:r w:rsidRPr="00564948">
          <w:rPr>
            <w:rStyle w:val="Lienhypertexte"/>
            <w:sz w:val="24"/>
          </w:rPr>
          <w:t>Annexe VI</w:t>
        </w:r>
      </w:hyperlink>
      <w:r w:rsidRPr="00564948">
        <w:rPr>
          <w:sz w:val="24"/>
        </w:rPr>
        <w:t>.</w:t>
      </w:r>
      <w:r w:rsidRPr="00564948">
        <w:rPr>
          <w:sz w:val="24"/>
        </w:rPr>
        <w:tab/>
        <w:t>Note de presse. Bureau national d’ethnologie [401]</w:t>
      </w:r>
    </w:p>
    <w:p w:rsidR="004C50DC" w:rsidRPr="00564948" w:rsidRDefault="004C50DC" w:rsidP="004C50DC">
      <w:pPr>
        <w:spacing w:before="60" w:after="60"/>
        <w:ind w:left="1620" w:hanging="1620"/>
        <w:jc w:val="both"/>
        <w:rPr>
          <w:sz w:val="24"/>
        </w:rPr>
      </w:pPr>
      <w:hyperlink w:anchor="Memoire_annexes_VII" w:history="1">
        <w:r w:rsidRPr="00564948">
          <w:rPr>
            <w:rStyle w:val="Lienhypertexte"/>
            <w:sz w:val="24"/>
          </w:rPr>
          <w:t>Annexe VII</w:t>
        </w:r>
      </w:hyperlink>
      <w:r w:rsidRPr="00564948">
        <w:rPr>
          <w:sz w:val="24"/>
        </w:rPr>
        <w:t>.</w:t>
      </w:r>
      <w:r w:rsidRPr="00564948">
        <w:rPr>
          <w:sz w:val="24"/>
        </w:rPr>
        <w:tab/>
        <w:t>Serment au Drapeau de François Duvalier [503]</w:t>
      </w:r>
    </w:p>
    <w:p w:rsidR="004C50DC" w:rsidRPr="00564948" w:rsidRDefault="004C50DC" w:rsidP="004C50DC">
      <w:pPr>
        <w:spacing w:before="60" w:after="60"/>
        <w:ind w:left="1620" w:hanging="1620"/>
        <w:jc w:val="both"/>
        <w:rPr>
          <w:sz w:val="24"/>
        </w:rPr>
      </w:pPr>
      <w:hyperlink w:anchor="Memoire_annexes_VIII" w:history="1">
        <w:r w:rsidRPr="00564948">
          <w:rPr>
            <w:rStyle w:val="Lienhypertexte"/>
            <w:sz w:val="24"/>
          </w:rPr>
          <w:t>Annexe VIII</w:t>
        </w:r>
      </w:hyperlink>
      <w:r w:rsidRPr="00564948">
        <w:rPr>
          <w:sz w:val="24"/>
        </w:rPr>
        <w:t>.</w:t>
      </w:r>
      <w:r w:rsidRPr="00564948">
        <w:rPr>
          <w:sz w:val="24"/>
        </w:rPr>
        <w:tab/>
        <w:t>Schéma d’entrevue [504]</w:t>
      </w:r>
    </w:p>
    <w:p w:rsidR="004C50DC" w:rsidRPr="00564948" w:rsidRDefault="004C50DC" w:rsidP="004C50DC">
      <w:pPr>
        <w:spacing w:before="60" w:after="60"/>
        <w:ind w:left="1620" w:hanging="1620"/>
        <w:jc w:val="both"/>
        <w:rPr>
          <w:sz w:val="24"/>
        </w:rPr>
      </w:pPr>
      <w:hyperlink w:anchor="Memoire_annexes_IX" w:history="1">
        <w:r w:rsidRPr="00564948">
          <w:rPr>
            <w:rStyle w:val="Lienhypertexte"/>
            <w:sz w:val="24"/>
          </w:rPr>
          <w:t>Annexe IX</w:t>
        </w:r>
      </w:hyperlink>
      <w:r w:rsidRPr="00564948">
        <w:rPr>
          <w:sz w:val="24"/>
        </w:rPr>
        <w:t>.</w:t>
      </w:r>
      <w:r w:rsidRPr="00564948">
        <w:rPr>
          <w:sz w:val="24"/>
        </w:rPr>
        <w:tab/>
        <w:t>PROJET ROUTE DE L’ESCLAVE [507]</w:t>
      </w:r>
    </w:p>
    <w:p w:rsidR="004C50DC" w:rsidRPr="00C972E1" w:rsidRDefault="004C50DC" w:rsidP="004C50DC">
      <w:pPr>
        <w:ind w:left="540" w:hanging="540"/>
      </w:pPr>
    </w:p>
    <w:p w:rsidR="004C50DC" w:rsidRDefault="004C50DC" w:rsidP="004C50DC">
      <w:pPr>
        <w:pStyle w:val="p"/>
      </w:pPr>
      <w:r>
        <w:br w:type="page"/>
        <w:t>[xi]</w:t>
      </w: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4" w:name="Memoire_table_illustrations"/>
      <w:r w:rsidRPr="00EF76C4">
        <w:rPr>
          <w:b/>
          <w:sz w:val="24"/>
        </w:rPr>
        <w:t>Mémoire de l’esclavage en Haïti.</w:t>
      </w:r>
    </w:p>
    <w:p w:rsidR="004C50DC" w:rsidRDefault="004C50DC" w:rsidP="004C50DC">
      <w:pPr>
        <w:ind w:firstLine="20"/>
        <w:jc w:val="center"/>
      </w:pPr>
      <w:r>
        <w:rPr>
          <w:color w:val="FF0000"/>
          <w:sz w:val="48"/>
        </w:rPr>
        <w:t>Table des illustrations</w:t>
      </w:r>
    </w:p>
    <w:bookmarkEnd w:id="4"/>
    <w:p w:rsidR="004C50DC" w:rsidRDefault="004C50DC" w:rsidP="004C50DC">
      <w:pPr>
        <w:ind w:firstLine="0"/>
      </w:pPr>
    </w:p>
    <w:p w:rsidR="004C50DC" w:rsidRDefault="004C50DC" w:rsidP="004C50DC">
      <w:pPr>
        <w:ind w:firstLine="0"/>
      </w:pPr>
    </w:p>
    <w:p w:rsidR="004C50DC" w:rsidRDefault="004C50DC" w:rsidP="004C50DC">
      <w:pPr>
        <w:ind w:firstLine="0"/>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ind w:right="90" w:firstLine="0"/>
        <w:jc w:val="both"/>
        <w:rPr>
          <w:sz w:val="20"/>
        </w:rPr>
      </w:pPr>
    </w:p>
    <w:p w:rsidR="004C50DC" w:rsidRPr="00EE7791" w:rsidRDefault="004C50DC" w:rsidP="004C50DC">
      <w:pPr>
        <w:spacing w:before="120" w:after="120"/>
        <w:ind w:left="1260" w:hanging="1260"/>
        <w:jc w:val="both"/>
        <w:rPr>
          <w:sz w:val="24"/>
        </w:rPr>
      </w:pPr>
      <w:r w:rsidRPr="00EE7791">
        <w:rPr>
          <w:sz w:val="24"/>
        </w:rPr>
        <w:t>Figure 1.</w:t>
      </w:r>
      <w:r w:rsidRPr="00EE7791">
        <w:rPr>
          <w:sz w:val="24"/>
        </w:rPr>
        <w:tab/>
      </w:r>
      <w:hyperlink w:anchor="Memoire_fig_01" w:history="1">
        <w:r w:rsidRPr="00564948">
          <w:rPr>
            <w:rStyle w:val="Lienhypertexte"/>
            <w:sz w:val="24"/>
          </w:rPr>
          <w:t>Schématisation de l'organisation de la traite négrière transatlantique nord</w:t>
        </w:r>
      </w:hyperlink>
      <w:r>
        <w:rPr>
          <w:sz w:val="24"/>
        </w:rPr>
        <w:t>.</w:t>
      </w:r>
      <w:r w:rsidRPr="00EE7791">
        <w:rPr>
          <w:sz w:val="24"/>
        </w:rPr>
        <w:t xml:space="preserve"> [64]</w:t>
      </w:r>
    </w:p>
    <w:p w:rsidR="004C50DC" w:rsidRPr="00EE7791" w:rsidRDefault="004C50DC" w:rsidP="004C50DC">
      <w:pPr>
        <w:spacing w:before="120" w:after="120"/>
        <w:ind w:left="1260" w:hanging="1260"/>
        <w:jc w:val="both"/>
        <w:rPr>
          <w:sz w:val="24"/>
        </w:rPr>
      </w:pPr>
      <w:r w:rsidRPr="00EE7791">
        <w:rPr>
          <w:sz w:val="24"/>
        </w:rPr>
        <w:t>Figure 2.</w:t>
      </w:r>
      <w:r w:rsidRPr="00EE7791">
        <w:rPr>
          <w:sz w:val="24"/>
        </w:rPr>
        <w:tab/>
      </w:r>
      <w:hyperlink w:anchor="Memoire_fig_02" w:history="1">
        <w:r w:rsidRPr="00564948">
          <w:rPr>
            <w:rStyle w:val="Lienhypertexte"/>
            <w:sz w:val="24"/>
          </w:rPr>
          <w:t>Arrêt du Conseil d’État du Roi concernant</w:t>
        </w:r>
      </w:hyperlink>
      <w:r w:rsidRPr="00EE7791">
        <w:rPr>
          <w:sz w:val="24"/>
        </w:rPr>
        <w:t xml:space="preserve"> le</w:t>
      </w:r>
      <w:r>
        <w:rPr>
          <w:sz w:val="24"/>
        </w:rPr>
        <w:t>.</w:t>
      </w:r>
      <w:r w:rsidRPr="00EE7791">
        <w:rPr>
          <w:sz w:val="24"/>
        </w:rPr>
        <w:t xml:space="preserve"> [67]</w:t>
      </w:r>
    </w:p>
    <w:p w:rsidR="004C50DC" w:rsidRPr="00EE7791" w:rsidRDefault="004C50DC" w:rsidP="004C50DC">
      <w:pPr>
        <w:spacing w:before="120" w:after="120"/>
        <w:ind w:left="1260" w:hanging="1260"/>
        <w:jc w:val="both"/>
        <w:rPr>
          <w:sz w:val="24"/>
        </w:rPr>
      </w:pPr>
      <w:r w:rsidRPr="00EE7791">
        <w:rPr>
          <w:sz w:val="24"/>
        </w:rPr>
        <w:t>Figure 3.</w:t>
      </w:r>
      <w:r w:rsidRPr="00EE7791">
        <w:rPr>
          <w:sz w:val="24"/>
        </w:rPr>
        <w:tab/>
      </w:r>
      <w:hyperlink w:anchor="Memoire_fig_03" w:history="1">
        <w:r w:rsidRPr="00564948">
          <w:rPr>
            <w:rStyle w:val="Lienhypertexte"/>
            <w:sz w:val="24"/>
          </w:rPr>
          <w:t>Extrait des registres du Conseil d’État du 21 mars 1768</w:t>
        </w:r>
      </w:hyperlink>
      <w:r w:rsidRPr="00EE7791">
        <w:rPr>
          <w:sz w:val="24"/>
        </w:rPr>
        <w:t>. [68]</w:t>
      </w:r>
    </w:p>
    <w:p w:rsidR="004C50DC" w:rsidRPr="00EE7791" w:rsidRDefault="004C50DC" w:rsidP="004C50DC">
      <w:pPr>
        <w:spacing w:before="120" w:after="120"/>
        <w:ind w:left="1260" w:hanging="1260"/>
        <w:jc w:val="both"/>
        <w:rPr>
          <w:sz w:val="24"/>
        </w:rPr>
      </w:pPr>
      <w:r w:rsidRPr="00EE7791">
        <w:rPr>
          <w:sz w:val="24"/>
        </w:rPr>
        <w:t>Figure 4.</w:t>
      </w:r>
      <w:r w:rsidRPr="00EE7791">
        <w:rPr>
          <w:sz w:val="24"/>
        </w:rPr>
        <w:tab/>
      </w:r>
      <w:hyperlink w:anchor="Memoire_fig_04" w:history="1">
        <w:r w:rsidRPr="00564948">
          <w:rPr>
            <w:rStyle w:val="Lienhypertexte"/>
            <w:sz w:val="24"/>
          </w:rPr>
          <w:t>Arrimage d’esclaves dans des coupes de navires britanniques en ve</w:t>
        </w:r>
        <w:r w:rsidRPr="00564948">
          <w:rPr>
            <w:rStyle w:val="Lienhypertexte"/>
            <w:sz w:val="24"/>
          </w:rPr>
          <w:t>r</w:t>
        </w:r>
        <w:r w:rsidRPr="00564948">
          <w:rPr>
            <w:rStyle w:val="Lienhypertexte"/>
            <w:sz w:val="24"/>
          </w:rPr>
          <w:t>tu de la loi sur la traite des esclaves réglementés de 1788</w:t>
        </w:r>
      </w:hyperlink>
      <w:r w:rsidRPr="00EE7791">
        <w:rPr>
          <w:sz w:val="24"/>
        </w:rPr>
        <w:t>. Plan du navire de Liverpool selon Clarkson, président de la Société des Amis des Noirs de Londres, Londres, 1789. [70]</w:t>
      </w:r>
    </w:p>
    <w:p w:rsidR="004C50DC" w:rsidRPr="00EE7791" w:rsidRDefault="004C50DC" w:rsidP="004C50DC">
      <w:pPr>
        <w:spacing w:before="120" w:after="120"/>
        <w:ind w:left="1260" w:hanging="1260"/>
        <w:jc w:val="both"/>
        <w:rPr>
          <w:sz w:val="24"/>
        </w:rPr>
      </w:pPr>
      <w:r w:rsidRPr="00EE7791">
        <w:rPr>
          <w:sz w:val="24"/>
        </w:rPr>
        <w:t>Figure 5.</w:t>
      </w:r>
      <w:r w:rsidRPr="00EE7791">
        <w:rPr>
          <w:sz w:val="24"/>
        </w:rPr>
        <w:tab/>
      </w:r>
      <w:hyperlink w:anchor="Memoire_fig_05" w:history="1">
        <w:r w:rsidRPr="00564948">
          <w:rPr>
            <w:rStyle w:val="Lienhypertexte"/>
            <w:sz w:val="24"/>
          </w:rPr>
          <w:t>Vue de l’arrimage d’esclaves dans une coupe d’un navire britannique en vertu de la loi sur la traite des esclaves réglementés de 1788</w:t>
        </w:r>
      </w:hyperlink>
      <w:r w:rsidRPr="00EE7791">
        <w:rPr>
          <w:sz w:val="24"/>
        </w:rPr>
        <w:t>. [71]</w:t>
      </w:r>
    </w:p>
    <w:p w:rsidR="004C50DC" w:rsidRPr="00EE7791" w:rsidRDefault="004C50DC" w:rsidP="004C50DC">
      <w:pPr>
        <w:spacing w:before="120" w:after="120"/>
        <w:ind w:left="1260" w:hanging="1260"/>
        <w:jc w:val="both"/>
        <w:rPr>
          <w:sz w:val="24"/>
        </w:rPr>
      </w:pPr>
      <w:r w:rsidRPr="00EE7791">
        <w:rPr>
          <w:sz w:val="24"/>
        </w:rPr>
        <w:t>Figure 6.</w:t>
      </w:r>
      <w:r w:rsidRPr="00EE7791">
        <w:rPr>
          <w:sz w:val="24"/>
        </w:rPr>
        <w:tab/>
      </w:r>
      <w:hyperlink w:anchor="Memoire_fig_06" w:history="1">
        <w:r w:rsidRPr="00564948">
          <w:rPr>
            <w:rStyle w:val="Lienhypertexte"/>
            <w:sz w:val="24"/>
          </w:rPr>
          <w:t>Plaque commémorative posée sur le quai des Chatrons à Bordeaux</w:t>
        </w:r>
      </w:hyperlink>
      <w:r>
        <w:rPr>
          <w:sz w:val="24"/>
        </w:rPr>
        <w:t>.</w:t>
      </w:r>
      <w:r w:rsidRPr="00EE7791">
        <w:rPr>
          <w:sz w:val="24"/>
        </w:rPr>
        <w:t xml:space="preserve"> [84]</w:t>
      </w:r>
    </w:p>
    <w:p w:rsidR="004C50DC" w:rsidRPr="00EE7791" w:rsidRDefault="004C50DC" w:rsidP="004C50DC">
      <w:pPr>
        <w:spacing w:before="120" w:after="120"/>
        <w:ind w:left="1260" w:hanging="1260"/>
        <w:jc w:val="both"/>
        <w:rPr>
          <w:sz w:val="24"/>
        </w:rPr>
      </w:pPr>
      <w:r w:rsidRPr="00EE7791">
        <w:rPr>
          <w:sz w:val="24"/>
        </w:rPr>
        <w:t>Figure 7.</w:t>
      </w:r>
      <w:r w:rsidRPr="00EE7791">
        <w:rPr>
          <w:sz w:val="24"/>
        </w:rPr>
        <w:tab/>
      </w:r>
      <w:hyperlink w:anchor="Memoire_fig_07" w:history="1">
        <w:r w:rsidRPr="00564948">
          <w:rPr>
            <w:rStyle w:val="Lienhypertexte"/>
            <w:sz w:val="24"/>
          </w:rPr>
          <w:t>Mur qui expose et matérialise l’aspect métissage de l’immigration en France</w:t>
        </w:r>
      </w:hyperlink>
      <w:r w:rsidRPr="00EE7791">
        <w:rPr>
          <w:sz w:val="24"/>
        </w:rPr>
        <w:t>. [85]</w:t>
      </w:r>
    </w:p>
    <w:p w:rsidR="004C50DC" w:rsidRPr="00EE7791" w:rsidRDefault="004C50DC" w:rsidP="004C50DC">
      <w:pPr>
        <w:spacing w:before="120" w:after="120"/>
        <w:ind w:left="1260" w:hanging="1260"/>
        <w:jc w:val="both"/>
        <w:rPr>
          <w:sz w:val="24"/>
        </w:rPr>
      </w:pPr>
      <w:r w:rsidRPr="00EE7791">
        <w:rPr>
          <w:sz w:val="24"/>
        </w:rPr>
        <w:t>Figure 8.</w:t>
      </w:r>
      <w:r w:rsidRPr="00EE7791">
        <w:rPr>
          <w:sz w:val="24"/>
        </w:rPr>
        <w:tab/>
      </w:r>
      <w:hyperlink w:anchor="Memoire_fig_08" w:history="1">
        <w:r w:rsidRPr="00564948">
          <w:rPr>
            <w:rStyle w:val="Lienhypertexte"/>
            <w:sz w:val="24"/>
          </w:rPr>
          <w:t>Manuscrit du Code noir par Gragnon Lacoste</w:t>
        </w:r>
      </w:hyperlink>
      <w:r w:rsidRPr="00EE7791">
        <w:rPr>
          <w:sz w:val="24"/>
        </w:rPr>
        <w:t xml:space="preserve"> (m-26 G.L 1881)</w:t>
      </w:r>
      <w:r>
        <w:rPr>
          <w:sz w:val="24"/>
        </w:rPr>
        <w:t>.</w:t>
      </w:r>
      <w:r w:rsidRPr="00EE7791">
        <w:rPr>
          <w:sz w:val="24"/>
        </w:rPr>
        <w:t xml:space="preserve"> [192]</w:t>
      </w:r>
    </w:p>
    <w:p w:rsidR="004C50DC" w:rsidRPr="00EE7791" w:rsidRDefault="004C50DC" w:rsidP="004C50DC">
      <w:pPr>
        <w:spacing w:before="120" w:after="120"/>
        <w:ind w:left="1260" w:hanging="1260"/>
        <w:jc w:val="both"/>
        <w:rPr>
          <w:sz w:val="24"/>
        </w:rPr>
      </w:pPr>
      <w:r w:rsidRPr="00EE7791">
        <w:rPr>
          <w:sz w:val="24"/>
        </w:rPr>
        <w:t>Figure 9.</w:t>
      </w:r>
      <w:r w:rsidRPr="00EE7791">
        <w:rPr>
          <w:sz w:val="24"/>
        </w:rPr>
        <w:tab/>
      </w:r>
      <w:hyperlink w:anchor="Memoire_fig_09" w:history="1">
        <w:r w:rsidRPr="00564948">
          <w:rPr>
            <w:rStyle w:val="Lienhypertexte"/>
            <w:sz w:val="24"/>
          </w:rPr>
          <w:t>« Cloche de la liberté » sonnée lors de l’abolition de l’esclavage dans la colonie de Saint-Domingue, le 29 août 1793</w:t>
        </w:r>
      </w:hyperlink>
      <w:r w:rsidRPr="00EE7791">
        <w:rPr>
          <w:sz w:val="24"/>
        </w:rPr>
        <w:t>. [193]</w:t>
      </w:r>
    </w:p>
    <w:p w:rsidR="004C50DC" w:rsidRPr="00EE7791" w:rsidRDefault="004C50DC" w:rsidP="004C50DC">
      <w:pPr>
        <w:spacing w:before="120" w:after="120"/>
        <w:ind w:left="1260" w:hanging="1260"/>
        <w:jc w:val="both"/>
        <w:rPr>
          <w:sz w:val="24"/>
        </w:rPr>
      </w:pPr>
      <w:r w:rsidRPr="00EE7791">
        <w:rPr>
          <w:sz w:val="24"/>
        </w:rPr>
        <w:t>Figure 10.</w:t>
      </w:r>
      <w:r w:rsidRPr="00EE7791">
        <w:rPr>
          <w:sz w:val="24"/>
        </w:rPr>
        <w:tab/>
      </w:r>
      <w:hyperlink w:anchor="Memoire_fig_10" w:history="1">
        <w:r w:rsidRPr="00564948">
          <w:rPr>
            <w:rStyle w:val="Lienhypertexte"/>
            <w:sz w:val="24"/>
          </w:rPr>
          <w:t>Fers d’esclaves</w:t>
        </w:r>
      </w:hyperlink>
      <w:r>
        <w:rPr>
          <w:sz w:val="24"/>
        </w:rPr>
        <w:t>.</w:t>
      </w:r>
      <w:r w:rsidRPr="00EE7791">
        <w:rPr>
          <w:sz w:val="24"/>
        </w:rPr>
        <w:t xml:space="preserve"> [194]</w:t>
      </w:r>
    </w:p>
    <w:p w:rsidR="004C50DC" w:rsidRPr="00EE7791" w:rsidRDefault="004C50DC" w:rsidP="004C50DC">
      <w:pPr>
        <w:spacing w:before="120" w:after="120"/>
        <w:ind w:left="1260" w:hanging="1260"/>
        <w:jc w:val="both"/>
        <w:rPr>
          <w:sz w:val="24"/>
        </w:rPr>
      </w:pPr>
      <w:r w:rsidRPr="00EE7791">
        <w:rPr>
          <w:sz w:val="24"/>
        </w:rPr>
        <w:t>Figure 11.</w:t>
      </w:r>
      <w:r w:rsidRPr="00EE7791">
        <w:rPr>
          <w:sz w:val="24"/>
        </w:rPr>
        <w:tab/>
      </w:r>
      <w:hyperlink w:anchor="Memoire_fig_11" w:history="1">
        <w:r w:rsidRPr="00564948">
          <w:rPr>
            <w:rStyle w:val="Lienhypertexte"/>
            <w:sz w:val="24"/>
          </w:rPr>
          <w:t>Tambour Asòtò</w:t>
        </w:r>
      </w:hyperlink>
      <w:r>
        <w:rPr>
          <w:sz w:val="24"/>
        </w:rPr>
        <w:t>.</w:t>
      </w:r>
      <w:r w:rsidRPr="00EE7791">
        <w:rPr>
          <w:sz w:val="24"/>
        </w:rPr>
        <w:t xml:space="preserve"> [195]</w:t>
      </w:r>
    </w:p>
    <w:p w:rsidR="004C50DC" w:rsidRPr="00EE7791" w:rsidRDefault="004C50DC" w:rsidP="004C50DC">
      <w:pPr>
        <w:spacing w:before="120" w:after="120"/>
        <w:ind w:left="1260" w:hanging="1260"/>
        <w:jc w:val="both"/>
        <w:rPr>
          <w:sz w:val="24"/>
        </w:rPr>
      </w:pPr>
      <w:r w:rsidRPr="00EE7791">
        <w:rPr>
          <w:sz w:val="24"/>
        </w:rPr>
        <w:t>Figure 12.</w:t>
      </w:r>
      <w:r w:rsidRPr="00EE7791">
        <w:rPr>
          <w:sz w:val="24"/>
        </w:rPr>
        <w:tab/>
      </w:r>
      <w:hyperlink w:anchor="Memoire_fig_12" w:history="1">
        <w:r w:rsidRPr="00564948">
          <w:rPr>
            <w:rStyle w:val="Lienhypertexte"/>
            <w:sz w:val="24"/>
          </w:rPr>
          <w:t>Tambour Marengwen</w:t>
        </w:r>
      </w:hyperlink>
      <w:r>
        <w:rPr>
          <w:sz w:val="24"/>
        </w:rPr>
        <w:t>.</w:t>
      </w:r>
      <w:r w:rsidRPr="00EE7791">
        <w:rPr>
          <w:sz w:val="24"/>
        </w:rPr>
        <w:t xml:space="preserve"> [201]</w:t>
      </w:r>
    </w:p>
    <w:p w:rsidR="004C50DC" w:rsidRPr="00EE7791" w:rsidRDefault="004C50DC" w:rsidP="004C50DC">
      <w:pPr>
        <w:spacing w:before="120" w:after="120"/>
        <w:ind w:left="1260" w:hanging="1260"/>
        <w:jc w:val="both"/>
        <w:rPr>
          <w:sz w:val="24"/>
        </w:rPr>
      </w:pPr>
      <w:r w:rsidRPr="00EE7791">
        <w:rPr>
          <w:sz w:val="24"/>
        </w:rPr>
        <w:t>Figure 13.</w:t>
      </w:r>
      <w:r w:rsidRPr="00EE7791">
        <w:rPr>
          <w:sz w:val="24"/>
        </w:rPr>
        <w:tab/>
      </w:r>
      <w:hyperlink w:anchor="Memoire_fig_13" w:history="1">
        <w:r w:rsidRPr="00564948">
          <w:rPr>
            <w:rStyle w:val="Lienhypertexte"/>
            <w:sz w:val="24"/>
          </w:rPr>
          <w:t>Le Marron inconnu. Champ de Mars</w:t>
        </w:r>
      </w:hyperlink>
      <w:r w:rsidRPr="00EE7791">
        <w:rPr>
          <w:sz w:val="24"/>
        </w:rPr>
        <w:t xml:space="preserve"> (Port-au-Prince, Ha</w:t>
      </w:r>
      <w:r w:rsidRPr="00EE7791">
        <w:rPr>
          <w:sz w:val="24"/>
        </w:rPr>
        <w:t>ï</w:t>
      </w:r>
      <w:r w:rsidRPr="00EE7791">
        <w:rPr>
          <w:sz w:val="24"/>
        </w:rPr>
        <w:t>ti)</w:t>
      </w:r>
      <w:r>
        <w:rPr>
          <w:sz w:val="24"/>
        </w:rPr>
        <w:t>.</w:t>
      </w:r>
      <w:r w:rsidRPr="00EE7791">
        <w:rPr>
          <w:sz w:val="24"/>
        </w:rPr>
        <w:t xml:space="preserve"> [202]</w:t>
      </w:r>
    </w:p>
    <w:p w:rsidR="004C50DC" w:rsidRPr="00EE7791" w:rsidRDefault="004C50DC" w:rsidP="004C50DC">
      <w:pPr>
        <w:spacing w:before="120" w:after="120"/>
        <w:ind w:left="1260" w:hanging="1260"/>
        <w:jc w:val="both"/>
        <w:rPr>
          <w:sz w:val="24"/>
        </w:rPr>
      </w:pPr>
      <w:r w:rsidRPr="00EE7791">
        <w:rPr>
          <w:sz w:val="24"/>
        </w:rPr>
        <w:t>Figure 14.</w:t>
      </w:r>
      <w:r w:rsidRPr="00EE7791">
        <w:rPr>
          <w:sz w:val="24"/>
        </w:rPr>
        <w:tab/>
      </w:r>
      <w:hyperlink w:anchor="Memoire_fig_14" w:history="1">
        <w:r w:rsidRPr="00564948">
          <w:rPr>
            <w:rStyle w:val="Lienhypertexte"/>
            <w:sz w:val="24"/>
          </w:rPr>
          <w:t>Monument érigé en l’honneur des héros de l’Indépendance d’Haïti</w:t>
        </w:r>
      </w:hyperlink>
      <w:r>
        <w:rPr>
          <w:sz w:val="24"/>
        </w:rPr>
        <w:t>.</w:t>
      </w:r>
      <w:r w:rsidRPr="00EE7791">
        <w:rPr>
          <w:sz w:val="24"/>
        </w:rPr>
        <w:t xml:space="preserve"> [209]</w:t>
      </w:r>
    </w:p>
    <w:p w:rsidR="004C50DC" w:rsidRPr="00EE7791" w:rsidRDefault="004C50DC" w:rsidP="004C50DC">
      <w:pPr>
        <w:spacing w:before="120" w:after="120"/>
        <w:ind w:left="1260" w:hanging="1260"/>
        <w:jc w:val="both"/>
        <w:rPr>
          <w:sz w:val="24"/>
        </w:rPr>
      </w:pPr>
      <w:r w:rsidRPr="00EE7791">
        <w:rPr>
          <w:sz w:val="24"/>
        </w:rPr>
        <w:t>Figure 15.</w:t>
      </w:r>
      <w:r w:rsidRPr="00EE7791">
        <w:rPr>
          <w:sz w:val="24"/>
        </w:rPr>
        <w:tab/>
      </w:r>
      <w:hyperlink w:anchor="Memoire_fig_15" w:history="1">
        <w:r w:rsidRPr="00564948">
          <w:rPr>
            <w:rStyle w:val="Lienhypertexte"/>
            <w:sz w:val="24"/>
          </w:rPr>
          <w:t>« Les Héros de Vertières » au Cap-Haïtien</w:t>
        </w:r>
      </w:hyperlink>
      <w:r>
        <w:rPr>
          <w:sz w:val="24"/>
        </w:rPr>
        <w:t>.</w:t>
      </w:r>
      <w:r w:rsidRPr="00EE7791">
        <w:rPr>
          <w:sz w:val="24"/>
        </w:rPr>
        <w:t xml:space="preserve"> [211]</w:t>
      </w:r>
    </w:p>
    <w:p w:rsidR="004C50DC" w:rsidRPr="00EE7791" w:rsidRDefault="004C50DC" w:rsidP="004C50DC">
      <w:pPr>
        <w:spacing w:before="120" w:after="120"/>
        <w:ind w:left="1260" w:hanging="1260"/>
        <w:jc w:val="both"/>
        <w:rPr>
          <w:sz w:val="24"/>
        </w:rPr>
      </w:pPr>
      <w:r w:rsidRPr="00EE7791">
        <w:rPr>
          <w:sz w:val="24"/>
        </w:rPr>
        <w:t>Figure 16.</w:t>
      </w:r>
      <w:r w:rsidRPr="00EE7791">
        <w:rPr>
          <w:sz w:val="24"/>
        </w:rPr>
        <w:tab/>
      </w:r>
      <w:hyperlink w:anchor="Memoire_fig_16" w:history="1">
        <w:r w:rsidRPr="00564948">
          <w:rPr>
            <w:rStyle w:val="Lienhypertexte"/>
            <w:sz w:val="24"/>
          </w:rPr>
          <w:t>Vue d’une habitation sucrière en 1760. Le secteur préindustriel est à gauche</w:t>
        </w:r>
      </w:hyperlink>
      <w:r w:rsidRPr="00EE7791">
        <w:rPr>
          <w:sz w:val="24"/>
        </w:rPr>
        <w:t>. On remarque que l’aqueduc est un simple conduit en bois soutenu par des poteaux. À droite, en élévation, la grande case et quelques autres cases. En bas, le quartier des Nègres domestiques. Les champs de canne sont au centre en arrière-plan, séparés par une clôt</w:t>
      </w:r>
      <w:r w:rsidRPr="00EE7791">
        <w:rPr>
          <w:sz w:val="24"/>
        </w:rPr>
        <w:t>u</w:t>
      </w:r>
      <w:r w:rsidRPr="00EE7791">
        <w:rPr>
          <w:sz w:val="24"/>
        </w:rPr>
        <w:t>re de la savane au premier plan. [229]</w:t>
      </w:r>
    </w:p>
    <w:p w:rsidR="004C50DC" w:rsidRPr="00EE7791" w:rsidRDefault="004C50DC" w:rsidP="004C50DC">
      <w:pPr>
        <w:spacing w:before="120" w:after="120"/>
        <w:ind w:left="1260" w:hanging="1260"/>
        <w:jc w:val="both"/>
        <w:rPr>
          <w:sz w:val="24"/>
        </w:rPr>
      </w:pPr>
      <w:r w:rsidRPr="00EE7791">
        <w:rPr>
          <w:sz w:val="24"/>
        </w:rPr>
        <w:t>Figure 17.</w:t>
      </w:r>
      <w:r w:rsidRPr="00EE7791">
        <w:rPr>
          <w:sz w:val="24"/>
        </w:rPr>
        <w:tab/>
      </w:r>
      <w:hyperlink w:anchor="Memoire_fig_17" w:history="1">
        <w:r w:rsidRPr="00564948">
          <w:rPr>
            <w:rStyle w:val="Lienhypertexte"/>
            <w:sz w:val="24"/>
          </w:rPr>
          <w:t>Cases pour esclaves, habitation Dion, Chaîne des Matheux</w:t>
        </w:r>
      </w:hyperlink>
      <w:r>
        <w:rPr>
          <w:sz w:val="24"/>
        </w:rPr>
        <w:t>.</w:t>
      </w:r>
      <w:r w:rsidRPr="00EE7791">
        <w:rPr>
          <w:sz w:val="24"/>
        </w:rPr>
        <w:t xml:space="preserve"> [233]</w:t>
      </w:r>
    </w:p>
    <w:p w:rsidR="004C50DC" w:rsidRPr="00EE7791" w:rsidRDefault="004C50DC" w:rsidP="004C50DC">
      <w:pPr>
        <w:spacing w:before="120" w:after="120"/>
        <w:ind w:left="1260" w:hanging="1260"/>
        <w:jc w:val="both"/>
        <w:rPr>
          <w:sz w:val="24"/>
        </w:rPr>
      </w:pPr>
      <w:r w:rsidRPr="00EE7791">
        <w:rPr>
          <w:sz w:val="24"/>
        </w:rPr>
        <w:t>Figure 18.</w:t>
      </w:r>
      <w:r w:rsidRPr="00EE7791">
        <w:rPr>
          <w:sz w:val="24"/>
        </w:rPr>
        <w:tab/>
      </w:r>
      <w:hyperlink w:anchor="Memoire_fig_18" w:history="1">
        <w:r w:rsidRPr="00564948">
          <w:rPr>
            <w:rStyle w:val="Lienhypertexte"/>
            <w:sz w:val="24"/>
          </w:rPr>
          <w:t>Cases pour esclaves, habitation Dion, Chaîne des Matheux</w:t>
        </w:r>
      </w:hyperlink>
      <w:r>
        <w:rPr>
          <w:sz w:val="24"/>
        </w:rPr>
        <w:t>.</w:t>
      </w:r>
      <w:r w:rsidRPr="00EE7791">
        <w:rPr>
          <w:sz w:val="24"/>
        </w:rPr>
        <w:t xml:space="preserve"> [233]</w:t>
      </w:r>
    </w:p>
    <w:p w:rsidR="004C50DC" w:rsidRPr="00EE7791" w:rsidRDefault="004C50DC" w:rsidP="004C50DC">
      <w:pPr>
        <w:spacing w:before="120" w:after="120"/>
        <w:ind w:left="1260" w:hanging="1260"/>
        <w:jc w:val="both"/>
        <w:rPr>
          <w:sz w:val="24"/>
        </w:rPr>
      </w:pPr>
      <w:r w:rsidRPr="00EE7791">
        <w:rPr>
          <w:sz w:val="24"/>
        </w:rPr>
        <w:t>Figure 19.</w:t>
      </w:r>
      <w:r w:rsidRPr="00EE7791">
        <w:rPr>
          <w:sz w:val="24"/>
        </w:rPr>
        <w:tab/>
      </w:r>
      <w:hyperlink w:anchor="Memoire_fig_19" w:history="1">
        <w:r w:rsidRPr="00564948">
          <w:rPr>
            <w:rStyle w:val="Lienhypertexte"/>
            <w:sz w:val="24"/>
          </w:rPr>
          <w:t>Moulin à sucre aux Antilles au XVIIIe siècle</w:t>
        </w:r>
      </w:hyperlink>
      <w:r>
        <w:rPr>
          <w:sz w:val="24"/>
        </w:rPr>
        <w:t>.</w:t>
      </w:r>
      <w:r w:rsidRPr="00EE7791">
        <w:rPr>
          <w:sz w:val="24"/>
        </w:rPr>
        <w:t xml:space="preserve"> [236]</w:t>
      </w:r>
    </w:p>
    <w:p w:rsidR="004C50DC" w:rsidRPr="00EE7791" w:rsidRDefault="004C50DC" w:rsidP="004C50DC">
      <w:pPr>
        <w:spacing w:before="120" w:after="120"/>
        <w:ind w:left="1260" w:hanging="1260"/>
        <w:jc w:val="both"/>
        <w:rPr>
          <w:sz w:val="24"/>
        </w:rPr>
      </w:pPr>
      <w:r w:rsidRPr="00EE7791">
        <w:rPr>
          <w:sz w:val="24"/>
        </w:rPr>
        <w:t>Figure 20.</w:t>
      </w:r>
      <w:r w:rsidRPr="00EE7791">
        <w:rPr>
          <w:sz w:val="24"/>
        </w:rPr>
        <w:tab/>
      </w:r>
      <w:hyperlink w:anchor="Memoire_fig_20" w:history="1">
        <w:r w:rsidRPr="00564948">
          <w:rPr>
            <w:rStyle w:val="Lienhypertexte"/>
            <w:sz w:val="24"/>
          </w:rPr>
          <w:t>Feuille d’hôpital au mois d’avril 1789</w:t>
        </w:r>
      </w:hyperlink>
      <w:r>
        <w:rPr>
          <w:sz w:val="24"/>
        </w:rPr>
        <w:t>.</w:t>
      </w:r>
      <w:r w:rsidRPr="00EE7791">
        <w:rPr>
          <w:sz w:val="24"/>
        </w:rPr>
        <w:t xml:space="preserve"> [242]</w:t>
      </w:r>
    </w:p>
    <w:p w:rsidR="004C50DC" w:rsidRPr="00EE7791" w:rsidRDefault="004C50DC" w:rsidP="004C50DC">
      <w:pPr>
        <w:spacing w:before="120" w:after="120"/>
        <w:ind w:left="1260" w:hanging="1260"/>
        <w:jc w:val="both"/>
        <w:rPr>
          <w:sz w:val="24"/>
        </w:rPr>
      </w:pPr>
      <w:r w:rsidRPr="00EE7791">
        <w:rPr>
          <w:sz w:val="24"/>
        </w:rPr>
        <w:t>Figure 21.</w:t>
      </w:r>
      <w:r w:rsidRPr="00EE7791">
        <w:rPr>
          <w:sz w:val="24"/>
        </w:rPr>
        <w:tab/>
      </w:r>
      <w:hyperlink w:anchor="Memoire_fig_21" w:history="1">
        <w:r w:rsidRPr="00564948">
          <w:rPr>
            <w:rStyle w:val="Lienhypertexte"/>
            <w:sz w:val="24"/>
          </w:rPr>
          <w:t>Fort de la Roche, île de la Tortue, 1640</w:t>
        </w:r>
      </w:hyperlink>
      <w:r>
        <w:rPr>
          <w:sz w:val="24"/>
        </w:rPr>
        <w:t>.</w:t>
      </w:r>
      <w:r w:rsidRPr="00EE7791">
        <w:rPr>
          <w:sz w:val="24"/>
        </w:rPr>
        <w:t xml:space="preserve"> [249]</w:t>
      </w:r>
    </w:p>
    <w:p w:rsidR="004C50DC" w:rsidRPr="00EE7791" w:rsidRDefault="004C50DC" w:rsidP="004C50DC">
      <w:pPr>
        <w:spacing w:before="120" w:after="120"/>
        <w:ind w:left="1260" w:hanging="1260"/>
        <w:jc w:val="both"/>
        <w:rPr>
          <w:sz w:val="24"/>
        </w:rPr>
      </w:pPr>
      <w:r w:rsidRPr="00EE7791">
        <w:rPr>
          <w:sz w:val="24"/>
        </w:rPr>
        <w:t>Figure 22.</w:t>
      </w:r>
      <w:r w:rsidRPr="00EE7791">
        <w:rPr>
          <w:sz w:val="24"/>
        </w:rPr>
        <w:tab/>
      </w:r>
      <w:hyperlink w:anchor="Memoire_fig_22" w:history="1">
        <w:r w:rsidRPr="00564948">
          <w:rPr>
            <w:rStyle w:val="Lienhypertexte"/>
            <w:sz w:val="24"/>
          </w:rPr>
          <w:t>Carte des fortifications construites entre les XVIIe et XVIIIe siècles</w:t>
        </w:r>
      </w:hyperlink>
      <w:r>
        <w:rPr>
          <w:sz w:val="24"/>
        </w:rPr>
        <w:t>.</w:t>
      </w:r>
      <w:r w:rsidRPr="00EE7791">
        <w:rPr>
          <w:sz w:val="24"/>
        </w:rPr>
        <w:t xml:space="preserve"> [250]</w:t>
      </w:r>
    </w:p>
    <w:p w:rsidR="004C50DC" w:rsidRPr="00EE7791" w:rsidRDefault="004C50DC" w:rsidP="004C50DC">
      <w:pPr>
        <w:spacing w:before="120" w:after="120"/>
        <w:ind w:left="1260" w:hanging="1260"/>
        <w:jc w:val="both"/>
        <w:rPr>
          <w:sz w:val="24"/>
        </w:rPr>
      </w:pPr>
      <w:r w:rsidRPr="00EE7791">
        <w:rPr>
          <w:sz w:val="24"/>
        </w:rPr>
        <w:t>Figure 23.</w:t>
      </w:r>
      <w:r w:rsidRPr="00EE7791">
        <w:rPr>
          <w:sz w:val="24"/>
        </w:rPr>
        <w:tab/>
      </w:r>
      <w:hyperlink w:anchor="Memoire_fig_23" w:history="1">
        <w:r w:rsidRPr="00564948">
          <w:rPr>
            <w:rStyle w:val="Lienhypertexte"/>
            <w:sz w:val="24"/>
          </w:rPr>
          <w:t>Fort Drouet, 1804</w:t>
        </w:r>
      </w:hyperlink>
      <w:r>
        <w:rPr>
          <w:sz w:val="24"/>
        </w:rPr>
        <w:t>.</w:t>
      </w:r>
      <w:r w:rsidRPr="00EE7791">
        <w:rPr>
          <w:sz w:val="24"/>
        </w:rPr>
        <w:t xml:space="preserve"> [253]</w:t>
      </w:r>
    </w:p>
    <w:p w:rsidR="004C50DC" w:rsidRPr="00EE7791" w:rsidRDefault="004C50DC" w:rsidP="004C50DC">
      <w:pPr>
        <w:spacing w:before="120" w:after="120"/>
        <w:ind w:left="1260" w:hanging="1260"/>
        <w:jc w:val="both"/>
        <w:rPr>
          <w:sz w:val="24"/>
        </w:rPr>
      </w:pPr>
      <w:r w:rsidRPr="00EE7791">
        <w:rPr>
          <w:sz w:val="24"/>
        </w:rPr>
        <w:t>Figure 24.</w:t>
      </w:r>
      <w:r w:rsidRPr="00EE7791">
        <w:rPr>
          <w:sz w:val="24"/>
        </w:rPr>
        <w:tab/>
      </w:r>
      <w:hyperlink w:anchor="Memoire_fig_24" w:history="1">
        <w:r w:rsidRPr="00564948">
          <w:rPr>
            <w:rStyle w:val="Lienhypertexte"/>
            <w:sz w:val="24"/>
          </w:rPr>
          <w:t>Carte des fortifications construites après l’Indépendance d’Haïti</w:t>
        </w:r>
      </w:hyperlink>
      <w:r>
        <w:rPr>
          <w:sz w:val="24"/>
        </w:rPr>
        <w:t>.</w:t>
      </w:r>
      <w:r w:rsidRPr="00EE7791">
        <w:rPr>
          <w:sz w:val="24"/>
        </w:rPr>
        <w:t xml:space="preserve"> (1804)</w:t>
      </w:r>
      <w:r>
        <w:rPr>
          <w:sz w:val="24"/>
        </w:rPr>
        <w:t>.</w:t>
      </w:r>
      <w:r w:rsidRPr="00EE7791">
        <w:rPr>
          <w:sz w:val="24"/>
        </w:rPr>
        <w:t xml:space="preserve"> [254]</w:t>
      </w:r>
    </w:p>
    <w:p w:rsidR="004C50DC" w:rsidRPr="00EE7791" w:rsidRDefault="004C50DC" w:rsidP="004C50DC">
      <w:pPr>
        <w:spacing w:before="120" w:after="120"/>
        <w:ind w:left="1260" w:hanging="1260"/>
        <w:jc w:val="both"/>
        <w:rPr>
          <w:sz w:val="24"/>
        </w:rPr>
      </w:pPr>
      <w:r w:rsidRPr="00EE7791">
        <w:rPr>
          <w:sz w:val="24"/>
        </w:rPr>
        <w:t>Figure 25.</w:t>
      </w:r>
      <w:r w:rsidRPr="00EE7791">
        <w:rPr>
          <w:sz w:val="24"/>
        </w:rPr>
        <w:tab/>
      </w:r>
      <w:hyperlink w:anchor="Memoire_fig_25" w:history="1">
        <w:r w:rsidRPr="00564948">
          <w:rPr>
            <w:rStyle w:val="Lienhypertexte"/>
            <w:sz w:val="24"/>
          </w:rPr>
          <w:t>Vue aérienne de la citadelle Henri Christophe</w:t>
        </w:r>
      </w:hyperlink>
      <w:r>
        <w:rPr>
          <w:sz w:val="24"/>
        </w:rPr>
        <w:t>.</w:t>
      </w:r>
      <w:r w:rsidRPr="00EE7791">
        <w:rPr>
          <w:sz w:val="24"/>
        </w:rPr>
        <w:t xml:space="preserve"> [268]</w:t>
      </w:r>
    </w:p>
    <w:p w:rsidR="004C50DC" w:rsidRPr="00EE7791" w:rsidRDefault="004C50DC" w:rsidP="004C50DC">
      <w:pPr>
        <w:spacing w:before="120" w:after="120"/>
        <w:ind w:left="1260" w:hanging="1260"/>
        <w:jc w:val="both"/>
        <w:rPr>
          <w:sz w:val="24"/>
        </w:rPr>
      </w:pPr>
      <w:r w:rsidRPr="00EE7791">
        <w:rPr>
          <w:sz w:val="24"/>
        </w:rPr>
        <w:t>Figure 26.</w:t>
      </w:r>
      <w:r w:rsidRPr="00EE7791">
        <w:rPr>
          <w:sz w:val="24"/>
        </w:rPr>
        <w:tab/>
      </w:r>
      <w:hyperlink w:anchor="Memoire_fig_26" w:history="1">
        <w:r w:rsidRPr="00564948">
          <w:rPr>
            <w:rStyle w:val="Lienhypertexte"/>
            <w:sz w:val="24"/>
          </w:rPr>
          <w:t>Une façade de la Citadelle Henri Christophe</w:t>
        </w:r>
      </w:hyperlink>
      <w:r>
        <w:rPr>
          <w:sz w:val="24"/>
        </w:rPr>
        <w:t>.</w:t>
      </w:r>
      <w:r w:rsidRPr="00EE7791">
        <w:rPr>
          <w:sz w:val="24"/>
        </w:rPr>
        <w:t xml:space="preserve"> [269]</w:t>
      </w:r>
    </w:p>
    <w:p w:rsidR="004C50DC" w:rsidRPr="00EE7791" w:rsidRDefault="004C50DC" w:rsidP="004C50DC">
      <w:pPr>
        <w:spacing w:before="120" w:after="120"/>
        <w:ind w:left="1260" w:hanging="1260"/>
        <w:jc w:val="both"/>
        <w:rPr>
          <w:sz w:val="24"/>
        </w:rPr>
      </w:pPr>
      <w:r w:rsidRPr="00EE7791">
        <w:rPr>
          <w:sz w:val="24"/>
        </w:rPr>
        <w:t>Figure 27.</w:t>
      </w:r>
      <w:r w:rsidRPr="00EE7791">
        <w:rPr>
          <w:sz w:val="24"/>
        </w:rPr>
        <w:tab/>
      </w:r>
      <w:hyperlink w:anchor="Memoire_fig_27" w:history="1">
        <w:r w:rsidRPr="00564948">
          <w:rPr>
            <w:rStyle w:val="Lienhypertexte"/>
            <w:sz w:val="24"/>
          </w:rPr>
          <w:t>Vestiges du palais de Sans-Souci</w:t>
        </w:r>
      </w:hyperlink>
      <w:r>
        <w:rPr>
          <w:sz w:val="24"/>
        </w:rPr>
        <w:t>.</w:t>
      </w:r>
      <w:r w:rsidRPr="00EE7791">
        <w:rPr>
          <w:sz w:val="24"/>
        </w:rPr>
        <w:t xml:space="preserve"> [269]</w:t>
      </w:r>
    </w:p>
    <w:p w:rsidR="004C50DC" w:rsidRPr="00EE7791" w:rsidRDefault="004C50DC" w:rsidP="004C50DC">
      <w:pPr>
        <w:spacing w:before="120" w:after="120"/>
        <w:ind w:left="1260" w:hanging="1260"/>
        <w:jc w:val="both"/>
        <w:rPr>
          <w:sz w:val="24"/>
        </w:rPr>
      </w:pPr>
      <w:r w:rsidRPr="00EE7791">
        <w:rPr>
          <w:sz w:val="24"/>
        </w:rPr>
        <w:t>Figure 28.</w:t>
      </w:r>
      <w:r w:rsidRPr="00EE7791">
        <w:rPr>
          <w:sz w:val="24"/>
        </w:rPr>
        <w:tab/>
      </w:r>
      <w:hyperlink w:anchor="Memoire_fig_28" w:history="1">
        <w:r w:rsidRPr="00564948">
          <w:rPr>
            <w:rStyle w:val="Lienhypertexte"/>
            <w:sz w:val="24"/>
          </w:rPr>
          <w:t>Le fort de la Crête-à-Pierrot</w:t>
        </w:r>
      </w:hyperlink>
      <w:r>
        <w:rPr>
          <w:sz w:val="24"/>
        </w:rPr>
        <w:t>.</w:t>
      </w:r>
      <w:r w:rsidRPr="00EE7791">
        <w:rPr>
          <w:sz w:val="24"/>
        </w:rPr>
        <w:t xml:space="preserve"> [275]</w:t>
      </w:r>
    </w:p>
    <w:p w:rsidR="004C50DC" w:rsidRPr="00EE7791" w:rsidRDefault="004C50DC" w:rsidP="004C50DC">
      <w:pPr>
        <w:spacing w:before="120" w:after="120"/>
        <w:ind w:left="1260" w:hanging="1260"/>
        <w:jc w:val="both"/>
        <w:rPr>
          <w:sz w:val="24"/>
        </w:rPr>
      </w:pPr>
      <w:r w:rsidRPr="00EE7791">
        <w:rPr>
          <w:sz w:val="24"/>
        </w:rPr>
        <w:t>Figure 29.</w:t>
      </w:r>
      <w:r w:rsidRPr="00EE7791">
        <w:rPr>
          <w:sz w:val="24"/>
        </w:rPr>
        <w:tab/>
      </w:r>
      <w:hyperlink w:anchor="Memoire_fig_29" w:history="1">
        <w:r w:rsidRPr="00564948">
          <w:rPr>
            <w:rStyle w:val="Lienhypertexte"/>
            <w:sz w:val="24"/>
          </w:rPr>
          <w:t>Vue d’une partie du fort de la Crête-à-Pierrot</w:t>
        </w:r>
      </w:hyperlink>
      <w:r>
        <w:rPr>
          <w:sz w:val="24"/>
        </w:rPr>
        <w:t>.</w:t>
      </w:r>
      <w:r w:rsidRPr="00EE7791">
        <w:rPr>
          <w:sz w:val="24"/>
        </w:rPr>
        <w:t xml:space="preserve"> [276]</w:t>
      </w:r>
    </w:p>
    <w:p w:rsidR="004C50DC" w:rsidRPr="00EE7791" w:rsidRDefault="004C50DC" w:rsidP="004C50DC">
      <w:pPr>
        <w:spacing w:before="120" w:after="120"/>
        <w:ind w:left="1260" w:hanging="1260"/>
        <w:jc w:val="both"/>
        <w:rPr>
          <w:sz w:val="24"/>
        </w:rPr>
      </w:pPr>
      <w:r w:rsidRPr="00EE7791">
        <w:rPr>
          <w:sz w:val="24"/>
        </w:rPr>
        <w:t>Figure 30.</w:t>
      </w:r>
      <w:r w:rsidRPr="00EE7791">
        <w:rPr>
          <w:sz w:val="24"/>
        </w:rPr>
        <w:tab/>
      </w:r>
      <w:hyperlink w:anchor="Memoire_fig_30" w:history="1">
        <w:r w:rsidRPr="00564948">
          <w:rPr>
            <w:rStyle w:val="Lienhypertexte"/>
            <w:sz w:val="24"/>
          </w:rPr>
          <w:t>Croix vodouesque élevée sur le site de la Crête-à-Pierrot</w:t>
        </w:r>
      </w:hyperlink>
      <w:r>
        <w:rPr>
          <w:sz w:val="24"/>
        </w:rPr>
        <w:t>.</w:t>
      </w:r>
      <w:r w:rsidRPr="00EE7791">
        <w:rPr>
          <w:sz w:val="24"/>
        </w:rPr>
        <w:t xml:space="preserve"> [277]</w:t>
      </w:r>
    </w:p>
    <w:p w:rsidR="004C50DC" w:rsidRPr="00EE7791" w:rsidRDefault="004C50DC" w:rsidP="004C50DC">
      <w:pPr>
        <w:spacing w:before="120" w:after="120"/>
        <w:ind w:left="1260" w:hanging="1260"/>
        <w:jc w:val="both"/>
        <w:rPr>
          <w:sz w:val="24"/>
        </w:rPr>
      </w:pPr>
      <w:r w:rsidRPr="00EE7791">
        <w:rPr>
          <w:sz w:val="24"/>
        </w:rPr>
        <w:t>Figure 31.</w:t>
      </w:r>
      <w:r w:rsidRPr="00EE7791">
        <w:rPr>
          <w:sz w:val="24"/>
        </w:rPr>
        <w:tab/>
      </w:r>
      <w:hyperlink w:anchor="Memoire_fig_31" w:history="1">
        <w:r w:rsidRPr="00564948">
          <w:rPr>
            <w:rStyle w:val="Lienhypertexte"/>
            <w:sz w:val="24"/>
          </w:rPr>
          <w:t>Les ruines du fort Culbuté ou fort la Source Dessalines</w:t>
        </w:r>
      </w:hyperlink>
      <w:r>
        <w:rPr>
          <w:sz w:val="24"/>
        </w:rPr>
        <w:t>.</w:t>
      </w:r>
      <w:r w:rsidRPr="00EE7791">
        <w:rPr>
          <w:sz w:val="24"/>
        </w:rPr>
        <w:t xml:space="preserve"> [280]</w:t>
      </w:r>
    </w:p>
    <w:p w:rsidR="004C50DC" w:rsidRPr="00EE7791" w:rsidRDefault="004C50DC" w:rsidP="004C50DC">
      <w:pPr>
        <w:spacing w:before="120" w:after="120"/>
        <w:ind w:left="1260" w:hanging="1260"/>
        <w:jc w:val="both"/>
        <w:rPr>
          <w:sz w:val="24"/>
        </w:rPr>
      </w:pPr>
      <w:r w:rsidRPr="00EE7791">
        <w:rPr>
          <w:sz w:val="24"/>
        </w:rPr>
        <w:t>Figure 32.</w:t>
      </w:r>
      <w:r w:rsidRPr="00EE7791">
        <w:rPr>
          <w:sz w:val="24"/>
        </w:rPr>
        <w:tab/>
      </w:r>
      <w:hyperlink w:anchor="Memoire_fig_32" w:history="1">
        <w:r w:rsidRPr="00564948">
          <w:rPr>
            <w:rStyle w:val="Lienhypertexte"/>
            <w:sz w:val="24"/>
          </w:rPr>
          <w:t>Fort Décidé, Dessalines</w:t>
        </w:r>
      </w:hyperlink>
      <w:r>
        <w:rPr>
          <w:sz w:val="24"/>
        </w:rPr>
        <w:t>.</w:t>
      </w:r>
      <w:r w:rsidRPr="00EE7791">
        <w:rPr>
          <w:sz w:val="24"/>
        </w:rPr>
        <w:t xml:space="preserve"> [280]</w:t>
      </w:r>
    </w:p>
    <w:p w:rsidR="004C50DC" w:rsidRPr="00EE7791" w:rsidRDefault="004C50DC" w:rsidP="004C50DC">
      <w:pPr>
        <w:spacing w:before="120" w:after="120"/>
        <w:ind w:left="1260" w:hanging="1260"/>
        <w:jc w:val="both"/>
        <w:rPr>
          <w:sz w:val="24"/>
        </w:rPr>
      </w:pPr>
      <w:r w:rsidRPr="00EE7791">
        <w:rPr>
          <w:sz w:val="24"/>
        </w:rPr>
        <w:t>Figure 33.</w:t>
      </w:r>
      <w:r w:rsidRPr="00EE7791">
        <w:rPr>
          <w:sz w:val="24"/>
        </w:rPr>
        <w:tab/>
      </w:r>
      <w:hyperlink w:anchor="Memoire_fig_33" w:history="1">
        <w:r w:rsidRPr="00564948">
          <w:rPr>
            <w:rStyle w:val="Lienhypertexte"/>
            <w:sz w:val="24"/>
          </w:rPr>
          <w:t>Les ruines du fort Madame, Dessalines</w:t>
        </w:r>
      </w:hyperlink>
      <w:r>
        <w:rPr>
          <w:sz w:val="24"/>
        </w:rPr>
        <w:t>.</w:t>
      </w:r>
      <w:r w:rsidRPr="00EE7791">
        <w:rPr>
          <w:sz w:val="24"/>
        </w:rPr>
        <w:t xml:space="preserve"> [280]</w:t>
      </w:r>
    </w:p>
    <w:p w:rsidR="004C50DC" w:rsidRPr="00EE7791" w:rsidRDefault="004C50DC" w:rsidP="004C50DC">
      <w:pPr>
        <w:spacing w:before="120" w:after="120"/>
        <w:ind w:left="1260" w:hanging="1260"/>
        <w:jc w:val="both"/>
        <w:rPr>
          <w:sz w:val="24"/>
        </w:rPr>
      </w:pPr>
      <w:r w:rsidRPr="00EE7791">
        <w:rPr>
          <w:sz w:val="24"/>
        </w:rPr>
        <w:t>Figure 34.</w:t>
      </w:r>
      <w:r w:rsidRPr="00EE7791">
        <w:rPr>
          <w:sz w:val="24"/>
        </w:rPr>
        <w:tab/>
      </w:r>
      <w:hyperlink w:anchor="Memoire_fig_34" w:history="1">
        <w:r w:rsidRPr="00564948">
          <w:rPr>
            <w:rStyle w:val="Lienhypertexte"/>
            <w:sz w:val="24"/>
          </w:rPr>
          <w:t>Fort Doko, Dessalines</w:t>
        </w:r>
      </w:hyperlink>
      <w:r>
        <w:rPr>
          <w:sz w:val="24"/>
        </w:rPr>
        <w:t>.</w:t>
      </w:r>
      <w:r w:rsidRPr="00EE7791">
        <w:rPr>
          <w:sz w:val="24"/>
        </w:rPr>
        <w:t xml:space="preserve"> [280]</w:t>
      </w:r>
    </w:p>
    <w:p w:rsidR="004C50DC" w:rsidRPr="00EE7791" w:rsidRDefault="004C50DC" w:rsidP="004C50DC">
      <w:pPr>
        <w:spacing w:before="120" w:after="120"/>
        <w:ind w:left="1260" w:hanging="1260"/>
        <w:jc w:val="both"/>
        <w:rPr>
          <w:sz w:val="24"/>
        </w:rPr>
      </w:pPr>
      <w:r w:rsidRPr="00EE7791">
        <w:rPr>
          <w:sz w:val="24"/>
        </w:rPr>
        <w:t>Figure 35.</w:t>
      </w:r>
      <w:r w:rsidRPr="00EE7791">
        <w:rPr>
          <w:sz w:val="24"/>
        </w:rPr>
        <w:tab/>
      </w:r>
      <w:hyperlink w:anchor="Memoire_fig_35" w:history="1">
        <w:r w:rsidRPr="00564948">
          <w:rPr>
            <w:rStyle w:val="Lienhypertexte"/>
            <w:sz w:val="24"/>
          </w:rPr>
          <w:t>Vestiges du fort Innocent, Dessalines</w:t>
        </w:r>
      </w:hyperlink>
      <w:r>
        <w:rPr>
          <w:sz w:val="24"/>
        </w:rPr>
        <w:t>.</w:t>
      </w:r>
      <w:r w:rsidRPr="00EE7791">
        <w:rPr>
          <w:sz w:val="24"/>
        </w:rPr>
        <w:t xml:space="preserve"> [281]</w:t>
      </w:r>
    </w:p>
    <w:p w:rsidR="004C50DC" w:rsidRPr="00EE7791" w:rsidRDefault="004C50DC" w:rsidP="004C50DC">
      <w:pPr>
        <w:spacing w:before="120" w:after="120"/>
        <w:ind w:left="1260" w:hanging="1260"/>
        <w:jc w:val="both"/>
        <w:rPr>
          <w:sz w:val="24"/>
        </w:rPr>
      </w:pPr>
      <w:r w:rsidRPr="00EE7791">
        <w:rPr>
          <w:sz w:val="24"/>
        </w:rPr>
        <w:t>Figure 36.</w:t>
      </w:r>
      <w:r w:rsidRPr="00EE7791">
        <w:rPr>
          <w:sz w:val="24"/>
        </w:rPr>
        <w:tab/>
      </w:r>
      <w:hyperlink w:anchor="Memoire_fig_36" w:history="1">
        <w:r w:rsidRPr="00564948">
          <w:rPr>
            <w:rStyle w:val="Lienhypertexte"/>
            <w:sz w:val="24"/>
          </w:rPr>
          <w:t>Fort Fin-Du-Monde, Dessalines</w:t>
        </w:r>
      </w:hyperlink>
      <w:r>
        <w:rPr>
          <w:sz w:val="24"/>
        </w:rPr>
        <w:t>.</w:t>
      </w:r>
      <w:r w:rsidRPr="00EE7791">
        <w:rPr>
          <w:sz w:val="24"/>
        </w:rPr>
        <w:t xml:space="preserve"> [281]</w:t>
      </w:r>
    </w:p>
    <w:p w:rsidR="004C50DC" w:rsidRPr="00EE7791" w:rsidRDefault="004C50DC" w:rsidP="004C50DC">
      <w:pPr>
        <w:spacing w:before="120" w:after="120"/>
        <w:ind w:left="1260" w:hanging="1260"/>
        <w:jc w:val="both"/>
        <w:rPr>
          <w:sz w:val="24"/>
        </w:rPr>
      </w:pPr>
      <w:r w:rsidRPr="00EE7791">
        <w:rPr>
          <w:sz w:val="24"/>
        </w:rPr>
        <w:t>Figure 37.</w:t>
      </w:r>
      <w:r w:rsidRPr="00EE7791">
        <w:rPr>
          <w:sz w:val="24"/>
        </w:rPr>
        <w:tab/>
      </w:r>
      <w:hyperlink w:anchor="Memoire_fig_37" w:history="1">
        <w:r w:rsidRPr="00564948">
          <w:rPr>
            <w:rStyle w:val="Lienhypertexte"/>
            <w:sz w:val="24"/>
          </w:rPr>
          <w:t>Vestiges du Camp Gérard</w:t>
        </w:r>
      </w:hyperlink>
      <w:r>
        <w:rPr>
          <w:sz w:val="24"/>
        </w:rPr>
        <w:t>.</w:t>
      </w:r>
      <w:r w:rsidRPr="00EE7791">
        <w:rPr>
          <w:sz w:val="24"/>
        </w:rPr>
        <w:t xml:space="preserve"> [284]</w:t>
      </w:r>
    </w:p>
    <w:p w:rsidR="004C50DC" w:rsidRPr="00EE7791" w:rsidRDefault="004C50DC" w:rsidP="004C50DC">
      <w:pPr>
        <w:spacing w:before="120" w:after="120"/>
        <w:ind w:left="1260" w:hanging="1260"/>
        <w:jc w:val="both"/>
        <w:rPr>
          <w:sz w:val="24"/>
        </w:rPr>
      </w:pPr>
      <w:r w:rsidRPr="00EE7791">
        <w:rPr>
          <w:sz w:val="24"/>
        </w:rPr>
        <w:t>Figure 38.</w:t>
      </w:r>
      <w:r w:rsidRPr="00EE7791">
        <w:rPr>
          <w:sz w:val="24"/>
        </w:rPr>
        <w:tab/>
      </w:r>
      <w:hyperlink w:anchor="Memoire_fig_38" w:history="1">
        <w:r w:rsidRPr="00564948">
          <w:rPr>
            <w:rStyle w:val="Lienhypertexte"/>
            <w:sz w:val="24"/>
          </w:rPr>
          <w:t>Plaque commémorative déposée au Camp Gérard</w:t>
        </w:r>
      </w:hyperlink>
      <w:r>
        <w:rPr>
          <w:sz w:val="24"/>
        </w:rPr>
        <w:t>.</w:t>
      </w:r>
      <w:r w:rsidRPr="00EE7791">
        <w:rPr>
          <w:sz w:val="24"/>
        </w:rPr>
        <w:t xml:space="preserve"> [286]</w:t>
      </w:r>
    </w:p>
    <w:p w:rsidR="004C50DC" w:rsidRPr="00EE7791" w:rsidRDefault="004C50DC" w:rsidP="004C50DC">
      <w:pPr>
        <w:spacing w:before="120" w:after="120"/>
        <w:ind w:left="1260" w:hanging="1260"/>
        <w:jc w:val="both"/>
        <w:rPr>
          <w:sz w:val="24"/>
        </w:rPr>
      </w:pPr>
      <w:r w:rsidRPr="00EE7791">
        <w:rPr>
          <w:sz w:val="24"/>
        </w:rPr>
        <w:t>Figure 39.</w:t>
      </w:r>
      <w:r w:rsidRPr="00EE7791">
        <w:rPr>
          <w:sz w:val="24"/>
        </w:rPr>
        <w:tab/>
      </w:r>
      <w:hyperlink w:anchor="Memoire_fig_39" w:history="1">
        <w:r w:rsidRPr="00564948">
          <w:rPr>
            <w:rStyle w:val="Lienhypertexte"/>
            <w:sz w:val="24"/>
          </w:rPr>
          <w:t>Plaque commémorative et vestiges de l’Habitation Pemerle</w:t>
        </w:r>
      </w:hyperlink>
      <w:r>
        <w:rPr>
          <w:sz w:val="24"/>
        </w:rPr>
        <w:t>.</w:t>
      </w:r>
      <w:r w:rsidRPr="00EE7791">
        <w:rPr>
          <w:sz w:val="24"/>
        </w:rPr>
        <w:t xml:space="preserve"> [288]</w:t>
      </w:r>
    </w:p>
    <w:p w:rsidR="004C50DC" w:rsidRPr="00EE7791" w:rsidRDefault="004C50DC" w:rsidP="004C50DC">
      <w:pPr>
        <w:spacing w:before="120" w:after="120"/>
        <w:ind w:left="1260" w:hanging="1260"/>
        <w:jc w:val="both"/>
        <w:rPr>
          <w:sz w:val="24"/>
        </w:rPr>
      </w:pPr>
      <w:r w:rsidRPr="00EE7791">
        <w:rPr>
          <w:sz w:val="24"/>
        </w:rPr>
        <w:t>Figure 40.</w:t>
      </w:r>
      <w:r w:rsidRPr="00EE7791">
        <w:rPr>
          <w:sz w:val="24"/>
        </w:rPr>
        <w:tab/>
      </w:r>
      <w:hyperlink w:anchor="Memoire_fig_40" w:history="1">
        <w:r w:rsidRPr="00564948">
          <w:rPr>
            <w:rStyle w:val="Lienhypertexte"/>
            <w:sz w:val="24"/>
          </w:rPr>
          <w:t>Aqueduc de l’habitation-sucrerie Caradeux, milieu du XVIIIe siècle</w:t>
        </w:r>
      </w:hyperlink>
      <w:r>
        <w:rPr>
          <w:sz w:val="24"/>
        </w:rPr>
        <w:t>.</w:t>
      </w:r>
      <w:r w:rsidRPr="00EE7791">
        <w:rPr>
          <w:sz w:val="24"/>
        </w:rPr>
        <w:t xml:space="preserve"> [290]</w:t>
      </w:r>
    </w:p>
    <w:p w:rsidR="004C50DC" w:rsidRPr="00EE7791" w:rsidRDefault="004C50DC" w:rsidP="004C50DC">
      <w:pPr>
        <w:spacing w:before="120" w:after="120"/>
        <w:ind w:left="1260" w:hanging="1260"/>
        <w:jc w:val="both"/>
        <w:rPr>
          <w:sz w:val="24"/>
        </w:rPr>
      </w:pPr>
      <w:r w:rsidRPr="00EE7791">
        <w:rPr>
          <w:sz w:val="24"/>
        </w:rPr>
        <w:t>Figure 41.</w:t>
      </w:r>
      <w:r w:rsidRPr="00EE7791">
        <w:rPr>
          <w:sz w:val="24"/>
        </w:rPr>
        <w:tab/>
      </w:r>
      <w:hyperlink w:anchor="Memoire_fig_41" w:history="1">
        <w:r w:rsidRPr="00564948">
          <w:rPr>
            <w:rStyle w:val="Lienhypertexte"/>
            <w:sz w:val="24"/>
          </w:rPr>
          <w:t>Aqueduc de l’habitation-sucrerie Caradeux, milieu du XVIIIe siècle</w:t>
        </w:r>
      </w:hyperlink>
      <w:r w:rsidRPr="00EE7791">
        <w:rPr>
          <w:sz w:val="24"/>
        </w:rPr>
        <w:t xml:space="preserve"> (2015)</w:t>
      </w:r>
      <w:r>
        <w:rPr>
          <w:sz w:val="24"/>
        </w:rPr>
        <w:t>.</w:t>
      </w:r>
      <w:r w:rsidRPr="00EE7791">
        <w:rPr>
          <w:sz w:val="24"/>
        </w:rPr>
        <w:t xml:space="preserve"> [290]</w:t>
      </w:r>
    </w:p>
    <w:p w:rsidR="004C50DC" w:rsidRPr="00EE7791" w:rsidRDefault="004C50DC" w:rsidP="004C50DC">
      <w:pPr>
        <w:spacing w:before="120" w:after="120"/>
        <w:ind w:left="1260" w:hanging="1260"/>
        <w:jc w:val="both"/>
        <w:rPr>
          <w:sz w:val="24"/>
        </w:rPr>
      </w:pPr>
      <w:r w:rsidRPr="00EE7791">
        <w:rPr>
          <w:sz w:val="24"/>
        </w:rPr>
        <w:t>Figure 42.</w:t>
      </w:r>
      <w:r w:rsidRPr="00EE7791">
        <w:rPr>
          <w:sz w:val="24"/>
        </w:rPr>
        <w:tab/>
      </w:r>
      <w:hyperlink w:anchor="Memoire_fig_42" w:history="1">
        <w:r w:rsidRPr="00564948">
          <w:rPr>
            <w:rStyle w:val="Lienhypertexte"/>
            <w:sz w:val="24"/>
          </w:rPr>
          <w:t>Femmes transportant le tronc d’arbre dans la manifestation « Kita Nago »</w:t>
        </w:r>
      </w:hyperlink>
      <w:r>
        <w:rPr>
          <w:sz w:val="24"/>
        </w:rPr>
        <w:t>.</w:t>
      </w:r>
      <w:r w:rsidRPr="00EE7791">
        <w:rPr>
          <w:sz w:val="24"/>
        </w:rPr>
        <w:t xml:space="preserve"> [321]</w:t>
      </w:r>
    </w:p>
    <w:p w:rsidR="004C50DC" w:rsidRPr="00EE7791" w:rsidRDefault="004C50DC" w:rsidP="004C50DC">
      <w:pPr>
        <w:pStyle w:val="p"/>
        <w:rPr>
          <w:sz w:val="24"/>
        </w:rPr>
      </w:pPr>
      <w:r w:rsidRPr="00EE7791">
        <w:rPr>
          <w:sz w:val="24"/>
        </w:rPr>
        <w:t>[xii]</w:t>
      </w:r>
    </w:p>
    <w:p w:rsidR="004C50DC" w:rsidRPr="00EE7791" w:rsidRDefault="004C50DC" w:rsidP="004C50DC">
      <w:pPr>
        <w:spacing w:before="120" w:after="120"/>
        <w:ind w:left="1260" w:hanging="1260"/>
        <w:jc w:val="both"/>
        <w:rPr>
          <w:sz w:val="24"/>
        </w:rPr>
      </w:pPr>
      <w:r w:rsidRPr="00EE7791">
        <w:rPr>
          <w:sz w:val="24"/>
        </w:rPr>
        <w:t>Figure 43.</w:t>
      </w:r>
      <w:r w:rsidRPr="00EE7791">
        <w:rPr>
          <w:sz w:val="24"/>
        </w:rPr>
        <w:tab/>
      </w:r>
      <w:hyperlink w:anchor="Memoire_fig_43" w:history="1">
        <w:r w:rsidRPr="00564948">
          <w:rPr>
            <w:rStyle w:val="Lienhypertexte"/>
            <w:sz w:val="24"/>
          </w:rPr>
          <w:t>Enfants déguisés en esclaves au défilé carnavalesque 2014 de Ja</w:t>
        </w:r>
        <w:r w:rsidRPr="00564948">
          <w:rPr>
            <w:rStyle w:val="Lienhypertexte"/>
            <w:sz w:val="24"/>
          </w:rPr>
          <w:t>c</w:t>
        </w:r>
        <w:r w:rsidRPr="00564948">
          <w:rPr>
            <w:rStyle w:val="Lienhypertexte"/>
            <w:sz w:val="24"/>
          </w:rPr>
          <w:t>mel</w:t>
        </w:r>
      </w:hyperlink>
      <w:r w:rsidRPr="00EE7791">
        <w:rPr>
          <w:sz w:val="24"/>
        </w:rPr>
        <w:t>. [333]</w:t>
      </w:r>
    </w:p>
    <w:p w:rsidR="004C50DC" w:rsidRPr="00EE7791" w:rsidRDefault="004C50DC" w:rsidP="004C50DC">
      <w:pPr>
        <w:spacing w:before="120" w:after="120"/>
        <w:ind w:left="1260" w:hanging="1260"/>
        <w:jc w:val="both"/>
        <w:rPr>
          <w:sz w:val="24"/>
        </w:rPr>
      </w:pPr>
      <w:r w:rsidRPr="00EE7791">
        <w:rPr>
          <w:sz w:val="24"/>
        </w:rPr>
        <w:t>Figure 44.</w:t>
      </w:r>
      <w:r w:rsidRPr="00EE7791">
        <w:rPr>
          <w:sz w:val="24"/>
        </w:rPr>
        <w:tab/>
      </w:r>
      <w:hyperlink w:anchor="Memoire_fig_44" w:history="1">
        <w:r w:rsidRPr="00564948">
          <w:rPr>
            <w:rStyle w:val="Lienhypertexte"/>
            <w:sz w:val="24"/>
          </w:rPr>
          <w:t>Création du drapeau haïtien le 18 mai 1803 par Mompremier  Ma</w:t>
        </w:r>
        <w:r w:rsidRPr="00564948">
          <w:rPr>
            <w:rStyle w:val="Lienhypertexte"/>
            <w:sz w:val="24"/>
          </w:rPr>
          <w:t>d</w:t>
        </w:r>
        <w:r w:rsidRPr="00564948">
          <w:rPr>
            <w:rStyle w:val="Lienhypertexte"/>
            <w:sz w:val="24"/>
          </w:rPr>
          <w:t>sen</w:t>
        </w:r>
      </w:hyperlink>
      <w:r w:rsidRPr="00EE7791">
        <w:rPr>
          <w:sz w:val="24"/>
        </w:rPr>
        <w:t>. [337]</w:t>
      </w:r>
    </w:p>
    <w:p w:rsidR="004C50DC" w:rsidRPr="00EE7791" w:rsidRDefault="004C50DC" w:rsidP="004C50DC">
      <w:pPr>
        <w:spacing w:before="120" w:after="120"/>
        <w:ind w:left="1260" w:hanging="1260"/>
        <w:jc w:val="both"/>
        <w:rPr>
          <w:sz w:val="24"/>
        </w:rPr>
      </w:pPr>
      <w:r w:rsidRPr="00EE7791">
        <w:rPr>
          <w:sz w:val="24"/>
        </w:rPr>
        <w:t>Figure 45.</w:t>
      </w:r>
      <w:r w:rsidRPr="00EE7791">
        <w:rPr>
          <w:sz w:val="24"/>
        </w:rPr>
        <w:tab/>
      </w:r>
      <w:hyperlink w:anchor="Memoire_fig_45" w:history="1">
        <w:r w:rsidRPr="00564948">
          <w:rPr>
            <w:rStyle w:val="Lienhypertexte"/>
            <w:sz w:val="24"/>
          </w:rPr>
          <w:t>Papa Ogoun et Papa Zaca, Hector Hyppolite, 1947</w:t>
        </w:r>
      </w:hyperlink>
      <w:r w:rsidRPr="00EE7791">
        <w:rPr>
          <w:sz w:val="24"/>
        </w:rPr>
        <w:t>. [338]</w:t>
      </w:r>
    </w:p>
    <w:p w:rsidR="004C50DC" w:rsidRPr="00EE7791" w:rsidRDefault="004C50DC" w:rsidP="004C50DC">
      <w:pPr>
        <w:spacing w:before="120" w:after="120"/>
        <w:ind w:left="1260" w:hanging="1260"/>
        <w:jc w:val="both"/>
        <w:rPr>
          <w:sz w:val="24"/>
        </w:rPr>
      </w:pPr>
      <w:r w:rsidRPr="00EE7791">
        <w:rPr>
          <w:sz w:val="24"/>
        </w:rPr>
        <w:t>Figure 46.</w:t>
      </w:r>
      <w:r w:rsidRPr="00EE7791">
        <w:rPr>
          <w:sz w:val="24"/>
        </w:rPr>
        <w:tab/>
      </w:r>
      <w:hyperlink w:anchor="Memoire_fig_46" w:history="1">
        <w:r w:rsidRPr="00564948">
          <w:rPr>
            <w:rStyle w:val="Lienhypertexte"/>
            <w:sz w:val="24"/>
          </w:rPr>
          <w:t>Bâtons de rapadou exposés au marché public de Mirebalais</w:t>
        </w:r>
      </w:hyperlink>
      <w:r w:rsidRPr="00EE7791">
        <w:rPr>
          <w:sz w:val="24"/>
        </w:rPr>
        <w:t>. [363]</w:t>
      </w:r>
    </w:p>
    <w:p w:rsidR="004C50DC" w:rsidRPr="00EE7791" w:rsidRDefault="004C50DC" w:rsidP="004C50DC">
      <w:pPr>
        <w:spacing w:before="120" w:after="120"/>
        <w:ind w:left="1260" w:hanging="1260"/>
        <w:jc w:val="both"/>
        <w:rPr>
          <w:sz w:val="24"/>
        </w:rPr>
      </w:pPr>
      <w:r w:rsidRPr="00EE7791">
        <w:rPr>
          <w:sz w:val="24"/>
        </w:rPr>
        <w:t>Figure 47.</w:t>
      </w:r>
      <w:r w:rsidRPr="00EE7791">
        <w:rPr>
          <w:sz w:val="24"/>
        </w:rPr>
        <w:tab/>
      </w:r>
      <w:hyperlink w:anchor="Memoire_fig_47" w:history="1">
        <w:r w:rsidRPr="00564948">
          <w:rPr>
            <w:rStyle w:val="Lienhypertexte"/>
            <w:sz w:val="24"/>
          </w:rPr>
          <w:t>La soupe joumou (giraumont)</w:t>
        </w:r>
      </w:hyperlink>
      <w:r>
        <w:rPr>
          <w:sz w:val="24"/>
        </w:rPr>
        <w:t>.</w:t>
      </w:r>
      <w:r w:rsidRPr="00EE7791">
        <w:rPr>
          <w:sz w:val="24"/>
        </w:rPr>
        <w:t xml:space="preserve"> [363]</w:t>
      </w:r>
    </w:p>
    <w:p w:rsidR="004C50DC" w:rsidRPr="00EE7791" w:rsidRDefault="004C50DC" w:rsidP="004C50DC">
      <w:pPr>
        <w:spacing w:before="120" w:after="120"/>
        <w:ind w:left="1260" w:hanging="1260"/>
        <w:jc w:val="both"/>
        <w:rPr>
          <w:sz w:val="24"/>
        </w:rPr>
      </w:pPr>
      <w:r w:rsidRPr="00EE7791">
        <w:rPr>
          <w:sz w:val="24"/>
        </w:rPr>
        <w:t>Figure 48.</w:t>
      </w:r>
      <w:r w:rsidRPr="00EE7791">
        <w:rPr>
          <w:sz w:val="24"/>
        </w:rPr>
        <w:tab/>
      </w:r>
      <w:hyperlink w:anchor="Memoire_fig_48" w:history="1">
        <w:r w:rsidRPr="00564948">
          <w:rPr>
            <w:rStyle w:val="Lienhypertexte"/>
            <w:sz w:val="24"/>
          </w:rPr>
          <w:t>Le drapeau haïtien</w:t>
        </w:r>
      </w:hyperlink>
      <w:r>
        <w:rPr>
          <w:sz w:val="24"/>
        </w:rPr>
        <w:t>.</w:t>
      </w:r>
      <w:r w:rsidRPr="00EE7791">
        <w:rPr>
          <w:sz w:val="24"/>
        </w:rPr>
        <w:t xml:space="preserve"> [374]</w:t>
      </w:r>
    </w:p>
    <w:p w:rsidR="004C50DC" w:rsidRPr="00C972E1" w:rsidRDefault="004C50DC" w:rsidP="004C50DC">
      <w:pPr>
        <w:ind w:left="540" w:hanging="540"/>
      </w:pPr>
    </w:p>
    <w:p w:rsidR="004C50DC" w:rsidRDefault="004C50DC" w:rsidP="004C50DC">
      <w:pPr>
        <w:pStyle w:val="p"/>
      </w:pPr>
      <w:r>
        <w:br w:type="page"/>
        <w:t>[xiii]</w:t>
      </w: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5" w:name="Memoire_table_abreviations"/>
      <w:r w:rsidRPr="00EF76C4">
        <w:rPr>
          <w:b/>
          <w:sz w:val="24"/>
        </w:rPr>
        <w:t>Mémoire de l’esclavage en Haïti.</w:t>
      </w:r>
    </w:p>
    <w:p w:rsidR="004C50DC" w:rsidRDefault="004C50DC" w:rsidP="004C50DC">
      <w:pPr>
        <w:ind w:firstLine="20"/>
        <w:jc w:val="center"/>
      </w:pPr>
      <w:r>
        <w:rPr>
          <w:color w:val="FF0000"/>
          <w:sz w:val="48"/>
        </w:rPr>
        <w:t>Table des abréviations</w:t>
      </w:r>
    </w:p>
    <w:bookmarkEnd w:id="5"/>
    <w:p w:rsidR="004C50DC" w:rsidRDefault="004C50DC" w:rsidP="004C50DC">
      <w:pPr>
        <w:ind w:firstLine="0"/>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ind w:right="90" w:firstLine="0"/>
        <w:jc w:val="both"/>
        <w:rPr>
          <w:sz w:val="20"/>
        </w:rPr>
      </w:pPr>
    </w:p>
    <w:tbl>
      <w:tblPr>
        <w:tblW w:w="0" w:type="auto"/>
        <w:tblLook w:val="00BF" w:firstRow="1" w:lastRow="0" w:firstColumn="1" w:lastColumn="0" w:noHBand="0" w:noVBand="0"/>
      </w:tblPr>
      <w:tblGrid>
        <w:gridCol w:w="1818"/>
        <w:gridCol w:w="6242"/>
      </w:tblGrid>
      <w:tr w:rsidR="004C50DC" w:rsidRPr="00EE7791">
        <w:tc>
          <w:tcPr>
            <w:tcW w:w="1818" w:type="dxa"/>
          </w:tcPr>
          <w:p w:rsidR="004C50DC" w:rsidRPr="00EE7791" w:rsidRDefault="004C50DC" w:rsidP="004C50DC">
            <w:pPr>
              <w:spacing w:before="60" w:after="60"/>
              <w:ind w:firstLine="0"/>
              <w:rPr>
                <w:sz w:val="24"/>
              </w:rPr>
            </w:pPr>
            <w:r w:rsidRPr="00EE7791">
              <w:rPr>
                <w:sz w:val="24"/>
              </w:rPr>
              <w:t>ANH</w:t>
            </w:r>
          </w:p>
        </w:tc>
        <w:tc>
          <w:tcPr>
            <w:tcW w:w="6242" w:type="dxa"/>
          </w:tcPr>
          <w:p w:rsidR="004C50DC" w:rsidRPr="00EE7791" w:rsidRDefault="004C50DC" w:rsidP="004C50DC">
            <w:pPr>
              <w:spacing w:before="60" w:after="60"/>
              <w:ind w:firstLine="0"/>
              <w:rPr>
                <w:sz w:val="24"/>
              </w:rPr>
            </w:pPr>
            <w:r w:rsidRPr="00EE7791">
              <w:rPr>
                <w:sz w:val="24"/>
              </w:rPr>
              <w:t>Archives nationales d’Haïti</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BIE</w:t>
            </w:r>
          </w:p>
        </w:tc>
        <w:tc>
          <w:tcPr>
            <w:tcW w:w="6242" w:type="dxa"/>
          </w:tcPr>
          <w:p w:rsidR="004C50DC" w:rsidRPr="00EE7791" w:rsidRDefault="004C50DC" w:rsidP="004C50DC">
            <w:pPr>
              <w:spacing w:before="60" w:after="60"/>
              <w:ind w:firstLine="0"/>
              <w:rPr>
                <w:sz w:val="24"/>
              </w:rPr>
            </w:pPr>
            <w:r w:rsidRPr="00EE7791">
              <w:rPr>
                <w:sz w:val="24"/>
              </w:rPr>
              <w:t>Bureau international des expositions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BNE</w:t>
            </w:r>
          </w:p>
        </w:tc>
        <w:tc>
          <w:tcPr>
            <w:tcW w:w="6242" w:type="dxa"/>
          </w:tcPr>
          <w:p w:rsidR="004C50DC" w:rsidRPr="00EE7791" w:rsidRDefault="004C50DC" w:rsidP="004C50DC">
            <w:pPr>
              <w:spacing w:before="60" w:after="60"/>
              <w:ind w:firstLine="0"/>
              <w:rPr>
                <w:sz w:val="24"/>
              </w:rPr>
            </w:pPr>
            <w:r w:rsidRPr="00EE7791">
              <w:rPr>
                <w:sz w:val="24"/>
              </w:rPr>
              <w:t>Bureau national d’Ethnologie</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CONATEL</w:t>
            </w:r>
          </w:p>
        </w:tc>
        <w:tc>
          <w:tcPr>
            <w:tcW w:w="6242" w:type="dxa"/>
          </w:tcPr>
          <w:p w:rsidR="004C50DC" w:rsidRPr="00EE7791" w:rsidRDefault="004C50DC" w:rsidP="004C50DC">
            <w:pPr>
              <w:spacing w:before="60" w:after="60"/>
              <w:ind w:firstLine="0"/>
              <w:rPr>
                <w:sz w:val="24"/>
              </w:rPr>
            </w:pPr>
            <w:r w:rsidRPr="00EE7791">
              <w:rPr>
                <w:sz w:val="24"/>
              </w:rPr>
              <w:t>Conseil national des Télécommunications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DSNCRP</w:t>
            </w:r>
          </w:p>
        </w:tc>
        <w:tc>
          <w:tcPr>
            <w:tcW w:w="6242" w:type="dxa"/>
          </w:tcPr>
          <w:p w:rsidR="004C50DC" w:rsidRPr="00EE7791" w:rsidRDefault="004C50DC" w:rsidP="004C50DC">
            <w:pPr>
              <w:spacing w:before="60" w:after="60"/>
              <w:ind w:firstLine="0"/>
              <w:rPr>
                <w:sz w:val="24"/>
              </w:rPr>
            </w:pPr>
            <w:r w:rsidRPr="00EE7791">
              <w:rPr>
                <w:sz w:val="24"/>
              </w:rPr>
              <w:t>Document de stratégie nationale pour la croissance et la r</w:t>
            </w:r>
            <w:r w:rsidRPr="00EE7791">
              <w:rPr>
                <w:sz w:val="24"/>
              </w:rPr>
              <w:t>é</w:t>
            </w:r>
            <w:r w:rsidRPr="00EE7791">
              <w:rPr>
                <w:sz w:val="24"/>
              </w:rPr>
              <w:t>duction de la pauvreté</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ENARTS</w:t>
            </w:r>
          </w:p>
        </w:tc>
        <w:tc>
          <w:tcPr>
            <w:tcW w:w="6242" w:type="dxa"/>
          </w:tcPr>
          <w:p w:rsidR="004C50DC" w:rsidRPr="00EE7791" w:rsidRDefault="004C50DC" w:rsidP="004C50DC">
            <w:pPr>
              <w:spacing w:before="60" w:after="60"/>
              <w:ind w:firstLine="0"/>
              <w:rPr>
                <w:sz w:val="24"/>
              </w:rPr>
            </w:pPr>
            <w:r w:rsidRPr="00EE7791">
              <w:rPr>
                <w:sz w:val="24"/>
              </w:rPr>
              <w:t>École nationale des Arts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ICOMOS</w:t>
            </w:r>
          </w:p>
        </w:tc>
        <w:tc>
          <w:tcPr>
            <w:tcW w:w="6242" w:type="dxa"/>
          </w:tcPr>
          <w:p w:rsidR="004C50DC" w:rsidRPr="00EE7791" w:rsidRDefault="004C50DC" w:rsidP="004C50DC">
            <w:pPr>
              <w:spacing w:before="60" w:after="60"/>
              <w:ind w:firstLine="0"/>
              <w:rPr>
                <w:sz w:val="24"/>
              </w:rPr>
            </w:pPr>
            <w:r w:rsidRPr="00EE7791">
              <w:rPr>
                <w:sz w:val="24"/>
              </w:rPr>
              <w:t>Conseil international des monuments et des s</w:t>
            </w:r>
            <w:r w:rsidRPr="00EE7791">
              <w:rPr>
                <w:sz w:val="24"/>
              </w:rPr>
              <w:t>i</w:t>
            </w:r>
            <w:r w:rsidRPr="00EE7791">
              <w:rPr>
                <w:sz w:val="24"/>
              </w:rPr>
              <w:t>tes.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INAHCA</w:t>
            </w:r>
          </w:p>
        </w:tc>
        <w:tc>
          <w:tcPr>
            <w:tcW w:w="6242" w:type="dxa"/>
          </w:tcPr>
          <w:p w:rsidR="004C50DC" w:rsidRPr="00EE7791" w:rsidRDefault="004C50DC" w:rsidP="004C50DC">
            <w:pPr>
              <w:spacing w:before="60" w:after="60"/>
              <w:ind w:firstLine="0"/>
              <w:rPr>
                <w:sz w:val="24"/>
              </w:rPr>
            </w:pPr>
            <w:r w:rsidRPr="00EE7791">
              <w:rPr>
                <w:sz w:val="24"/>
              </w:rPr>
              <w:t>Institut national haïtien de la Culture et des Arts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ISPAN</w:t>
            </w:r>
          </w:p>
        </w:tc>
        <w:tc>
          <w:tcPr>
            <w:tcW w:w="6242" w:type="dxa"/>
          </w:tcPr>
          <w:p w:rsidR="004C50DC" w:rsidRPr="00EE7791" w:rsidRDefault="004C50DC" w:rsidP="004C50DC">
            <w:pPr>
              <w:spacing w:before="60" w:after="60"/>
              <w:ind w:firstLine="0"/>
              <w:rPr>
                <w:sz w:val="24"/>
              </w:rPr>
            </w:pPr>
            <w:r w:rsidRPr="00EE7791">
              <w:rPr>
                <w:sz w:val="24"/>
              </w:rPr>
              <w:t>Institut de sauvegarde du patrimoine national</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MINUSTAH</w:t>
            </w:r>
          </w:p>
        </w:tc>
        <w:tc>
          <w:tcPr>
            <w:tcW w:w="6242" w:type="dxa"/>
          </w:tcPr>
          <w:p w:rsidR="004C50DC" w:rsidRPr="00EE7791" w:rsidRDefault="004C50DC" w:rsidP="004C50DC">
            <w:pPr>
              <w:spacing w:before="60" w:after="60"/>
              <w:ind w:firstLine="0"/>
              <w:rPr>
                <w:sz w:val="24"/>
              </w:rPr>
            </w:pPr>
            <w:r w:rsidRPr="00EE7791">
              <w:rPr>
                <w:sz w:val="24"/>
              </w:rPr>
              <w:t>Mission des Nations unies pour la stabilisation en Haïti</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MUPANAH</w:t>
            </w:r>
          </w:p>
        </w:tc>
        <w:tc>
          <w:tcPr>
            <w:tcW w:w="6242" w:type="dxa"/>
          </w:tcPr>
          <w:p w:rsidR="004C50DC" w:rsidRPr="00EE7791" w:rsidRDefault="004C50DC" w:rsidP="004C50DC">
            <w:pPr>
              <w:spacing w:before="60" w:after="60"/>
              <w:ind w:firstLine="0"/>
              <w:rPr>
                <w:sz w:val="24"/>
              </w:rPr>
            </w:pPr>
            <w:r w:rsidRPr="00EE7791">
              <w:rPr>
                <w:sz w:val="24"/>
              </w:rPr>
              <w:t>Musée du Panthéon national haïtien</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OEA</w:t>
            </w:r>
          </w:p>
        </w:tc>
        <w:tc>
          <w:tcPr>
            <w:tcW w:w="6242" w:type="dxa"/>
          </w:tcPr>
          <w:p w:rsidR="004C50DC" w:rsidRPr="00EE7791" w:rsidRDefault="004C50DC" w:rsidP="004C50DC">
            <w:pPr>
              <w:spacing w:before="60" w:after="60"/>
              <w:ind w:firstLine="0"/>
              <w:rPr>
                <w:sz w:val="24"/>
              </w:rPr>
            </w:pPr>
            <w:r w:rsidRPr="00EE7791">
              <w:rPr>
                <w:sz w:val="24"/>
              </w:rPr>
              <w:t>Organisation des États américains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ONG</w:t>
            </w:r>
          </w:p>
        </w:tc>
        <w:tc>
          <w:tcPr>
            <w:tcW w:w="6242" w:type="dxa"/>
          </w:tcPr>
          <w:p w:rsidR="004C50DC" w:rsidRPr="00EE7791" w:rsidRDefault="004C50DC" w:rsidP="004C50DC">
            <w:pPr>
              <w:spacing w:before="60" w:after="60"/>
              <w:ind w:firstLine="0"/>
              <w:rPr>
                <w:sz w:val="24"/>
              </w:rPr>
            </w:pPr>
            <w:r w:rsidRPr="00EE7791">
              <w:rPr>
                <w:sz w:val="24"/>
              </w:rPr>
              <w:t>Organisation non gouvernementale</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ONU</w:t>
            </w:r>
          </w:p>
        </w:tc>
        <w:tc>
          <w:tcPr>
            <w:tcW w:w="6242" w:type="dxa"/>
          </w:tcPr>
          <w:p w:rsidR="004C50DC" w:rsidRPr="00EE7791" w:rsidRDefault="004C50DC" w:rsidP="004C50DC">
            <w:pPr>
              <w:spacing w:before="60" w:after="60"/>
              <w:ind w:firstLine="0"/>
              <w:rPr>
                <w:sz w:val="24"/>
              </w:rPr>
            </w:pPr>
            <w:r w:rsidRPr="00EE7791">
              <w:rPr>
                <w:sz w:val="24"/>
              </w:rPr>
              <w:t>Organisation des Nations unies</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PCI</w:t>
            </w:r>
          </w:p>
        </w:tc>
        <w:tc>
          <w:tcPr>
            <w:tcW w:w="6242" w:type="dxa"/>
          </w:tcPr>
          <w:p w:rsidR="004C50DC" w:rsidRPr="00EE7791" w:rsidRDefault="004C50DC" w:rsidP="004C50DC">
            <w:pPr>
              <w:spacing w:before="60" w:after="60"/>
              <w:ind w:firstLine="0"/>
              <w:rPr>
                <w:sz w:val="24"/>
              </w:rPr>
            </w:pPr>
            <w:r w:rsidRPr="00EE7791">
              <w:rPr>
                <w:sz w:val="24"/>
              </w:rPr>
              <w:t>Patrimoine culturel immatériel</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PIB</w:t>
            </w:r>
          </w:p>
        </w:tc>
        <w:tc>
          <w:tcPr>
            <w:tcW w:w="6242" w:type="dxa"/>
          </w:tcPr>
          <w:p w:rsidR="004C50DC" w:rsidRPr="00EE7791" w:rsidRDefault="004C50DC" w:rsidP="004C50DC">
            <w:pPr>
              <w:spacing w:before="60" w:after="60"/>
              <w:ind w:firstLine="0"/>
              <w:rPr>
                <w:sz w:val="24"/>
              </w:rPr>
            </w:pPr>
            <w:r w:rsidRPr="00EE7791">
              <w:rPr>
                <w:sz w:val="24"/>
              </w:rPr>
              <w:t>Produit intérieur brut</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PNUD</w:t>
            </w:r>
          </w:p>
        </w:tc>
        <w:tc>
          <w:tcPr>
            <w:tcW w:w="6242" w:type="dxa"/>
          </w:tcPr>
          <w:p w:rsidR="004C50DC" w:rsidRPr="00EE7791" w:rsidRDefault="004C50DC" w:rsidP="004C50DC">
            <w:pPr>
              <w:spacing w:before="60" w:after="60"/>
              <w:ind w:firstLine="0"/>
              <w:rPr>
                <w:sz w:val="24"/>
              </w:rPr>
            </w:pPr>
            <w:r w:rsidRPr="00EE7791">
              <w:rPr>
                <w:sz w:val="24"/>
              </w:rPr>
              <w:t>Programme des Nations unies pour le dévelo</w:t>
            </w:r>
            <w:r w:rsidRPr="00EE7791">
              <w:rPr>
                <w:sz w:val="24"/>
              </w:rPr>
              <w:t>p</w:t>
            </w:r>
            <w:r w:rsidRPr="00EE7791">
              <w:rPr>
                <w:sz w:val="24"/>
              </w:rPr>
              <w:t>pement</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UEH</w:t>
            </w:r>
          </w:p>
        </w:tc>
        <w:tc>
          <w:tcPr>
            <w:tcW w:w="6242" w:type="dxa"/>
          </w:tcPr>
          <w:p w:rsidR="004C50DC" w:rsidRPr="00EE7791" w:rsidRDefault="004C50DC" w:rsidP="004C50DC">
            <w:pPr>
              <w:spacing w:before="60" w:after="60"/>
              <w:ind w:firstLine="0"/>
              <w:rPr>
                <w:sz w:val="24"/>
              </w:rPr>
            </w:pPr>
            <w:r w:rsidRPr="00EE7791">
              <w:rPr>
                <w:sz w:val="24"/>
              </w:rPr>
              <w:t>Université d’État d’Haïti</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UNESCO</w:t>
            </w:r>
          </w:p>
        </w:tc>
        <w:tc>
          <w:tcPr>
            <w:tcW w:w="6242" w:type="dxa"/>
          </w:tcPr>
          <w:p w:rsidR="004C50DC" w:rsidRPr="00EE7791" w:rsidRDefault="004C50DC" w:rsidP="004C50DC">
            <w:pPr>
              <w:spacing w:before="60" w:after="60"/>
              <w:ind w:firstLine="0"/>
              <w:rPr>
                <w:sz w:val="24"/>
              </w:rPr>
            </w:pPr>
            <w:r w:rsidRPr="00EE7791">
              <w:rPr>
                <w:sz w:val="24"/>
              </w:rPr>
              <w:t>Organisation des Nations unies pour l’éducation, la science et la culture</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UNICEF</w:t>
            </w:r>
          </w:p>
        </w:tc>
        <w:tc>
          <w:tcPr>
            <w:tcW w:w="6242" w:type="dxa"/>
          </w:tcPr>
          <w:p w:rsidR="004C50DC" w:rsidRPr="00EE7791" w:rsidRDefault="004C50DC" w:rsidP="004C50DC">
            <w:pPr>
              <w:spacing w:before="60" w:after="60"/>
              <w:ind w:firstLine="0"/>
              <w:rPr>
                <w:sz w:val="24"/>
              </w:rPr>
            </w:pPr>
            <w:r w:rsidRPr="00EE7791">
              <w:rPr>
                <w:sz w:val="24"/>
              </w:rPr>
              <w:t>Fonds des Nations unies pour l’enfance</w:t>
            </w:r>
          </w:p>
        </w:tc>
      </w:tr>
      <w:tr w:rsidR="004C50DC" w:rsidRPr="00EE7791">
        <w:tc>
          <w:tcPr>
            <w:tcW w:w="1818" w:type="dxa"/>
          </w:tcPr>
          <w:p w:rsidR="004C50DC" w:rsidRPr="00EE7791" w:rsidRDefault="004C50DC" w:rsidP="004C50DC">
            <w:pPr>
              <w:spacing w:before="60" w:after="60"/>
              <w:ind w:firstLine="0"/>
              <w:rPr>
                <w:sz w:val="24"/>
              </w:rPr>
            </w:pPr>
            <w:r w:rsidRPr="00EE7791">
              <w:rPr>
                <w:sz w:val="24"/>
              </w:rPr>
              <w:t>UNPOL</w:t>
            </w:r>
          </w:p>
        </w:tc>
        <w:tc>
          <w:tcPr>
            <w:tcW w:w="6242" w:type="dxa"/>
          </w:tcPr>
          <w:p w:rsidR="004C50DC" w:rsidRPr="00EE7791" w:rsidRDefault="004C50DC" w:rsidP="004C50DC">
            <w:pPr>
              <w:spacing w:before="60" w:after="60"/>
              <w:ind w:firstLine="0"/>
              <w:rPr>
                <w:sz w:val="24"/>
              </w:rPr>
            </w:pPr>
            <w:r w:rsidRPr="00EE7791">
              <w:rPr>
                <w:sz w:val="24"/>
              </w:rPr>
              <w:t>Police des Nations unies</w:t>
            </w:r>
          </w:p>
        </w:tc>
      </w:tr>
    </w:tbl>
    <w:p w:rsidR="004C50DC" w:rsidRDefault="004C50DC" w:rsidP="004C50DC">
      <w:pPr>
        <w:pStyle w:val="p"/>
      </w:pPr>
      <w:r>
        <w:br w:type="page"/>
        <w:t>[xiv]</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6" w:name="Memoire_dedicaces"/>
      <w:r w:rsidRPr="00EF76C4">
        <w:rPr>
          <w:b/>
          <w:sz w:val="24"/>
        </w:rPr>
        <w:t>Mémoire de l’esclavage en Haïti.</w:t>
      </w:r>
    </w:p>
    <w:p w:rsidR="004C50DC" w:rsidRPr="00B13DD6" w:rsidRDefault="004C50DC" w:rsidP="004C50DC">
      <w:pPr>
        <w:pStyle w:val="planchest"/>
      </w:pPr>
      <w:r>
        <w:t>DÉDICACES</w:t>
      </w:r>
    </w:p>
    <w:bookmarkEnd w:id="6"/>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ind w:left="1080" w:firstLine="0"/>
        <w:jc w:val="both"/>
        <w:rPr>
          <w:i/>
          <w:szCs w:val="23"/>
        </w:rPr>
      </w:pPr>
    </w:p>
    <w:p w:rsidR="004C50DC" w:rsidRPr="00E8358C" w:rsidRDefault="004C50DC" w:rsidP="004C50DC">
      <w:pPr>
        <w:spacing w:before="120" w:after="120"/>
        <w:ind w:left="1080" w:firstLine="0"/>
        <w:jc w:val="both"/>
        <w:rPr>
          <w:i/>
          <w:szCs w:val="23"/>
        </w:rPr>
      </w:pPr>
      <w:r w:rsidRPr="00E8358C">
        <w:rPr>
          <w:i/>
          <w:szCs w:val="23"/>
        </w:rPr>
        <w:t>À mon père, Jean Dufanal Augustin, et à ma mère,</w:t>
      </w:r>
    </w:p>
    <w:p w:rsidR="004C50DC" w:rsidRPr="00E8358C" w:rsidRDefault="004C50DC" w:rsidP="004C50DC">
      <w:pPr>
        <w:spacing w:before="120" w:after="120"/>
        <w:ind w:left="1080" w:firstLine="0"/>
        <w:jc w:val="both"/>
        <w:rPr>
          <w:i/>
          <w:szCs w:val="23"/>
        </w:rPr>
      </w:pPr>
      <w:r w:rsidRPr="00E8358C">
        <w:rPr>
          <w:i/>
          <w:szCs w:val="23"/>
        </w:rPr>
        <w:t>Imène Tham Augustin, qui m’ont appris très tôt à déco</w:t>
      </w:r>
      <w:r w:rsidRPr="00E8358C">
        <w:rPr>
          <w:i/>
          <w:szCs w:val="23"/>
        </w:rPr>
        <w:t>u</w:t>
      </w:r>
      <w:r>
        <w:rPr>
          <w:i/>
          <w:szCs w:val="23"/>
        </w:rPr>
        <w:t>vrir</w:t>
      </w:r>
    </w:p>
    <w:p w:rsidR="004C50DC" w:rsidRPr="00E8358C" w:rsidRDefault="004C50DC" w:rsidP="004C50DC">
      <w:pPr>
        <w:spacing w:before="120" w:after="120"/>
        <w:ind w:left="1080" w:firstLine="0"/>
        <w:jc w:val="both"/>
        <w:rPr>
          <w:i/>
          <w:szCs w:val="23"/>
        </w:rPr>
      </w:pPr>
      <w:r w:rsidRPr="00E8358C">
        <w:rPr>
          <w:i/>
          <w:szCs w:val="23"/>
        </w:rPr>
        <w:t>les inestimables bienfaits de l’instruction. À mes e</w:t>
      </w:r>
      <w:r w:rsidRPr="00E8358C">
        <w:rPr>
          <w:i/>
          <w:szCs w:val="23"/>
        </w:rPr>
        <w:t>n</w:t>
      </w:r>
      <w:r w:rsidRPr="00E8358C">
        <w:rPr>
          <w:i/>
          <w:szCs w:val="23"/>
        </w:rPr>
        <w:t>fants,</w:t>
      </w:r>
    </w:p>
    <w:p w:rsidR="004C50DC" w:rsidRPr="00E8358C" w:rsidRDefault="004C50DC" w:rsidP="004C50DC">
      <w:pPr>
        <w:spacing w:before="120" w:after="120"/>
        <w:ind w:left="1080" w:firstLine="0"/>
        <w:jc w:val="both"/>
        <w:rPr>
          <w:i/>
          <w:szCs w:val="23"/>
        </w:rPr>
      </w:pPr>
      <w:r w:rsidRPr="00E8358C">
        <w:rPr>
          <w:i/>
          <w:szCs w:val="23"/>
        </w:rPr>
        <w:t xml:space="preserve"> J. S. Fed-Darnol, Indira N. R. et Andi-Noah E. K.,</w:t>
      </w:r>
    </w:p>
    <w:p w:rsidR="004C50DC" w:rsidRPr="00E8358C" w:rsidRDefault="004C50DC" w:rsidP="004C50DC">
      <w:pPr>
        <w:spacing w:before="120" w:after="120"/>
        <w:ind w:left="1080" w:firstLine="0"/>
        <w:jc w:val="both"/>
        <w:rPr>
          <w:i/>
          <w:szCs w:val="23"/>
        </w:rPr>
      </w:pPr>
      <w:r w:rsidRPr="00E8358C">
        <w:rPr>
          <w:i/>
          <w:szCs w:val="23"/>
        </w:rPr>
        <w:t xml:space="preserve">afin qu’ils perpétuent cette valeur familiale. </w:t>
      </w:r>
    </w:p>
    <w:p w:rsidR="004C50DC" w:rsidRDefault="004C50DC" w:rsidP="004C50DC">
      <w:pPr>
        <w:pStyle w:val="Normal0"/>
      </w:pPr>
    </w:p>
    <w:p w:rsidR="004C50DC" w:rsidRDefault="004C50DC" w:rsidP="004C50DC">
      <w:pPr>
        <w:pStyle w:val="p"/>
      </w:pPr>
      <w:r>
        <w:br w:type="page"/>
        <w:t>[xv]</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7" w:name="Memoire_remerciements"/>
      <w:r w:rsidRPr="00EF76C4">
        <w:rPr>
          <w:b/>
          <w:sz w:val="24"/>
        </w:rPr>
        <w:t>Mémoire de l’esclavage en Haïti.</w:t>
      </w:r>
    </w:p>
    <w:p w:rsidR="004C50DC" w:rsidRPr="00B13DD6" w:rsidRDefault="004C50DC" w:rsidP="004C50DC">
      <w:pPr>
        <w:pStyle w:val="planchest"/>
      </w:pPr>
      <w:r>
        <w:t>REMERCIEMENTS</w:t>
      </w:r>
    </w:p>
    <w:bookmarkEnd w:id="7"/>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 xml:space="preserve">Une thèse de doctorat est l’aboutissement de plusieurs années de recherches. C’est </w:t>
      </w:r>
      <w:r w:rsidRPr="00E8358C">
        <w:rPr>
          <w:lang w:eastAsia="en-CA"/>
        </w:rPr>
        <w:t>une période d’épanouissement intellectuel</w:t>
      </w:r>
      <w:r w:rsidRPr="00E8358C">
        <w:t xml:space="preserve"> parsemée d’embûches. Je n’aurais pu la mener à son terme sans le soutien continu de nombreuses personnes et institutions. </w:t>
      </w:r>
    </w:p>
    <w:p w:rsidR="004C50DC" w:rsidRPr="00E8358C" w:rsidRDefault="004C50DC" w:rsidP="004C50DC">
      <w:pPr>
        <w:spacing w:before="120" w:after="120"/>
        <w:jc w:val="both"/>
      </w:pPr>
      <w:r w:rsidRPr="00E8358C">
        <w:t>Je tiens tout d’abord à exprimer ma profonde gratitude à mon d</w:t>
      </w:r>
      <w:r w:rsidRPr="00E8358C">
        <w:t>i</w:t>
      </w:r>
      <w:r w:rsidRPr="00E8358C">
        <w:t xml:space="preserve">recteur de recherche, Monsieur Laurier Turgeon, pour son </w:t>
      </w:r>
      <w:r w:rsidRPr="00E8358C">
        <w:rPr>
          <w:lang w:eastAsia="en-CA"/>
        </w:rPr>
        <w:t>invariable</w:t>
      </w:r>
      <w:r w:rsidRPr="00E8358C">
        <w:t xml:space="preserve"> support et son encadrement tout au long de mes études doctorales et de la réalisation de cette thèse. Ses conseils ont affûté mes analyses critiques. </w:t>
      </w:r>
    </w:p>
    <w:p w:rsidR="004C50DC" w:rsidRPr="00E8358C" w:rsidRDefault="004C50DC" w:rsidP="004C50DC">
      <w:pPr>
        <w:spacing w:before="120" w:after="120"/>
        <w:jc w:val="both"/>
      </w:pPr>
      <w:r w:rsidRPr="00E8358C">
        <w:t>Je tiens aussi à remercier M. Laennec Hurbon, M. Maximilien L</w:t>
      </w:r>
      <w:r w:rsidRPr="00E8358C">
        <w:t>a</w:t>
      </w:r>
      <w:r w:rsidRPr="00E8358C">
        <w:t xml:space="preserve">roche et M. Hérold Toussaint d’avoir accepté de siéger sur le jury. Leurs précieux conseils et leurs remarques m’ont permis d’améliorer cette œuvre scientifique. </w:t>
      </w:r>
      <w:r w:rsidRPr="00E8358C">
        <w:rPr>
          <w:rFonts w:eastAsia="Calibri"/>
          <w:lang w:eastAsia="fr-FR"/>
        </w:rPr>
        <w:t xml:space="preserve">Pour avoir présidé le jury, un grand merci à M. Réginald Auger. </w:t>
      </w:r>
    </w:p>
    <w:p w:rsidR="004C50DC" w:rsidRPr="00E8358C" w:rsidRDefault="004C50DC" w:rsidP="004C50DC">
      <w:pPr>
        <w:spacing w:before="120" w:after="120"/>
        <w:jc w:val="both"/>
        <w:rPr>
          <w:lang w:eastAsia="en-CA"/>
        </w:rPr>
      </w:pPr>
      <w:r w:rsidRPr="00E8358C">
        <w:rPr>
          <w:lang w:eastAsia="en-CA"/>
        </w:rPr>
        <w:t>Je remercie le CÉLAT (Centre interuniversitaire d’études sur les lettres, les arts et les traditions) et le Département des sciences histor</w:t>
      </w:r>
      <w:r w:rsidRPr="00E8358C">
        <w:rPr>
          <w:lang w:eastAsia="en-CA"/>
        </w:rPr>
        <w:t>i</w:t>
      </w:r>
      <w:r w:rsidRPr="00E8358C">
        <w:rPr>
          <w:lang w:eastAsia="en-CA"/>
        </w:rPr>
        <w:t>ques pour leur appui technique indéfectible et surtout leur engagement scientifique dans ma formation durant mes quatre années d’études doctorales. Je tiens également à saluer le soutien logistique et fina</w:t>
      </w:r>
      <w:r w:rsidRPr="00E8358C">
        <w:rPr>
          <w:lang w:eastAsia="en-CA"/>
        </w:rPr>
        <w:t>n</w:t>
      </w:r>
      <w:r w:rsidRPr="00E8358C">
        <w:rPr>
          <w:lang w:eastAsia="en-CA"/>
        </w:rPr>
        <w:t>cier de l’Institut du patrimoine culturel (IPAC) et de la Chaire de r</w:t>
      </w:r>
      <w:r w:rsidRPr="00E8358C">
        <w:rPr>
          <w:lang w:eastAsia="en-CA"/>
        </w:rPr>
        <w:t>e</w:t>
      </w:r>
      <w:r w:rsidRPr="00E8358C">
        <w:rPr>
          <w:lang w:eastAsia="en-CA"/>
        </w:rPr>
        <w:t xml:space="preserve">cherche du Canada en patrimoine ethnologique de l’Université Laval. </w:t>
      </w:r>
    </w:p>
    <w:p w:rsidR="004C50DC" w:rsidRPr="00E8358C" w:rsidRDefault="004C50DC" w:rsidP="004C50DC">
      <w:pPr>
        <w:spacing w:before="120" w:after="120"/>
        <w:jc w:val="both"/>
      </w:pPr>
      <w:r w:rsidRPr="00E8358C">
        <w:t>À mes amis Rafael Lucas et Blanchard Raymond, qui m’ont a</w:t>
      </w:r>
      <w:r w:rsidRPr="00E8358C">
        <w:t>c</w:t>
      </w:r>
      <w:r w:rsidRPr="00E8358C">
        <w:t xml:space="preserve">cueilli et m’ont guidé dans mes déplacements lors de mon séjour de recherche en France, je vous dis merci. À toute l’équipe du Musée d’Aquitaine, notamment François Hubert, Christian Block et Jean-Marie Kabrane, je tiens à vous remercier de votre accueil chaleureux lors de mon stage à Bordeaux. Grâce à votre soutien, j’ai pu réaliser mes recherches dans des conditions idéales. </w:t>
      </w:r>
    </w:p>
    <w:p w:rsidR="004C50DC" w:rsidRPr="00E8358C" w:rsidRDefault="004C50DC" w:rsidP="004C50DC">
      <w:pPr>
        <w:spacing w:before="120" w:after="120"/>
        <w:jc w:val="both"/>
      </w:pPr>
      <w:r w:rsidRPr="00E8358C">
        <w:t>J’adresse des remerciements particuliers aux participants à mon enquête qui ont accepté de répondre à mes questions et à qui je pr</w:t>
      </w:r>
      <w:r w:rsidRPr="00E8358C">
        <w:t>o</w:t>
      </w:r>
      <w:r w:rsidRPr="00E8358C">
        <w:t>mets une restitution des résultats. Mes</w:t>
      </w:r>
      <w:r>
        <w:t xml:space="preserve"> [xvi]</w:t>
      </w:r>
      <w:r w:rsidRPr="00E8358C">
        <w:t xml:space="preserve"> remerciements vont aussi à toutes personnes qui, infatigablement, me prodiguent des conseils académiques en vue de la mise en œuvre de cette thèse. Je remercie ma femme, Dina François, dont la présence constante me fournit l’inspiration et l’énergie nécessaires pour poursuivre mes recherches.</w:t>
      </w:r>
    </w:p>
    <w:p w:rsidR="004C50DC" w:rsidRPr="00E8358C" w:rsidRDefault="004C50DC" w:rsidP="004C50DC">
      <w:pPr>
        <w:spacing w:before="120" w:after="120"/>
        <w:jc w:val="both"/>
      </w:pPr>
      <w:r w:rsidRPr="00E8358C">
        <w:t>À toute l’équipe de l’Université Laval qui m’a accueilli et m’a aidé dans les démarches administratives et académiques, je renouvelle ma gratitude. Je ne saurais oublier de remercier Jean Miguélite Maximé, Sony Noelsaint et Pierre Milry Pierre pour leur appui. Enfin, je veux remercier les amis qui m’ont toujours encouragé dans cette entreprise, notamment Pierre Louis Ricot, Junio Dort, Pierrot Jeune, Jobnel Pie</w:t>
      </w:r>
      <w:r w:rsidRPr="00E8358C">
        <w:t>r</w:t>
      </w:r>
      <w:r w:rsidRPr="00E8358C">
        <w:t>re, Figaro Aurélus, Jean Ronald Paul-Fils, Mathilde Lamothe, Scylla Wilbert, Nickerlange Sylvain, Cilfrid Mérélant, Jean Macaire Mata</w:t>
      </w:r>
      <w:r w:rsidRPr="00E8358C">
        <w:t>f</w:t>
      </w:r>
      <w:r w:rsidRPr="00E8358C">
        <w:t>wadi, Jean Kemly Augustin, Yveline St-Val, Majorille Plasival, Jean Hubert Jean Baptiste, Jean Eddy Alvarez, Rachelle Marius, Jean Se</w:t>
      </w:r>
      <w:r w:rsidRPr="00E8358C">
        <w:t>r</w:t>
      </w:r>
      <w:r w:rsidRPr="00E8358C">
        <w:t xml:space="preserve">go Louis, Johel Dominique, Marie Louise Michel, Israël Mildort, Guetchine Alexis et James Saintène. </w:t>
      </w:r>
    </w:p>
    <w:p w:rsidR="004C50DC" w:rsidRDefault="004C50DC" w:rsidP="004C50DC">
      <w:pPr>
        <w:pStyle w:val="Normal0"/>
      </w:pPr>
    </w:p>
    <w:p w:rsidR="004C50DC" w:rsidRDefault="004C50DC" w:rsidP="004C50DC">
      <w:pPr>
        <w:pStyle w:val="p"/>
      </w:pPr>
      <w:r>
        <w:br w:type="page"/>
        <w:t>[1]</w:t>
      </w:r>
    </w:p>
    <w:p w:rsidR="004C50DC" w:rsidRDefault="004C50DC">
      <w:pPr>
        <w:jc w:val="both"/>
      </w:pPr>
    </w:p>
    <w:p w:rsidR="004C50DC" w:rsidRDefault="004C50DC">
      <w:pPr>
        <w:jc w:val="both"/>
      </w:pPr>
    </w:p>
    <w:p w:rsidR="004C50DC" w:rsidRDefault="004C50DC">
      <w:pPr>
        <w:jc w:val="both"/>
      </w:pPr>
    </w:p>
    <w:p w:rsidR="004C50DC" w:rsidRPr="00EF76C4" w:rsidRDefault="004C50DC" w:rsidP="004C50DC">
      <w:pPr>
        <w:spacing w:after="120"/>
        <w:ind w:firstLine="0"/>
        <w:jc w:val="center"/>
        <w:rPr>
          <w:b/>
          <w:sz w:val="24"/>
        </w:rPr>
      </w:pPr>
      <w:bookmarkStart w:id="8" w:name="Memoire_intro"/>
      <w:r w:rsidRPr="00EF76C4">
        <w:rPr>
          <w:b/>
          <w:sz w:val="24"/>
        </w:rPr>
        <w:t>Mémoire de l’esclavage en Haïti.</w:t>
      </w:r>
    </w:p>
    <w:p w:rsidR="004C50DC" w:rsidRPr="002C7A64" w:rsidRDefault="004C50DC" w:rsidP="004C50DC">
      <w:pPr>
        <w:pStyle w:val="planchest"/>
      </w:pPr>
      <w:r w:rsidRPr="002C7A64">
        <w:t>INTRODUCTION</w:t>
      </w:r>
    </w:p>
    <w:bookmarkEnd w:id="8"/>
    <w:p w:rsidR="004C50DC" w:rsidRDefault="004C50DC">
      <w:pPr>
        <w:jc w:val="both"/>
      </w:pPr>
    </w:p>
    <w:p w:rsidR="004C50DC" w:rsidRDefault="004C50DC">
      <w:pPr>
        <w:jc w:val="both"/>
      </w:pPr>
    </w:p>
    <w:p w:rsidR="004C50DC" w:rsidRDefault="004C50DC">
      <w:pPr>
        <w:jc w:val="both"/>
      </w:pPr>
    </w:p>
    <w:p w:rsidR="004C50DC" w:rsidRDefault="004C50DC">
      <w:pPr>
        <w:jc w:val="both"/>
      </w:pPr>
    </w:p>
    <w:p w:rsidR="004C50DC" w:rsidRDefault="004C50DC">
      <w:pPr>
        <w:jc w:val="both"/>
      </w:pPr>
    </w:p>
    <w:p w:rsidR="004C50DC" w:rsidRDefault="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Les débats sur le passé colonial esclavagiste à la veille de la co</w:t>
      </w:r>
      <w:r w:rsidRPr="00E8358C">
        <w:t>m</w:t>
      </w:r>
      <w:r w:rsidRPr="00E8358C">
        <w:t>mémoration du bicentenaire de l’Indépendance d’Haïti en 2004 ont été des plus vifs, au point de compromettre la fête. Tout le monde y a participé – acteurs institutionnels, membres de la société civile organ</w:t>
      </w:r>
      <w:r w:rsidRPr="00E8358C">
        <w:t>i</w:t>
      </w:r>
      <w:r w:rsidRPr="00E8358C">
        <w:t>sée, citoyens, intellectuels. Nombreux et variés, les participants se sont emparés des médias et les débats sur ce sujet, tant sur le plan n</w:t>
      </w:r>
      <w:r w:rsidRPr="00E8358C">
        <w:t>a</w:t>
      </w:r>
      <w:r w:rsidRPr="00E8358C">
        <w:t>tional qu’international, ont envahi l’espace public. Le président Jean Bertrand Aristide, en avril 2003, a exacerbé les tensions en demandant « réparation » à la France, d’une part pour les Haïtiens en tant que descendants des victimes de la traite négrière et de l’esclavage, et de l’autre pour la restitution des indemnités qu’Haïti avait versées pour que son indépendance soit reconnue par la France. En effet, le 3 juillet 1825, le capitaine de vaisseau Armand de Mackau, en mission à Port-au-Prince, s’était chargé d’informer le président Jean-Pierre Boyer des exigences du roi Charles X en échange de cette reconnaissance</w:t>
      </w:r>
      <w:r>
        <w:t> </w:t>
      </w:r>
      <w:r>
        <w:rPr>
          <w:rStyle w:val="Appelnotedebasdep"/>
        </w:rPr>
        <w:footnoteReference w:id="1"/>
      </w:r>
      <w:r w:rsidRPr="00E8358C">
        <w:t>. S</w:t>
      </w:r>
      <w:r w:rsidRPr="00E8358C">
        <w:t>e</w:t>
      </w:r>
      <w:r w:rsidRPr="00E8358C">
        <w:t>lon le roi, Haïti devait payer « 150 millions de francs-or »</w:t>
      </w:r>
      <w:r>
        <w:t> </w:t>
      </w:r>
      <w:r w:rsidRPr="00E8358C">
        <w:rPr>
          <w:rStyle w:val="Appelnotedebasdep"/>
        </w:rPr>
        <w:footnoteReference w:id="2"/>
      </w:r>
      <w:r w:rsidRPr="00E8358C">
        <w:t xml:space="preserve"> pour d</w:t>
      </w:r>
      <w:r w:rsidRPr="00E8358C">
        <w:t>é</w:t>
      </w:r>
      <w:r w:rsidRPr="00E8358C">
        <w:t>dommager les colons dont les biens avaient été détruits ou brûlés lors de la guerre d’Indépendance haïtienne. 1825 est la date à laquelle le président Jean-Pierre Boyer a accepté officiellement de payer le d</w:t>
      </w:r>
      <w:r w:rsidRPr="00E8358C">
        <w:t>é</w:t>
      </w:r>
      <w:r w:rsidRPr="00E8358C">
        <w:t>dommagement ; jusqu’en 1883, Haïti a versé finalement 90 millions de francs-or</w:t>
      </w:r>
      <w:r>
        <w:t> </w:t>
      </w:r>
      <w:r>
        <w:rPr>
          <w:rStyle w:val="Appelnotedebasdep"/>
        </w:rPr>
        <w:footnoteReference w:id="3"/>
      </w:r>
      <w:r w:rsidRPr="00E8358C">
        <w:t xml:space="preserve"> après une réduction de la somme préalablement ex</w:t>
      </w:r>
      <w:r w:rsidRPr="00E8358C">
        <w:t>i</w:t>
      </w:r>
      <w:r w:rsidRPr="00E8358C">
        <w:t>gée.</w:t>
      </w:r>
    </w:p>
    <w:p w:rsidR="004C50DC" w:rsidRPr="00E8358C" w:rsidRDefault="004C50DC" w:rsidP="004C50DC">
      <w:pPr>
        <w:spacing w:before="120" w:after="120"/>
        <w:jc w:val="both"/>
      </w:pPr>
      <w:r w:rsidRPr="00E8358C">
        <w:t xml:space="preserve">Au même moment, Haïti connaissait en 2003 des troubles violents qui ont conduit au renversement du président Jean-Bertrand Aristide le 29 février 2004, interprété comme une conséquence de sa démarche mémorielle, de sa velléité anti-impérialiste et de sa vision populiste. Quelles qu’en aient été les causes directes ou indirectes, ces émeutes sont venues </w:t>
      </w:r>
      <w:r>
        <w:t xml:space="preserve">[2] </w:t>
      </w:r>
      <w:r w:rsidRPr="00E8358C">
        <w:t>compromettre la commémoration du bicentenaire de la libération nationale, le 1</w:t>
      </w:r>
      <w:r w:rsidRPr="00E8358C">
        <w:rPr>
          <w:vertAlign w:val="superscript"/>
        </w:rPr>
        <w:t>er</w:t>
      </w:r>
      <w:r w:rsidRPr="00E8358C">
        <w:t xml:space="preserve"> janvier 2004. Le président Jean-Bertrand Aristide était conscient que le travail de mémoire sur l’esclavage s’accompagne toujours de graves conséquences politiques et soci</w:t>
      </w:r>
      <w:r w:rsidRPr="00E8358C">
        <w:t>a</w:t>
      </w:r>
      <w:r w:rsidRPr="00E8358C">
        <w:t>les</w:t>
      </w:r>
      <w:r>
        <w:t> </w:t>
      </w:r>
      <w:r>
        <w:rPr>
          <w:rStyle w:val="Appelnotedebasdep"/>
        </w:rPr>
        <w:footnoteReference w:id="4"/>
      </w:r>
      <w:r w:rsidRPr="00E8358C">
        <w:t>. Bien que cette thèse ne soit pas une étude de cet événement pa</w:t>
      </w:r>
      <w:r w:rsidRPr="00E8358C">
        <w:t>r</w:t>
      </w:r>
      <w:r w:rsidRPr="00E8358C">
        <w:t>tic</w:t>
      </w:r>
      <w:r w:rsidRPr="00E8358C">
        <w:t>u</w:t>
      </w:r>
      <w:r w:rsidRPr="00E8358C">
        <w:t>lier, elle en tient compte pour montrer comment la demande du prés</w:t>
      </w:r>
      <w:r w:rsidRPr="00E8358C">
        <w:t>i</w:t>
      </w:r>
      <w:r w:rsidRPr="00E8358C">
        <w:t>dent Aristide a subitement relancé le débat sur la mémoire de l’esclavage dans l’espace public haïtien. Elle démontre aussi à quel point ce débat est sensible, voire explosif, en Haïti.</w:t>
      </w:r>
    </w:p>
    <w:p w:rsidR="004C50DC" w:rsidRPr="00E8358C" w:rsidRDefault="004C50DC" w:rsidP="004C50DC">
      <w:pPr>
        <w:spacing w:before="120" w:after="120"/>
        <w:jc w:val="both"/>
      </w:pPr>
      <w:r w:rsidRPr="00E8358C">
        <w:t>Dans ce contexte, les objets, les lieux et les traces du passé colonial qui émaillent le territoire national haïtien ont interpellé notre con</w:t>
      </w:r>
      <w:r w:rsidRPr="00E8358C">
        <w:t>s</w:t>
      </w:r>
      <w:r w:rsidRPr="00E8358C">
        <w:t>cience intellectuelle. Nous avons voulu en savoir davantage sur la mémoire des habitations coloniales, foyers par excellence de l’esclavage : notre recherche sur l’habitation Gérard aux Cayes, te</w:t>
      </w:r>
      <w:r w:rsidRPr="00E8358C">
        <w:t>r</w:t>
      </w:r>
      <w:r w:rsidRPr="00E8358C">
        <w:t>minée en 2009 pour l’obtention de notre diplôme de maîtrise en « Histoire, mémoire et patrimoine », a été l’occasion d’établir des liens avec les communautés locales, de déceler les rapports que les habitants entretiennent avec le site et le passé colonial esclavagiste, et de recueillir les avis des visiteurs. Nous avons alors constaté que l’esclavage et sa mémoire préoccupent encore les Haïtiens. Les hab</w:t>
      </w:r>
      <w:r w:rsidRPr="00E8358C">
        <w:t>i</w:t>
      </w:r>
      <w:r w:rsidRPr="00E8358C">
        <w:t>tants s’en servent pour dénoncer les situations de misère et de mauva</w:t>
      </w:r>
      <w:r w:rsidRPr="00E8358C">
        <w:t>i</w:t>
      </w:r>
      <w:r w:rsidRPr="00E8358C">
        <w:t>se gestion du pays. Ils en font des outils de revendication, mais aussi des symboles de fierté.</w:t>
      </w:r>
    </w:p>
    <w:p w:rsidR="004C50DC" w:rsidRPr="00E8358C" w:rsidRDefault="004C50DC" w:rsidP="004C50DC">
      <w:pPr>
        <w:spacing w:before="120" w:after="120"/>
        <w:jc w:val="both"/>
      </w:pPr>
      <w:r w:rsidRPr="00E8358C">
        <w:t>À la suite de cette monographie, nous avons voulu par cette no</w:t>
      </w:r>
      <w:r w:rsidRPr="00E8358C">
        <w:t>u</w:t>
      </w:r>
      <w:r w:rsidRPr="00E8358C">
        <w:t>velle étude élargir nos perspectives et explorer la mémoire de l’esclavage dans les régions du nord, de l’ouest et du sud, choisies en raison de leur poids historique et culturel, mais aussi parce qu’elles regroupent la plupart des vestiges coloniaux. En effet, depuis les a</w:t>
      </w:r>
      <w:r w:rsidRPr="00E8358C">
        <w:t>n</w:t>
      </w:r>
      <w:r w:rsidRPr="00E8358C">
        <w:t>nées 1980, nous avons assisté dans plusieurs régions du pays à la cré</w:t>
      </w:r>
      <w:r w:rsidRPr="00E8358C">
        <w:t>a</w:t>
      </w:r>
      <w:r w:rsidRPr="00E8358C">
        <w:t>tion d’associations et de clubs du patrimoine</w:t>
      </w:r>
      <w:r>
        <w:t> </w:t>
      </w:r>
      <w:r w:rsidRPr="00E8358C">
        <w:rPr>
          <w:rStyle w:val="Appelnotedebasdep"/>
        </w:rPr>
        <w:footnoteReference w:id="5"/>
      </w:r>
      <w:r w:rsidRPr="00E8358C">
        <w:t xml:space="preserve">. Des visites ponctuelles de lieux, des projets de musées, des demandes </w:t>
      </w:r>
      <w:r w:rsidRPr="00E8358C">
        <w:rPr>
          <w:rFonts w:eastAsia="Calibri"/>
          <w:lang w:eastAsia="fr-FR"/>
        </w:rPr>
        <w:t>sectorielles et locales</w:t>
      </w:r>
      <w:r w:rsidRPr="00E8358C">
        <w:t xml:space="preserve"> de préservation de tel lieu ou encore d’inscription au calendrier des</w:t>
      </w:r>
      <w:r>
        <w:t xml:space="preserve"> [3]</w:t>
      </w:r>
      <w:r w:rsidRPr="00E8358C">
        <w:t xml:space="preserve"> commémorations nationales de telle date jugée importante sont également à signaler. Les populations locales ont essayé avec les moyens du bord, tant bien que mal, d’alimenter cette mémoire par des actions patrimoniales. Il nous paraît nécessaire et utile, après plus de deux cents ans d’existence de la Nation haïtienne, de nous pencher sur le réseau complexe des mémoires de l’esclavage. Il convient alors de chercher à comprendre ce qui a marqué, ce qui a été transmis, conse</w:t>
      </w:r>
      <w:r w:rsidRPr="00E8358C">
        <w:t>r</w:t>
      </w:r>
      <w:r w:rsidRPr="00E8358C">
        <w:t>vé, rejeté, refoulé, ce qui est mobilisable et mobilisé, dans quelles ci</w:t>
      </w:r>
      <w:r w:rsidRPr="00E8358C">
        <w:t>r</w:t>
      </w:r>
      <w:r w:rsidRPr="00E8358C">
        <w:t xml:space="preserve">constances et avec quels objectifs. </w:t>
      </w:r>
    </w:p>
    <w:p w:rsidR="004C50DC" w:rsidRPr="00E8358C" w:rsidRDefault="004C50DC" w:rsidP="004C50DC">
      <w:pPr>
        <w:spacing w:before="120" w:after="120"/>
        <w:jc w:val="both"/>
      </w:pPr>
      <w:r w:rsidRPr="00E8358C">
        <w:t>Cette thèse vise à mieux comprendre les mémoires et les débats qui travaillent la société haïtienne en les inscrivant dans une approche de patrimoine mémoriel. Il s’agit plus précisément de nous interroger sur les mémoires de l’esclavage en réfléchissant aux enjeux de leur patr</w:t>
      </w:r>
      <w:r w:rsidRPr="00E8358C">
        <w:t>i</w:t>
      </w:r>
      <w:r w:rsidRPr="00E8358C">
        <w:t>monialisation en Haïti. La matière est riche. Les lieux, les objets et les pratiques culturelles et cultuelles qui la supportent sont divers. En ra</w:t>
      </w:r>
      <w:r w:rsidRPr="00E8358C">
        <w:t>i</w:t>
      </w:r>
      <w:r w:rsidRPr="00E8358C">
        <w:t xml:space="preserve">son de la particularité d’Haïti dans l’histoire générale de l’esclavage, nous pensons qu’une telle étude pourrait apporter une contribution significative au champ en expansion des études sur les mémoires de l’esclavage. </w:t>
      </w:r>
    </w:p>
    <w:p w:rsidR="004C50DC" w:rsidRPr="00E8358C" w:rsidRDefault="004C50DC" w:rsidP="004C50DC">
      <w:pPr>
        <w:spacing w:before="120" w:after="120"/>
        <w:jc w:val="both"/>
      </w:pPr>
      <w:r w:rsidRPr="00E8358C">
        <w:rPr>
          <w:lang w:eastAsia="en-CA"/>
        </w:rPr>
        <w:t xml:space="preserve">Nous avons tenu </w:t>
      </w:r>
      <w:r w:rsidRPr="00E8358C">
        <w:t>compte des acteurs sociaux, des pratiques sociales et culturelles (la musique, la danse, la langue créole, les pratiques ga</w:t>
      </w:r>
      <w:r w:rsidRPr="00E8358C">
        <w:t>s</w:t>
      </w:r>
      <w:r w:rsidRPr="00E8358C">
        <w:t>tronomiques, politiques, religieuses), des discours, des perceptions collectives des traces matérielles comme des vestiges d’habitations coloniales et de fortifications, et d'autres « objets-témoins ». Ces m</w:t>
      </w:r>
      <w:r w:rsidRPr="00E8358C">
        <w:t>a</w:t>
      </w:r>
      <w:r w:rsidRPr="00E8358C">
        <w:t xml:space="preserve">tériaux nous aident à comprendre le pourquoi du silence, du refus, des occultations ou de l’appropriation, ou encore de la réappropriation de représentations construites du passé colonial esclavagiste en Haïti. </w:t>
      </w:r>
    </w:p>
    <w:p w:rsidR="004C50DC" w:rsidRPr="00E8358C" w:rsidRDefault="004C50DC" w:rsidP="004C50DC">
      <w:pPr>
        <w:spacing w:before="120" w:after="120"/>
        <w:jc w:val="both"/>
      </w:pPr>
      <w:r w:rsidRPr="00E8358C">
        <w:t>Les enjeux de la patrimonialisation ont été dégagés, d’une part en les considérant dans la durée, par l’analyse des politiques culturelles qui ont été adoptées, et d’autre part, en les observant dans la synchr</w:t>
      </w:r>
      <w:r w:rsidRPr="00E8358C">
        <w:t>o</w:t>
      </w:r>
      <w:r w:rsidRPr="00E8358C">
        <w:t>nie, à travers ce qui se fait et les déclarations des participants à l’enquête. Une fois ce travail réalisé, nous avons pu dévoiler des per</w:t>
      </w:r>
      <w:r w:rsidRPr="00E8358C">
        <w:t>s</w:t>
      </w:r>
      <w:r w:rsidRPr="00E8358C">
        <w:t>pectives en tenant compte des multiples interrogations actuelles (que</w:t>
      </w:r>
      <w:r w:rsidRPr="00E8358C">
        <w:t>l</w:t>
      </w:r>
      <w:r w:rsidRPr="00E8358C">
        <w:t>les sont les mémoires de l’esclavage retenues ou entretenues ? Pou</w:t>
      </w:r>
      <w:r w:rsidRPr="00E8358C">
        <w:t>r</w:t>
      </w:r>
      <w:r w:rsidRPr="00E8358C">
        <w:t xml:space="preserve">quoi ? Comment influencent-elles la vie sociale et politique </w:t>
      </w:r>
      <w:r>
        <w:t xml:space="preserve">[4] </w:t>
      </w:r>
      <w:r w:rsidRPr="00E8358C">
        <w:t>ha</w:t>
      </w:r>
      <w:r w:rsidRPr="00E8358C">
        <w:t>ï</w:t>
      </w:r>
      <w:r w:rsidRPr="00E8358C">
        <w:t>tienne ?) et des projets internationaux intersectoriels et transdiscipl</w:t>
      </w:r>
      <w:r w:rsidRPr="00E8358C">
        <w:t>i</w:t>
      </w:r>
      <w:r w:rsidRPr="00E8358C">
        <w:t>naires engagés (</w:t>
      </w:r>
      <w:r w:rsidRPr="00E8358C">
        <w:rPr>
          <w:i/>
        </w:rPr>
        <w:t>Route 2004, Route de l’esclavage de l’UNESCO</w:t>
      </w:r>
      <w:r w:rsidRPr="00E8358C">
        <w:t>) qui peuvent susciter une prise de conscience nécessaire et contribuer à la construction d’un consensus sur le traitement de la mémoire de la tra</w:t>
      </w:r>
      <w:r w:rsidRPr="00E8358C">
        <w:t>i</w:t>
      </w:r>
      <w:r w:rsidRPr="00E8358C">
        <w:t>te négrière et de l’esclavage</w:t>
      </w:r>
      <w:r>
        <w:t> </w:t>
      </w:r>
      <w:r w:rsidRPr="00E8358C">
        <w:rPr>
          <w:rStyle w:val="Appelnotedebasdep"/>
        </w:rPr>
        <w:footnoteReference w:id="6"/>
      </w:r>
      <w:r w:rsidRPr="00E8358C">
        <w:t>.</w:t>
      </w:r>
    </w:p>
    <w:p w:rsidR="004C50DC" w:rsidRPr="00E8358C" w:rsidRDefault="004C50DC" w:rsidP="004C50DC">
      <w:pPr>
        <w:spacing w:before="120" w:after="120"/>
        <w:jc w:val="both"/>
      </w:pPr>
      <w:r w:rsidRPr="00E8358C">
        <w:t>L’objet mémoriel et patrimonial de l’esclavage nous porte égal</w:t>
      </w:r>
      <w:r w:rsidRPr="00E8358C">
        <w:t>e</w:t>
      </w:r>
      <w:r w:rsidRPr="00E8358C">
        <w:t>ment à considérer la notion de la « mémoire » souvent controversée, occultée ou frappée d’amnésie collective. Bogumil Jewsiewicki insiste à juste titre sur le fait que la  mémoire de l’esclavage est un enjeu m</w:t>
      </w:r>
      <w:r w:rsidRPr="00E8358C">
        <w:t>a</w:t>
      </w:r>
      <w:r w:rsidRPr="00E8358C">
        <w:t>jeur de la société haïtienne qui concerne tout le monde : « autant les descendants de maîtres ou des négriers que ceux d’esclaves partagent aujourd’hui cet univers […] »</w:t>
      </w:r>
      <w:r>
        <w:t> </w:t>
      </w:r>
      <w:r w:rsidRPr="00E8358C">
        <w:rPr>
          <w:rStyle w:val="Appelnotedebasdep"/>
        </w:rPr>
        <w:footnoteReference w:id="7"/>
      </w:r>
      <w:r w:rsidRPr="00E8358C">
        <w:t>. La mémoire n’est pas l’exploration du passé. Elle se vit au présent. En tant qu’ethnologue, nous devons nous efforcer de décrire, si possible « d’élucider ses manifestations contemporaines »</w:t>
      </w:r>
      <w:r>
        <w:t> </w:t>
      </w:r>
      <w:r w:rsidRPr="00E8358C">
        <w:rPr>
          <w:rStyle w:val="Appelnotedebasdep"/>
        </w:rPr>
        <w:footnoteReference w:id="8"/>
      </w:r>
      <w:r w:rsidRPr="00E8358C">
        <w:t>. Qui plus est, cette mémoire n’est pas stable et f</w:t>
      </w:r>
      <w:r w:rsidRPr="00E8358C">
        <w:t>i</w:t>
      </w:r>
      <w:r w:rsidRPr="00E8358C">
        <w:t>gée</w:t>
      </w:r>
      <w:r w:rsidRPr="001D79C9">
        <w:t>, elle est</w:t>
      </w:r>
      <w:r w:rsidRPr="00E8358C">
        <w:t xml:space="preserve"> « le résultat d’un processus de re-catégorisation cont</w:t>
      </w:r>
      <w:r w:rsidRPr="00E8358C">
        <w:t>i</w:t>
      </w:r>
      <w:r w:rsidRPr="00E8358C">
        <w:t>nue »</w:t>
      </w:r>
      <w:r>
        <w:t> </w:t>
      </w:r>
      <w:r w:rsidRPr="00E8358C">
        <w:rPr>
          <w:rStyle w:val="Appelnotedebasdep"/>
        </w:rPr>
        <w:footnoteReference w:id="9"/>
      </w:r>
      <w:r w:rsidRPr="00E8358C">
        <w:t xml:space="preserve">. </w:t>
      </w:r>
    </w:p>
    <w:p w:rsidR="004C50DC" w:rsidRPr="00E8358C" w:rsidRDefault="004C50DC" w:rsidP="004C50DC">
      <w:pPr>
        <w:spacing w:before="120" w:after="120"/>
        <w:jc w:val="both"/>
      </w:pPr>
      <w:r w:rsidRPr="00E8358C">
        <w:t>Nous sommes allé au-delà d’une simple identification de la m</w:t>
      </w:r>
      <w:r w:rsidRPr="00E8358C">
        <w:t>é</w:t>
      </w:r>
      <w:r w:rsidRPr="00E8358C">
        <w:t>moire de l’esclavage. Nous cherchons à savoir comment elle est p</w:t>
      </w:r>
      <w:r w:rsidRPr="00E8358C">
        <w:t>a</w:t>
      </w:r>
      <w:r w:rsidRPr="00E8358C">
        <w:t>trimonialisée, comment elle est utilisée pour fabriquer du patrimoine, ce qui nous permettra d’appréhender la façon dont les Haïtiens l’utilisent. L’étude de la patrimonialisation de cette mémoire nous permet, en effet, de savoir comment les populations se l’approprient pour se construire et se reconstruire.</w:t>
      </w:r>
    </w:p>
    <w:p w:rsidR="004C50DC" w:rsidRPr="00E8358C" w:rsidRDefault="004C50DC" w:rsidP="004C50DC">
      <w:pPr>
        <w:spacing w:before="120" w:after="120"/>
        <w:jc w:val="both"/>
      </w:pPr>
      <w:r w:rsidRPr="00E8358C">
        <w:t>Selon Dominique Poulot, le patrimoine est « un phénomène apparu sur les ruines de la mémoire vivante » ; il s’agit donc d’un « </w:t>
      </w:r>
      <w:r w:rsidRPr="00E8358C">
        <w:rPr>
          <w:i/>
        </w:rPr>
        <w:t>lamento</w:t>
      </w:r>
      <w:r w:rsidRPr="00E8358C">
        <w:t xml:space="preserve"> funèbre»</w:t>
      </w:r>
      <w:r>
        <w:t> </w:t>
      </w:r>
      <w:r w:rsidRPr="00E8358C">
        <w:rPr>
          <w:rStyle w:val="Appelnotedebasdep"/>
        </w:rPr>
        <w:footnoteReference w:id="10"/>
      </w:r>
      <w:r w:rsidRPr="00E8358C">
        <w:t>. La mémoire ne fait pas qu’alimenter le patrimoine ; elle le transforme, le met en mouvement, en fait un lieu de consensus de groupes d’intérêts divers, plus encore un processus de conciliation et de</w:t>
      </w:r>
      <w:r>
        <w:t xml:space="preserve"> [5]</w:t>
      </w:r>
      <w:r w:rsidRPr="00E8358C">
        <w:t xml:space="preserve"> réconciliation, et elle contribue ainsi au « vivre ensemble ». À partir de cette considération, l’analyse de la société haïtienne de l’après-1804 nous amène, comme le conseille Laurier Turgeon, à « décentrer le patrimoine en mettant l’accent sur le mouvement, les mutations et les mélanges »</w:t>
      </w:r>
      <w:r w:rsidRPr="00E8358C">
        <w:rPr>
          <w:rStyle w:val="Appelnotedebasdep"/>
        </w:rPr>
        <w:footnoteReference w:id="11"/>
      </w:r>
      <w:r w:rsidRPr="00E8358C">
        <w:t xml:space="preserve"> pour bien comprendre les mécanismes de son fonctionnement. </w:t>
      </w:r>
    </w:p>
    <w:p w:rsidR="004C50DC" w:rsidRPr="00E8358C" w:rsidRDefault="004C50DC" w:rsidP="004C50DC">
      <w:pPr>
        <w:spacing w:before="120" w:after="120"/>
        <w:jc w:val="both"/>
      </w:pPr>
      <w:r w:rsidRPr="00E8358C">
        <w:t>Considérant l’émergence des « études patrimoniales » depuis la décennie 1990, nous avons sollicité l</w:t>
      </w:r>
      <w:r w:rsidRPr="00E8358C">
        <w:rPr>
          <w:rFonts w:eastAsia="Calibri"/>
          <w:lang w:eastAsia="en-CA"/>
        </w:rPr>
        <w:t>’ethnologie pour ses méthodes (techniques d’enquêtes de terrain, méthode de collecte et d’interprétation des données) et pour ses sources diverses (sources orales, écrites, audiovisuelles, iconographiques) afin d’éviter d’aboutir à des conclusions portant sur un discours officiel et légitimé. L</w:t>
      </w:r>
      <w:r w:rsidRPr="00E8358C">
        <w:t>es stigmates de l’esclavage dans les sociétés et les orientations de la v</w:t>
      </w:r>
      <w:r w:rsidRPr="00E8358C">
        <w:t>a</w:t>
      </w:r>
      <w:r w:rsidRPr="00E8358C">
        <w:t>lorisation des mémoires ne sauraient être mieux analysés qu’au carr</w:t>
      </w:r>
      <w:r w:rsidRPr="00E8358C">
        <w:t>e</w:t>
      </w:r>
      <w:r w:rsidRPr="00E8358C">
        <w:t>four de l’interdisciplinarité. Déjà, Christine Chivallon prône leur contribution à une « anthropologie de la Caraïbe »</w:t>
      </w:r>
      <w:r>
        <w:t> </w:t>
      </w:r>
      <w:r w:rsidRPr="00E8358C">
        <w:rPr>
          <w:rStyle w:val="Appelnotedebasdep"/>
        </w:rPr>
        <w:footnoteReference w:id="12"/>
      </w:r>
      <w:r w:rsidRPr="00E8358C">
        <w:t>. Les termes « esclavage » et « mémoire » sont abordés en regard de la notion de « patrimoine » qui bénéficie à la fois du sens matériel et de la perce</w:t>
      </w:r>
      <w:r w:rsidRPr="00E8358C">
        <w:t>p</w:t>
      </w:r>
      <w:r w:rsidRPr="00E8358C">
        <w:t>tion immatérielle, car comme le soutient Dominique Poulot, « le p</w:t>
      </w:r>
      <w:r w:rsidRPr="00E8358C">
        <w:t>a</w:t>
      </w:r>
      <w:r w:rsidRPr="00E8358C">
        <w:t>trimoine au tournant des XX</w:t>
      </w:r>
      <w:r w:rsidRPr="00E8358C">
        <w:rPr>
          <w:vertAlign w:val="superscript"/>
        </w:rPr>
        <w:t>e</w:t>
      </w:r>
      <w:r w:rsidRPr="00E8358C">
        <w:t xml:space="preserve"> et XXI</w:t>
      </w:r>
      <w:r w:rsidRPr="00E8358C">
        <w:rPr>
          <w:vertAlign w:val="superscript"/>
        </w:rPr>
        <w:t>e</w:t>
      </w:r>
      <w:r w:rsidRPr="00E8358C">
        <w:t xml:space="preserve"> siècles doit contribuer à révéler à chacun son identité, grâce au miroir qu’il fournit de soi et au contact qu’il permet avec l’autre... »</w:t>
      </w:r>
      <w:r>
        <w:t> </w:t>
      </w:r>
      <w:r w:rsidRPr="00E8358C">
        <w:rPr>
          <w:rStyle w:val="Appelnotedebasdep"/>
        </w:rPr>
        <w:footnoteReference w:id="13"/>
      </w:r>
      <w:r w:rsidRPr="00E8358C">
        <w:t>.</w:t>
      </w:r>
      <w:r w:rsidRPr="00E8358C">
        <w:rPr>
          <w:rFonts w:eastAsia="Calibri"/>
          <w:lang w:eastAsia="en-CA"/>
        </w:rPr>
        <w:t xml:space="preserve"> Il faut donc inscrire </w:t>
      </w:r>
      <w:r w:rsidRPr="00E8358C">
        <w:t>le patrimoine au cœur de « l’activité communicationnelle »</w:t>
      </w:r>
      <w:r>
        <w:t> </w:t>
      </w:r>
      <w:r w:rsidRPr="00E8358C">
        <w:rPr>
          <w:rStyle w:val="Appelnotedebasdep"/>
        </w:rPr>
        <w:footnoteReference w:id="14"/>
      </w:r>
      <w:r w:rsidRPr="00E8358C">
        <w:t xml:space="preserve"> et sociale pour le « vivre ensemble ». </w:t>
      </w:r>
    </w:p>
    <w:p w:rsidR="004C50DC" w:rsidRPr="00E8358C" w:rsidRDefault="004C50DC" w:rsidP="004C50DC">
      <w:pPr>
        <w:spacing w:before="120" w:after="120"/>
        <w:jc w:val="both"/>
      </w:pPr>
    </w:p>
    <w:p w:rsidR="004C50DC" w:rsidRPr="00821E6E" w:rsidRDefault="004C50DC" w:rsidP="004C50DC">
      <w:pPr>
        <w:pStyle w:val="a"/>
      </w:pPr>
      <w:bookmarkStart w:id="9" w:name="_Toc423347258"/>
      <w:bookmarkStart w:id="10" w:name="_Toc442280437"/>
      <w:r w:rsidRPr="00821E6E">
        <w:t>Organisation de la thèse</w:t>
      </w:r>
      <w:bookmarkEnd w:id="9"/>
      <w:bookmarkEnd w:id="10"/>
    </w:p>
    <w:p w:rsidR="004C50DC" w:rsidRPr="00E8358C" w:rsidRDefault="004C50DC" w:rsidP="004C50DC">
      <w:pPr>
        <w:spacing w:before="120" w:after="120"/>
        <w:jc w:val="both"/>
      </w:pPr>
    </w:p>
    <w:p w:rsidR="004C50DC" w:rsidRPr="00E8358C" w:rsidRDefault="004C50DC" w:rsidP="004C50DC">
      <w:pPr>
        <w:spacing w:before="120" w:after="120"/>
        <w:jc w:val="both"/>
        <w:rPr>
          <w:bCs/>
          <w:lang w:eastAsia="en-CA"/>
        </w:rPr>
      </w:pPr>
      <w:r w:rsidRPr="00E8358C">
        <w:t xml:space="preserve">La notion de « mémoire de l’esclavage » a été peu explorée dans la perspective du patrimoine. Son caractère immatériel, fictif, subjectif – voire controversé – peut expliquer la posture des chercheurs. Cette thèse vise à démontrer à travers les mémoires multiples de l’esclavage en Haïti comment le matériel est porteur d’une immatérialité qui le façonne. </w:t>
      </w:r>
      <w:r>
        <w:t xml:space="preserve">[6] </w:t>
      </w:r>
      <w:r w:rsidRPr="00E8358C">
        <w:t>Ainsi, nous voyons la mémoire, et entre autres la mémo</w:t>
      </w:r>
      <w:r w:rsidRPr="00E8358C">
        <w:t>i</w:t>
      </w:r>
      <w:r w:rsidRPr="00E8358C">
        <w:t>re de l’esclavage, comme un patrimoine puisqu’elle révèle des dime</w:t>
      </w:r>
      <w:r w:rsidRPr="00E8358C">
        <w:t>n</w:t>
      </w:r>
      <w:r w:rsidRPr="00E8358C">
        <w:t>sions particulières (culturelles, sociales, politiques, identitaires, etc.) des sociétés anciennement mises en esclavage qui la modèlent et la transmettent. En Haïti, elle a été trop longtemps évacuée ou cachée. Il faut la ressusciter pour c</w:t>
      </w:r>
      <w:r w:rsidRPr="00E8358C">
        <w:rPr>
          <w:bCs/>
          <w:lang w:eastAsia="en-CA"/>
        </w:rPr>
        <w:t>ombattre l’oubli.</w:t>
      </w:r>
    </w:p>
    <w:p w:rsidR="004C50DC" w:rsidRPr="00E8358C" w:rsidRDefault="004C50DC" w:rsidP="004C50DC">
      <w:pPr>
        <w:spacing w:before="120" w:after="120"/>
        <w:jc w:val="both"/>
        <w:rPr>
          <w:b/>
        </w:rPr>
      </w:pPr>
      <w:r w:rsidRPr="00E8358C">
        <w:rPr>
          <w:bCs/>
          <w:lang w:eastAsia="en-CA"/>
        </w:rPr>
        <w:t xml:space="preserve">La mémoire de l’esclavage doit contribuer à la promotion du « vivre ensemble », à l’affirmation et à la promotion de la culture pour arriver à apaiser les tensions sociales et politiques. </w:t>
      </w:r>
      <w:r w:rsidRPr="00E8358C">
        <w:rPr>
          <w:rFonts w:eastAsia="Calibri"/>
          <w:lang w:eastAsia="en-CA"/>
        </w:rPr>
        <w:t>En tant que che</w:t>
      </w:r>
      <w:r w:rsidRPr="00E8358C">
        <w:rPr>
          <w:rFonts w:eastAsia="Calibri"/>
          <w:lang w:eastAsia="en-CA"/>
        </w:rPr>
        <w:t>r</w:t>
      </w:r>
      <w:r w:rsidRPr="00E8358C">
        <w:rPr>
          <w:rFonts w:eastAsia="Calibri"/>
          <w:lang w:eastAsia="en-CA"/>
        </w:rPr>
        <w:t xml:space="preserve">cheur, notre défi est de bien </w:t>
      </w:r>
      <w:r w:rsidRPr="00E8358C">
        <w:rPr>
          <w:rFonts w:eastAsia="Calibri"/>
          <w:iCs/>
          <w:lang w:eastAsia="en-CA"/>
        </w:rPr>
        <w:t>lire, de comprendre,</w:t>
      </w:r>
      <w:r w:rsidRPr="00E8358C">
        <w:rPr>
          <w:rFonts w:eastAsia="Calibri"/>
          <w:lang w:eastAsia="en-CA"/>
        </w:rPr>
        <w:t xml:space="preserve"> d</w:t>
      </w:r>
      <w:r w:rsidRPr="00E8358C">
        <w:rPr>
          <w:rFonts w:eastAsia="Calibri"/>
          <w:iCs/>
          <w:lang w:eastAsia="en-CA"/>
        </w:rPr>
        <w:t>’entendre</w:t>
      </w:r>
      <w:r w:rsidRPr="00E8358C">
        <w:rPr>
          <w:rFonts w:eastAsia="Calibri"/>
          <w:i/>
          <w:iCs/>
          <w:lang w:eastAsia="en-CA"/>
        </w:rPr>
        <w:t xml:space="preserve">, </w:t>
      </w:r>
      <w:r w:rsidRPr="00E8358C">
        <w:rPr>
          <w:rFonts w:eastAsia="Calibri"/>
          <w:iCs/>
          <w:lang w:eastAsia="en-CA"/>
        </w:rPr>
        <w:t>d’interpréter et d’analyser</w:t>
      </w:r>
      <w:r w:rsidRPr="00E8358C">
        <w:rPr>
          <w:rFonts w:eastAsia="Calibri"/>
          <w:lang w:eastAsia="en-CA"/>
        </w:rPr>
        <w:t xml:space="preserve"> pour trouver des réponses à nos questions. Ainsi les chapitres composant cette thèse</w:t>
      </w:r>
      <w:r w:rsidRPr="00E8358C">
        <w:t xml:space="preserve"> se complètent pour résoudre chacun une partie du problème d’ensemble.</w:t>
      </w:r>
    </w:p>
    <w:p w:rsidR="004C50DC" w:rsidRPr="00E8358C" w:rsidRDefault="004C50DC" w:rsidP="004C50DC">
      <w:pPr>
        <w:spacing w:before="120" w:after="120"/>
        <w:jc w:val="both"/>
        <w:rPr>
          <w:b/>
        </w:rPr>
      </w:pPr>
      <w:r w:rsidRPr="00E8358C">
        <w:t>Bien qu’elle soit vivante, la mémoire de l’esclavage telle qu’elle a été construite par les élites haïtiennes ne facilite pas sa mise en patr</w:t>
      </w:r>
      <w:r w:rsidRPr="00E8358C">
        <w:t>i</w:t>
      </w:r>
      <w:r w:rsidRPr="00E8358C">
        <w:t>moine. Les discours et les commémorations officiels noient les cons</w:t>
      </w:r>
      <w:r w:rsidRPr="00E8358C">
        <w:t>é</w:t>
      </w:r>
      <w:r w:rsidRPr="00E8358C">
        <w:t>quences et les expériences sociales de l’esclavage telles qu’elles sont perçues et vécues par les masses populaires. Cette situation rend enc</w:t>
      </w:r>
      <w:r w:rsidRPr="00E8358C">
        <w:t>o</w:t>
      </w:r>
      <w:r w:rsidRPr="00E8358C">
        <w:t>re plus complexes les rapports mémoriels et entraîne l’amnésie nati</w:t>
      </w:r>
      <w:r w:rsidRPr="00E8358C">
        <w:t>o</w:t>
      </w:r>
      <w:r w:rsidRPr="00E8358C">
        <w:t>nale d’un héritage historique et culturel évoqué comme fondateur de la nation haïtienne. Notre premier chapitre intitulé « Problématique des mémoires de l’esclavage en Haïti : théorie et méthodologie » o</w:t>
      </w:r>
      <w:r w:rsidRPr="00E8358C">
        <w:t>u</w:t>
      </w:r>
      <w:r w:rsidRPr="00E8358C">
        <w:t>vre la voie à la présentation de la problématique d’ensemble de la th</w:t>
      </w:r>
      <w:r w:rsidRPr="00E8358C">
        <w:t>è</w:t>
      </w:r>
      <w:r w:rsidRPr="00E8358C">
        <w:t>se et aux implications méthodologiques au regard de la vision ethn</w:t>
      </w:r>
      <w:r w:rsidRPr="00E8358C">
        <w:t>o</w:t>
      </w:r>
      <w:r w:rsidRPr="00E8358C">
        <w:t xml:space="preserve">logique et de l’approche patrimoniale retenue. Il expose les réflexions théoriques et la dimension conceptuelle de la patrimonialisation des lieux de mémoire. Il présente aussi un bilan critique des recherches déjà publiées, consacrées à la thématique de la « mémoire» pour mieux situer la contribution de notre étude sur les mémoires de l’esclavage. </w:t>
      </w:r>
    </w:p>
    <w:p w:rsidR="004C50DC" w:rsidRPr="00E8358C" w:rsidRDefault="004C50DC" w:rsidP="004C50DC">
      <w:pPr>
        <w:spacing w:before="120" w:after="120"/>
        <w:jc w:val="both"/>
        <w:rPr>
          <w:b/>
        </w:rPr>
      </w:pPr>
      <w:r w:rsidRPr="00E8358C">
        <w:t>Pour comprendre les enjeux de la problématique mémorielle de l’esclavage en Haïti, nous les avons analysés dans l’univers des études sur la mémoire et sur l’histoire de l’esclavage transatlantique marqué aussi par le silence, l’amnésie et la multiplication des commémor</w:t>
      </w:r>
      <w:r w:rsidRPr="00E8358C">
        <w:t>a</w:t>
      </w:r>
      <w:r w:rsidRPr="00E8358C">
        <w:t>tions. Il faut examiner également les efforts de revendication, de</w:t>
      </w:r>
      <w:r>
        <w:t xml:space="preserve"> [7]</w:t>
      </w:r>
      <w:r w:rsidRPr="00E8358C">
        <w:t xml:space="preserve"> reconnaissance et de pardon accompagnant l’émergence des études sur l’esclavage et ses mémoires qui imposent aujourd’hui des modal</w:t>
      </w:r>
      <w:r w:rsidRPr="00E8358C">
        <w:t>i</w:t>
      </w:r>
      <w:r w:rsidRPr="00E8358C">
        <w:t xml:space="preserve">tés de transmission et de patrimonialisation à travers le monde. Dans le deuxième chapitre intitulé « Esclavage : entre histoire et mémoire », nous faisons état de l’organisation et du développement du système esclavagiste dans le contexte mondial et colonial européen. Il présente aussi des initiatives de patrimonialisation dans les pays impliqués dans l’esclavage transatlantique. </w:t>
      </w:r>
    </w:p>
    <w:p w:rsidR="004C50DC" w:rsidRPr="00E8358C" w:rsidRDefault="004C50DC" w:rsidP="004C50DC">
      <w:pPr>
        <w:spacing w:before="120" w:after="120"/>
        <w:jc w:val="both"/>
      </w:pPr>
      <w:r w:rsidRPr="00E8358C">
        <w:t>Les discours relatifs à l’histoire de l’esclave et à ses mémoires sont souvent instrumentalisés, soit pour présenter un imaginaire héroïque, soit pour conserver une posture victimaire de descendants d’esclaves. L’histoire, qui a toujours guidé dans ses premiers moments la con</w:t>
      </w:r>
      <w:r w:rsidRPr="00E8358C">
        <w:t>s</w:t>
      </w:r>
      <w:r w:rsidRPr="00E8358C">
        <w:t>truction d’un État, est quelque peu moins influencée que la mémoire par les élites politiques et intellectuelles. Haïti ne fait pas exception à cette règle. Le troisième chapitre intitulé « Mémoires de l’esclavage en Haïti : construction politico-historique, place dans l’Instruction publique et transmission » met en relief les premières actions et la genèse des entreprises mémorielles de l’esclavage en Ha</w:t>
      </w:r>
      <w:r w:rsidRPr="00E8358C">
        <w:t>ï</w:t>
      </w:r>
      <w:r w:rsidRPr="00E8358C">
        <w:t>ti. Il présente une analyse critique des politiques culturelles haïtiennes qui touchent le patrimoine. Il fait ressortir aussi la place des mémoires de l’esclavage dans l’enseignement de l’histoire et l’identifie comme faisant partie des facteurs explicatifs de l’amnésie du passé colonial dans la société haïtienne. Ce chapitre aborde également l’influence et l’apport des intellectuels, notamment des écoles historiques haïtie</w:t>
      </w:r>
      <w:r w:rsidRPr="00E8358C">
        <w:t>n</w:t>
      </w:r>
      <w:r w:rsidRPr="00E8358C">
        <w:t>nes, dans la fondation des figures représentatives d’un « nationalisme héroïque »</w:t>
      </w:r>
      <w:r>
        <w:t> </w:t>
      </w:r>
      <w:r w:rsidRPr="00E8358C">
        <w:rPr>
          <w:rStyle w:val="Appelnotedebasdep"/>
        </w:rPr>
        <w:footnoteReference w:id="15"/>
      </w:r>
      <w:r w:rsidRPr="00E8358C">
        <w:t xml:space="preserve"> comme choix mémoriels officiels relativement à l’esclavage. Une présentation analytique du travail de mémoire et de la transmission des représentations de l’esclavage en Haïti complète le chapitre.  </w:t>
      </w:r>
    </w:p>
    <w:p w:rsidR="004C50DC" w:rsidRPr="00E8358C" w:rsidRDefault="004C50DC" w:rsidP="004C50DC">
      <w:pPr>
        <w:spacing w:before="120" w:after="120"/>
        <w:jc w:val="both"/>
      </w:pPr>
      <w:r w:rsidRPr="00E8358C">
        <w:t xml:space="preserve">En Haïti, les élites dirigeantes exercent leur emprise sur la question mémorielle de l’esclavage. Cette mémoire souvent instrumentalisée et contrôlée travaille les rapports sociaux et modèle les perceptions des lieux matériels.  Ainsi, les « Usages sociaux des mémoires de l’esclavage en Haïti » se sont imposés comme thème du quatrième chapitre. Ils varient selon les catégories sociales, et leur analyse nous permet de mieux élucider leur </w:t>
      </w:r>
      <w:r>
        <w:t xml:space="preserve">[8] </w:t>
      </w:r>
      <w:r w:rsidRPr="00E8358C">
        <w:t>place dans l’espace public. Ce ch</w:t>
      </w:r>
      <w:r w:rsidRPr="00E8358C">
        <w:t>a</w:t>
      </w:r>
      <w:r w:rsidRPr="00E8358C">
        <w:t>pitre débute par une présentation analytique des mémoires de l’esclavage dans la littérature haïtienne à travers des textes choisis. Ensuite, une étude de la mise en œuvre sociopolitique de ces mémo</w:t>
      </w:r>
      <w:r w:rsidRPr="00E8358C">
        <w:t>i</w:t>
      </w:r>
      <w:r w:rsidRPr="00E8358C">
        <w:t xml:space="preserve">res et de leur exposition dans l’espace public haïtien est réalisée. Le débat porte également sur la question de couleur comme conséquence de l’esclavage et sur la gestion des pouvoirs publics en Haïti. </w:t>
      </w:r>
    </w:p>
    <w:p w:rsidR="004C50DC" w:rsidRPr="00E8358C" w:rsidRDefault="004C50DC" w:rsidP="004C50DC">
      <w:pPr>
        <w:spacing w:before="120" w:after="120"/>
        <w:jc w:val="both"/>
      </w:pPr>
      <w:r w:rsidRPr="00E8358C">
        <w:t>La perception des lieux-cadres des mémoires de l’esclavage dans l’espace public haïtien apparaît comme un outil indispensable à la compréhension de leurs usages sociaux. Ces lieux sont au cœur de la construction mémorielle haïtienne et servent d’ingrédients aux prat</w:t>
      </w:r>
      <w:r w:rsidRPr="00E8358C">
        <w:t>i</w:t>
      </w:r>
      <w:r w:rsidRPr="00E8358C">
        <w:t>ques culturelles qui en découlent. Dans le cinquième chapitre intitulé « Perception des mémoires de l’esclavage dans les lieux matériels : habitations coloniales et fortifications », nous cherchons à déterminer les mémoires que supportent ces lieux et leur place dans les entrepr</w:t>
      </w:r>
      <w:r w:rsidRPr="00E8358C">
        <w:t>i</w:t>
      </w:r>
      <w:r w:rsidRPr="00E8358C">
        <w:t>ses mémorielles. Les habitations et les fortifications sont étudiées comme des institutions à la fois coloniales et nationales porteuses de mémoires qui se conjuguent dans la construction de la nation haïtie</w:t>
      </w:r>
      <w:r w:rsidRPr="00E8358C">
        <w:t>n</w:t>
      </w:r>
      <w:r w:rsidRPr="00E8358C">
        <w:t xml:space="preserve">ne. Elles ont marqué leur temps et ont continué à expliquer le passé et le présent haïtien. </w:t>
      </w:r>
    </w:p>
    <w:p w:rsidR="004C50DC" w:rsidRPr="00E8358C" w:rsidRDefault="004C50DC" w:rsidP="004C50DC">
      <w:pPr>
        <w:spacing w:before="120" w:after="120"/>
        <w:jc w:val="both"/>
      </w:pPr>
      <w:r w:rsidRPr="00E8358C">
        <w:t>Aujourd’hui, les formes de ritualisation des pratiques culturelles sont perçues comme des éléments fonctionnels des sociétés. Dans le cas des mémoires de l’esclavage en Haïti, les  pratiques qui en déco</w:t>
      </w:r>
      <w:r w:rsidRPr="00E8358C">
        <w:t>u</w:t>
      </w:r>
      <w:r w:rsidRPr="00E8358C">
        <w:t>lent montrent à quel point elles sont vivantes, comment les individus les vivent et combien elles déterminent leur quotidien. L’opérationnalisation de ces pratiques exprime la vivacité et la légit</w:t>
      </w:r>
      <w:r w:rsidRPr="00E8358C">
        <w:t>i</w:t>
      </w:r>
      <w:r w:rsidRPr="00E8358C">
        <w:t>mité perçues dans le culte du vodou, les danses, les musiques, les pr</w:t>
      </w:r>
      <w:r w:rsidRPr="00E8358C">
        <w:t>a</w:t>
      </w:r>
      <w:r w:rsidRPr="00E8358C">
        <w:t>tiques alimentaires, etc. Leur valorisation pourrait entraîner aussi le développement d’un tourisme culturel. Il est impératif de les étudier d’abord pour pouvoir mieux établir la typologie des mémoires, ident</w:t>
      </w:r>
      <w:r w:rsidRPr="00E8358C">
        <w:t>i</w:t>
      </w:r>
      <w:r w:rsidRPr="00E8358C">
        <w:t>fier les polémiques et faire ressortir les enjeux par la suite. En effet, le sixième chapitre intitulé « Pratiques et formes d’expressions liées aux mémoires de l’esclavage : éléments d’une identité »  est  consacré à l’identification de pratiques culturelles qui peuvent être retenues comme des résultantes du passé colonial esclavagiste. Leur particip</w:t>
      </w:r>
      <w:r w:rsidRPr="00E8358C">
        <w:t>a</w:t>
      </w:r>
      <w:r w:rsidRPr="00E8358C">
        <w:t>tion à la construction identitaire haïtienne s’inscrit dans un compromis entre la fierté et la gêne. Le vodou, avec ses pratiques, y est étudié à côté du catholicisme, comme des patrimoines religieux de la colonis</w:t>
      </w:r>
      <w:r w:rsidRPr="00E8358C">
        <w:t>a</w:t>
      </w:r>
      <w:r w:rsidRPr="00E8358C">
        <w:t>tion esclavagiste. Certaines pratiques alimentaires ont été également traitées comme des savoir-faire</w:t>
      </w:r>
      <w:r>
        <w:t xml:space="preserve"> [9]</w:t>
      </w:r>
      <w:r w:rsidRPr="00E8358C">
        <w:t xml:space="preserve"> issus de la résistance à l’esclavage et de la lutte perpétuelle pour la survie en Haïti. Enfin, une analyse des mémoires de l’esclavage dans les événements commémoratifs et la valorisation de quelques lieux liés à l’esclavage est effectuée en vue de présenter de manière critique les actions mémorielles en cours. </w:t>
      </w:r>
      <w:bookmarkStart w:id="11" w:name="_Toc423347259"/>
      <w:bookmarkStart w:id="12" w:name="_Toc423348192"/>
    </w:p>
    <w:p w:rsidR="004C50DC" w:rsidRPr="00E8358C" w:rsidRDefault="004C50DC" w:rsidP="004C50DC">
      <w:pPr>
        <w:spacing w:before="120" w:after="120"/>
        <w:jc w:val="both"/>
      </w:pPr>
      <w:r w:rsidRPr="00E8358C">
        <w:t>La situation patrimoniale actuelle des lieux matériels, des usages sociaux et des pratiques culturelles en Haïti ne permet pas de restituer collectivement  les mémoires de l’esclavage dans une approche tra</w:t>
      </w:r>
      <w:r w:rsidRPr="00E8358C">
        <w:t>n</w:t>
      </w:r>
      <w:r w:rsidRPr="00E8358C">
        <w:t>satlantique et nationale. Elle ne permet pas non plus de concilier les réalités sociales et les marqueurs identitaires du présent avec la mise en mémoire du passé colonial. Les enjeux sont considérables. Dans le septième chapitre intitulé« Interprétations et enjeux pour comprendre la patrimonialisation des mémoires de l’esclavage en Haïti», une confrontation des sources est effectuée pour dégager une vision plus complète de la mémoire collective haïtienne de l’esclavage. Les te</w:t>
      </w:r>
      <w:r w:rsidRPr="00E8358C">
        <w:t>r</w:t>
      </w:r>
      <w:r w:rsidRPr="00E8358C">
        <w:t xml:space="preserve">mes récurrents identifiés sont utilisés pour dégager des variables en vue de construire une typologie de la mémoire de l’esclavage, pour présenter les polémiques et pour dévoiler les enjeux que peut susciter leur patrimonialisation. Ce faisant, nous avons réussi à les </w:t>
      </w:r>
      <w:r w:rsidRPr="00E8358C">
        <w:rPr>
          <w:lang w:eastAsia="ja-JP"/>
        </w:rPr>
        <w:t xml:space="preserve">interpréter pour </w:t>
      </w:r>
      <w:r w:rsidRPr="00E8358C">
        <w:t>faire ressortir les rapports dialogiques qu’ils développent.</w:t>
      </w:r>
      <w:bookmarkEnd w:id="11"/>
      <w:bookmarkEnd w:id="12"/>
    </w:p>
    <w:p w:rsidR="004C50DC" w:rsidRPr="00E8358C" w:rsidRDefault="004C50DC" w:rsidP="004C50DC">
      <w:pPr>
        <w:spacing w:before="120" w:after="120"/>
        <w:jc w:val="both"/>
      </w:pPr>
      <w:r w:rsidRPr="00E8358C">
        <w:t>À un moment où les débats sont très animés sur le développement de la connaissance du passé colonial et sur le moyen d’en tirer des e</w:t>
      </w:r>
      <w:r w:rsidRPr="00E8358C">
        <w:t>n</w:t>
      </w:r>
      <w:r w:rsidRPr="00E8358C">
        <w:t>seignements pour l’avenir, il nous faut revisiter les réalisations en vue de les intégrer à une démarche  internationale de valorisation des lu</w:t>
      </w:r>
      <w:r w:rsidRPr="00E8358C">
        <w:t>t</w:t>
      </w:r>
      <w:r w:rsidRPr="00E8358C">
        <w:t>tes contre l’esclavage et ses conséquences. En effet, la patrimonialis</w:t>
      </w:r>
      <w:r w:rsidRPr="00E8358C">
        <w:t>a</w:t>
      </w:r>
      <w:r w:rsidRPr="00E8358C">
        <w:t>tion des mémoires de l’esclavage implique aujourd’hui les efforts conjugués des acteurs nationaux et internationaux, l’intervention des expériences des communautés locales, l’interprétation des sources orales, la considération des expositions d’objets tangibles dans l’espace public et les pratiques culturelles. Dans cette veine, le hu</w:t>
      </w:r>
      <w:r w:rsidRPr="00E8358C">
        <w:t>i</w:t>
      </w:r>
      <w:r w:rsidRPr="00E8358C">
        <w:t>tième chapitre intitulé « Définition universelle d’une patrimonialis</w:t>
      </w:r>
      <w:r w:rsidRPr="00E8358C">
        <w:t>a</w:t>
      </w:r>
      <w:r w:rsidRPr="00E8358C">
        <w:t>tion des mémoires de l’esclavage en Haïti » est consacré à une analyse critique des projets de patrimonialisation comme la « Route 2004 », et la « Route de l’esclave », de leur application en Haïti et des enjeux qui les accompagnent. Les travaux réalisés par le comité national haïtien de la</w:t>
      </w:r>
      <w:r>
        <w:t xml:space="preserve"> </w:t>
      </w:r>
      <w:r w:rsidRPr="00E8358C">
        <w:t>«</w:t>
      </w:r>
      <w:r w:rsidRPr="00E8358C">
        <w:rPr>
          <w:i/>
        </w:rPr>
        <w:t> </w:t>
      </w:r>
      <w:r w:rsidRPr="00E8358C">
        <w:t>Route de l’esclave » et son application ont été examinés.</w:t>
      </w:r>
      <w:r>
        <w:t xml:space="preserve"> </w:t>
      </w:r>
      <w:r w:rsidRPr="00E8358C">
        <w:t>Ce chapitre se propose aussi</w:t>
      </w:r>
      <w:r>
        <w:t xml:space="preserve"> [10]</w:t>
      </w:r>
      <w:r w:rsidRPr="00E8358C">
        <w:t xml:space="preserve"> de dégager des pistes pour une patrim</w:t>
      </w:r>
      <w:r w:rsidRPr="00E8358C">
        <w:t>o</w:t>
      </w:r>
      <w:r w:rsidRPr="00E8358C">
        <w:t>nialisation des mémoires de l’esclavage que peuvent soutenir les ve</w:t>
      </w:r>
      <w:r w:rsidRPr="00E8358C">
        <w:t>s</w:t>
      </w:r>
      <w:r w:rsidRPr="00E8358C">
        <w:t>tiges des habitations coloniales et des fortifications dans une approche qui intègre la participation de tous les « acteurs »</w:t>
      </w:r>
      <w:r>
        <w:t> </w:t>
      </w:r>
      <w:r w:rsidRPr="00E8358C">
        <w:rPr>
          <w:rStyle w:val="Appelnotedebasdep"/>
        </w:rPr>
        <w:footnoteReference w:id="16"/>
      </w:r>
      <w:r w:rsidRPr="00E8358C">
        <w:t>. Car il faut utiliser le critère de consultation démocratique et privilégier celui de l’éducation</w:t>
      </w:r>
      <w:r>
        <w:t> </w:t>
      </w:r>
      <w:r w:rsidRPr="00E8358C">
        <w:rPr>
          <w:rStyle w:val="Appelnotedebasdep"/>
        </w:rPr>
        <w:footnoteReference w:id="17"/>
      </w:r>
      <w:r w:rsidRPr="00E8358C">
        <w:t xml:space="preserve">. Il soutient qu’Haïti est située au cœur des mémoires de l’esclavage pour une reconquête de l’humanité par la culture et par le patrimoine. </w:t>
      </w:r>
    </w:p>
    <w:p w:rsidR="004C50DC" w:rsidRPr="00E8358C" w:rsidRDefault="004C50DC" w:rsidP="004C50DC">
      <w:pPr>
        <w:spacing w:before="120" w:after="120"/>
        <w:jc w:val="both"/>
      </w:pPr>
      <w:r w:rsidRPr="00E8358C">
        <w:t>La patrimonialisation des mémoires est un moyen de reconnaissa</w:t>
      </w:r>
      <w:r w:rsidRPr="00E8358C">
        <w:t>n</w:t>
      </w:r>
      <w:r w:rsidRPr="00E8358C">
        <w:t>ce de l’importance d’une transmission de la valeur mémorielle de lutte contre l’esclavage à partir d’Haïti. Ainsi que l’a souligné l’anthropologue Ira Lowenthal, « plus que la deuxième plus ancienne république du Nouveau Monde, plus même que la première républ</w:t>
      </w:r>
      <w:r w:rsidRPr="00E8358C">
        <w:t>i</w:t>
      </w:r>
      <w:r w:rsidRPr="00E8358C">
        <w:t>que noire du monde moderne, Haïti fut la première nation libre d’hommes libres à apparaître dans la constellation naissante des col</w:t>
      </w:r>
      <w:r w:rsidRPr="00E8358C">
        <w:t>o</w:t>
      </w:r>
      <w:r w:rsidRPr="00E8358C">
        <w:t>nies européennes de l’Occident, tout en leur résistant »</w:t>
      </w:r>
      <w:r>
        <w:t> </w:t>
      </w:r>
      <w:r w:rsidRPr="00E8358C">
        <w:rPr>
          <w:rStyle w:val="Appelnotedebasdep"/>
        </w:rPr>
        <w:footnoteReference w:id="18"/>
      </w:r>
      <w:r w:rsidRPr="00E8358C">
        <w:t>. Toute patr</w:t>
      </w:r>
      <w:r w:rsidRPr="00E8358C">
        <w:t>i</w:t>
      </w:r>
      <w:r w:rsidRPr="00E8358C">
        <w:t>monialisation et toute mise en valeur des mémoires de l’esclavage passant par Haïti pourraient avoir des répercussions positives sur la construction d’un monde de paix et un</w:t>
      </w:r>
      <w:r w:rsidRPr="00E8358C">
        <w:rPr>
          <w:bCs/>
        </w:rPr>
        <w:t xml:space="preserve"> « mieux vivre ensemble » entre les peuples impliqués dans l’esclavage.</w:t>
      </w:r>
    </w:p>
    <w:p w:rsidR="004C50DC" w:rsidRDefault="004C50DC" w:rsidP="004C50DC">
      <w:pPr>
        <w:pStyle w:val="Normal0"/>
      </w:pPr>
    </w:p>
    <w:p w:rsidR="004C50DC" w:rsidRDefault="004C50DC" w:rsidP="004C50DC">
      <w:pPr>
        <w:pStyle w:val="p"/>
      </w:pPr>
      <w:r>
        <w:br w:type="page"/>
        <w:t>[11]</w:t>
      </w:r>
    </w:p>
    <w:p w:rsidR="004C50DC" w:rsidRDefault="004C50DC" w:rsidP="004C50DC">
      <w:pPr>
        <w:jc w:val="both"/>
      </w:pPr>
    </w:p>
    <w:p w:rsidR="004C50DC" w:rsidRDefault="004C50DC">
      <w:pPr>
        <w:jc w:val="both"/>
      </w:pPr>
    </w:p>
    <w:p w:rsidR="004C50DC" w:rsidRPr="00EF76C4" w:rsidRDefault="004C50DC" w:rsidP="004C50DC">
      <w:pPr>
        <w:spacing w:after="120"/>
        <w:ind w:firstLine="0"/>
        <w:jc w:val="center"/>
        <w:rPr>
          <w:b/>
          <w:sz w:val="24"/>
        </w:rPr>
      </w:pPr>
      <w:bookmarkStart w:id="13" w:name="Memoire_chap_I"/>
      <w:r w:rsidRPr="00EF76C4">
        <w:rPr>
          <w:b/>
          <w:sz w:val="24"/>
        </w:rPr>
        <w:t>Mémoire de l’esclavage en Haïti.</w:t>
      </w:r>
    </w:p>
    <w:p w:rsidR="004C50DC" w:rsidRDefault="004C50DC" w:rsidP="00620264">
      <w:pPr>
        <w:pStyle w:val="Titreniveau1"/>
        <w:rPr>
          <w:szCs w:val="36"/>
        </w:rPr>
      </w:pPr>
      <w:r>
        <w:rPr>
          <w:szCs w:val="36"/>
        </w:rPr>
        <w:t>Chapitre I</w:t>
      </w:r>
    </w:p>
    <w:p w:rsidR="004C50DC" w:rsidRPr="001F21A7" w:rsidRDefault="004C50DC" w:rsidP="004C50DC">
      <w:pPr>
        <w:pStyle w:val="Titreniveau2"/>
      </w:pPr>
      <w:r w:rsidRPr="00EF76C4">
        <w:t>Problématique des mémoires</w:t>
      </w:r>
      <w:r>
        <w:br/>
      </w:r>
      <w:r w:rsidRPr="00EF76C4">
        <w:t>de l’esclavage en Haïti.</w:t>
      </w:r>
      <w:r>
        <w:br/>
      </w:r>
      <w:r w:rsidRPr="00EF76C4">
        <w:t>Théorie et méth</w:t>
      </w:r>
      <w:r w:rsidRPr="00EF76C4">
        <w:t>o</w:t>
      </w:r>
      <w:r w:rsidRPr="00EF76C4">
        <w:t xml:space="preserve">dologie. </w:t>
      </w:r>
    </w:p>
    <w:bookmarkEnd w:id="13"/>
    <w:p w:rsidR="004C50DC" w:rsidRDefault="004C50DC" w:rsidP="004C50DC">
      <w:pPr>
        <w:jc w:val="both"/>
        <w:rPr>
          <w:szCs w:val="36"/>
        </w:rPr>
      </w:pPr>
    </w:p>
    <w:p w:rsidR="004C50DC" w:rsidRDefault="004C50DC">
      <w:pPr>
        <w:jc w:val="both"/>
      </w:pPr>
    </w:p>
    <w:p w:rsidR="004C50DC" w:rsidRDefault="004C50DC">
      <w:pPr>
        <w:jc w:val="both"/>
      </w:pPr>
    </w:p>
    <w:p w:rsidR="004C50DC" w:rsidRDefault="004C50DC">
      <w:pPr>
        <w:jc w:val="both"/>
      </w:pPr>
    </w:p>
    <w:p w:rsidR="004C50DC" w:rsidRDefault="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Aujourd’hui, étudier la mémoire de l’esclavage dans un pays a</w:t>
      </w:r>
      <w:r w:rsidRPr="00E8358C">
        <w:t>n</w:t>
      </w:r>
      <w:r w:rsidRPr="00E8358C">
        <w:t xml:space="preserve">ciennement colonisé invite le chercheur à identifier au départ le contexte et les intérêts d’une telle démarche, car chaque pays a eu sa propre expérience coloniale. Il doit aussi se fixer des objectifs clairs et pouvoir répondre aux questions : où se situe le problème ? Pourquoi est-il nécessaire de mener une telle recherche ? Enfin, il doit trouver de bonnes méthodes pour exposer scientifiquement ses propos. Les points qui suivent dans ce chapitre apportent les réponses à l’ensemble de ces interrogations. </w:t>
      </w:r>
    </w:p>
    <w:p w:rsidR="004C50DC" w:rsidRPr="00E8358C" w:rsidRDefault="004C50DC" w:rsidP="004C50DC">
      <w:pPr>
        <w:spacing w:before="120" w:after="120"/>
        <w:jc w:val="both"/>
      </w:pPr>
    </w:p>
    <w:p w:rsidR="004C50DC" w:rsidRPr="00E8358C" w:rsidRDefault="004C50DC" w:rsidP="004C50DC">
      <w:pPr>
        <w:pStyle w:val="planche"/>
      </w:pPr>
      <w:bookmarkStart w:id="14" w:name="_Toc406486074"/>
      <w:bookmarkStart w:id="15" w:name="_Toc406489628"/>
      <w:bookmarkStart w:id="16" w:name="_Toc423347262"/>
      <w:bookmarkStart w:id="17" w:name="_Toc442280440"/>
      <w:bookmarkStart w:id="18" w:name="Memoire_chap_I_1"/>
      <w:r w:rsidRPr="00E8358C">
        <w:t>1.1</w:t>
      </w:r>
      <w:r>
        <w:t>.</w:t>
      </w:r>
      <w:r w:rsidRPr="00E8358C">
        <w:t xml:space="preserve"> Problématique d’ensemble de la recherche</w:t>
      </w:r>
      <w:bookmarkEnd w:id="14"/>
      <w:bookmarkEnd w:id="15"/>
      <w:bookmarkEnd w:id="16"/>
      <w:bookmarkEnd w:id="17"/>
    </w:p>
    <w:bookmarkEnd w:id="18"/>
    <w:p w:rsidR="004C50DC" w:rsidRPr="00E8358C" w:rsidRDefault="004C50DC" w:rsidP="004C50DC">
      <w:pPr>
        <w:spacing w:before="120" w:after="120"/>
        <w:jc w:val="both"/>
      </w:pPr>
    </w:p>
    <w:p w:rsidR="004C50DC" w:rsidRPr="00E8358C" w:rsidRDefault="004C50DC" w:rsidP="004C50DC">
      <w:pPr>
        <w:spacing w:before="120" w:after="120"/>
        <w:jc w:val="both"/>
      </w:pPr>
      <w:r w:rsidRPr="00E8358C">
        <w:t>Aujourd’hui, le trop long silence sur la mémoire de l’esclavage a eu des effets pervers sur la société haïtienne. Il en ressort qu’un tra</w:t>
      </w:r>
      <w:r w:rsidRPr="00E8358C">
        <w:t>u</w:t>
      </w:r>
      <w:r w:rsidRPr="00E8358C">
        <w:t>matisme collectif consécutif au colonialisme et à l’esclavagisme r</w:t>
      </w:r>
      <w:r w:rsidRPr="00E8358C">
        <w:t>e</w:t>
      </w:r>
      <w:r w:rsidRPr="00E8358C">
        <w:t>présente un fardeau pour le peuple qui n’arrive pas à se libérer des douleurs subies. Il n’assume pas pleinement son passé esclavagiste, comme s’il était condamné à une dépossession historique et culturelle. Chaque catégorie sociale (pauvres, riches, élites) en Haïti veut se construire son propre imaginaire culturel sur le modèle occidental (e</w:t>
      </w:r>
      <w:r w:rsidRPr="00E8358C">
        <w:t>u</w:t>
      </w:r>
      <w:r w:rsidRPr="00E8358C">
        <w:t xml:space="preserve">ropéen et nord-américain).  </w:t>
      </w:r>
    </w:p>
    <w:p w:rsidR="004C50DC" w:rsidRPr="00E8358C" w:rsidRDefault="004C50DC" w:rsidP="004C50DC">
      <w:pPr>
        <w:spacing w:before="120" w:after="120"/>
        <w:jc w:val="both"/>
      </w:pPr>
      <w:r w:rsidRPr="00E8358C">
        <w:t>Au lendemain de l’Indépendance d’Haïti, les élites dirigeantes (m</w:t>
      </w:r>
      <w:r w:rsidRPr="00E8358C">
        <w:t>i</w:t>
      </w:r>
      <w:r w:rsidRPr="00E8358C">
        <w:t>litaires et intellectuelles) ayant la charge de la destinée de la nouvelle nation ont voulu évacuer la mémoire de l’esclavage des représent</w:t>
      </w:r>
      <w:r w:rsidRPr="00E8358C">
        <w:t>a</w:t>
      </w:r>
      <w:r w:rsidRPr="00E8358C">
        <w:t>tions du passé, notamment les historiens, pour que le peuple ne gra</w:t>
      </w:r>
      <w:r w:rsidRPr="00E8358C">
        <w:t>n</w:t>
      </w:r>
      <w:r w:rsidRPr="00E8358C">
        <w:t>disse pas dans un souvenir douloureux. Ces élites ont bâti leur respe</w:t>
      </w:r>
      <w:r w:rsidRPr="00E8358C">
        <w:t>c</w:t>
      </w:r>
      <w:r w:rsidRPr="00E8358C">
        <w:t>tabilité sur le fait qu’elles n’étaient pas, ou que leurs ascendants n’étaient plus, esclaves au moment où la République était née. Ce n’est pas faux, mais le problème est : qu’est-ce qu’elles sont ? La r</w:t>
      </w:r>
      <w:r w:rsidRPr="00E8358C">
        <w:t>é</w:t>
      </w:r>
      <w:r w:rsidRPr="00E8358C">
        <w:t xml:space="preserve">ponse ne peut se trouver que dans une association de contradictions sociales et politiques. </w:t>
      </w:r>
    </w:p>
    <w:p w:rsidR="004C50DC" w:rsidRPr="00E8358C" w:rsidRDefault="004C50DC" w:rsidP="004C50DC">
      <w:pPr>
        <w:spacing w:before="120" w:after="120"/>
        <w:jc w:val="both"/>
      </w:pPr>
      <w:r w:rsidRPr="00E8358C">
        <w:t>Plus tard, bien que « l’étude du folklore haïtien ait déterminé un véritable engouement pour</w:t>
      </w:r>
      <w:r>
        <w:t xml:space="preserve"> [12]</w:t>
      </w:r>
      <w:r w:rsidRPr="00E8358C">
        <w:t xml:space="preserve"> l’ethnographie traditionnelle »</w:t>
      </w:r>
      <w:r>
        <w:t> </w:t>
      </w:r>
      <w:r w:rsidRPr="00E8358C">
        <w:rPr>
          <w:rStyle w:val="Appelnotedebasdep"/>
        </w:rPr>
        <w:footnoteReference w:id="19"/>
      </w:r>
      <w:r>
        <w:t xml:space="preserve"> </w:t>
      </w:r>
      <w:r w:rsidRPr="00E8358C">
        <w:t>au cours de la première moitié du XX</w:t>
      </w:r>
      <w:r w:rsidRPr="00E8358C">
        <w:rPr>
          <w:vertAlign w:val="superscript"/>
        </w:rPr>
        <w:t xml:space="preserve">e </w:t>
      </w:r>
      <w:r w:rsidRPr="00E8358C">
        <w:t>siècle, les discours maintenus par les élites freinent au niveau populaire toute volonté ou toute forme d’appropriation de la mémoire de l’esclavage qui s’accompagne d’une reconnaissance, d’une revendication, voire d’une compensation pour les conséquences sociales de ce passé. Un tel mouvement paraît dé</w:t>
      </w:r>
      <w:r w:rsidRPr="00E8358C">
        <w:t>s</w:t>
      </w:r>
      <w:r w:rsidRPr="00E8358C">
        <w:t>tabilisant pour le système étatique haïtien largement construit et a</w:t>
      </w:r>
      <w:r w:rsidRPr="00E8358C">
        <w:t>c</w:t>
      </w:r>
      <w:r w:rsidRPr="00E8358C">
        <w:t>cessible dans les mémoires que peuvent supporter les objets témoins, les lieux (habitations coloniales, fortifications), les pratiques culture</w:t>
      </w:r>
      <w:r w:rsidRPr="00E8358C">
        <w:t>l</w:t>
      </w:r>
      <w:r w:rsidRPr="00E8358C">
        <w:t>les en lien avec le passé colonial esclavagiste. Car tout projet de leur mise en patrimoine risquerait de soulever des polémiques, eu égard aux habitants qui refusent ou s’interdisent souvent de se rappeler ce passé douloureux et aux élites dirigeantes qui craignent une remise en question de leur position actuelle de domination. Il est normal de ref</w:t>
      </w:r>
      <w:r w:rsidRPr="00E8358C">
        <w:t>u</w:t>
      </w:r>
      <w:r w:rsidRPr="00E8358C">
        <w:t xml:space="preserve">ser un passé négatif, et il va sans dire qu’on le néglige. </w:t>
      </w:r>
    </w:p>
    <w:p w:rsidR="004C50DC" w:rsidRDefault="004C50DC" w:rsidP="004C50DC">
      <w:pPr>
        <w:spacing w:before="120" w:after="120"/>
        <w:jc w:val="both"/>
      </w:pPr>
      <w:r w:rsidRPr="00E8358C">
        <w:t>Il faut se rappeler que les représentations de l’esclavage, comme les « sublimes va-nu-pieds »</w:t>
      </w:r>
      <w:r>
        <w:t> </w:t>
      </w:r>
      <w:r w:rsidRPr="00E8358C">
        <w:rPr>
          <w:rStyle w:val="Appelnotedebasdep"/>
        </w:rPr>
        <w:footnoteReference w:id="20"/>
      </w:r>
      <w:r w:rsidRPr="00E8358C">
        <w:t>, servaient à glorifier l’État de l’après-1804 et l’élite économique</w:t>
      </w:r>
      <w:r>
        <w:t> </w:t>
      </w:r>
      <w:r w:rsidRPr="00E8358C">
        <w:rPr>
          <w:rStyle w:val="Appelnotedebasdep"/>
        </w:rPr>
        <w:footnoteReference w:id="21"/>
      </w:r>
      <w:r w:rsidRPr="00E8358C">
        <w:t>. Cette élite créole, dans un élan de libér</w:t>
      </w:r>
      <w:r w:rsidRPr="00E8358C">
        <w:t>a</w:t>
      </w:r>
      <w:r w:rsidRPr="00E8358C">
        <w:t>tion et de création démocratique, a mené la révolution ; mais peu de temps après, elle a voulu conserver un système économique semblable à celui du colonialisme et de l’esclavage, à l’attachement à la terre. N’ayant construit aucun nouveau modèle, la volonté de reprendre le système colonial comme mode d’organisation sociale et politique par la nouvelle élite haïtienne peut être étudiée à première vue comme un simple mimétisme. Cependant, quand on analyse les actions des pr</w:t>
      </w:r>
      <w:r w:rsidRPr="00E8358C">
        <w:t>e</w:t>
      </w:r>
      <w:r w:rsidRPr="00E8358C">
        <w:t>miers dirigeants qui voulaient à tout prix tirer parti des balbutiements des institutions de gestion et de contrôle des finances publiques, et des conflits internes durant tout le XIX</w:t>
      </w:r>
      <w:r w:rsidRPr="00E8358C">
        <w:rPr>
          <w:vertAlign w:val="superscript"/>
        </w:rPr>
        <w:t>e</w:t>
      </w:r>
      <w:r w:rsidRPr="00E8358C">
        <w:t xml:space="preserve"> siècle pour accaparer les terres et pour dilapider les caisses de l’État, on peut dé</w:t>
      </w:r>
      <w:r>
        <w:t>noter un opportunisme certain.</w:t>
      </w:r>
    </w:p>
    <w:p w:rsidR="004C50DC" w:rsidRPr="00E8358C" w:rsidRDefault="004C50DC" w:rsidP="004C50DC">
      <w:pPr>
        <w:spacing w:before="120" w:after="120"/>
        <w:jc w:val="both"/>
      </w:pPr>
      <w:r>
        <w:t>[13]</w:t>
      </w:r>
    </w:p>
    <w:p w:rsidR="004C50DC" w:rsidRPr="00E8358C" w:rsidRDefault="004C50DC" w:rsidP="004C50DC">
      <w:pPr>
        <w:spacing w:before="120" w:after="120"/>
        <w:jc w:val="both"/>
        <w:rPr>
          <w:lang w:eastAsia="en-CA"/>
        </w:rPr>
      </w:pPr>
      <w:r w:rsidRPr="00E8358C">
        <w:t>Dans les premiers moments après la proclamation de l’Indépendance, les élites dirigeantes haïtiennes voulaient évidemment faire le deuil du passé colonial esclavagiste. Des témoins matériels de la société d’économie de plantation de Saint-Domingue furent laissés à l’abandon, s’ajoutant à ceux qui avaient déjà été détruits lors des multiples batailles pour l’Indépendance. Dès le début du XX</w:t>
      </w:r>
      <w:r w:rsidRPr="00E8358C">
        <w:rPr>
          <w:vertAlign w:val="superscript"/>
        </w:rPr>
        <w:t>e</w:t>
      </w:r>
      <w:r w:rsidRPr="00E8358C">
        <w:t xml:space="preserve"> siècle, les quelques structures qui restaient commençaient déjà à tomber en ruines. Plusieurs sites sont vandalisés. Des pratiques sociales et cult</w:t>
      </w:r>
      <w:r w:rsidRPr="00E8358C">
        <w:t>u</w:t>
      </w:r>
      <w:r w:rsidRPr="00E8358C">
        <w:t xml:space="preserve">relles liées au passé colonial sont ignorées. Le vodou constitue la base d’une « mémoire occulte ». Les politiques culturelles n’en tiennent pas compte, ou très peu. </w:t>
      </w:r>
      <w:r w:rsidRPr="00E8358C">
        <w:rPr>
          <w:lang w:eastAsia="en-CA"/>
        </w:rPr>
        <w:t>D’autres problèmes plus urgents sont à r</w:t>
      </w:r>
      <w:r w:rsidRPr="00E8358C">
        <w:rPr>
          <w:lang w:eastAsia="en-CA"/>
        </w:rPr>
        <w:t>é</w:t>
      </w:r>
      <w:r w:rsidRPr="00E8358C">
        <w:rPr>
          <w:lang w:eastAsia="en-CA"/>
        </w:rPr>
        <w:t xml:space="preserve">soudre. </w:t>
      </w:r>
    </w:p>
    <w:p w:rsidR="004C50DC" w:rsidRPr="00E8358C" w:rsidRDefault="004C50DC" w:rsidP="004C50DC">
      <w:pPr>
        <w:spacing w:before="120" w:after="120"/>
        <w:jc w:val="both"/>
      </w:pPr>
      <w:r w:rsidRPr="00E8358C">
        <w:rPr>
          <w:lang w:eastAsia="en-CA"/>
        </w:rPr>
        <w:t>Aujourd’hui encore, des Haïtiens pensent qu’au lieu de parler de la mémoire de l’esclavage, il vaudrait mieux trouver des réponses aux préoccupations quotidiennes de la population telles que la nourriture et l’eau potable. D’autres s’efforcent de ne pas se souvenir que leurs ancêtres étaient en esclavage. Il faut bannir l’esclavage et son souv</w:t>
      </w:r>
      <w:r w:rsidRPr="00E8358C">
        <w:rPr>
          <w:lang w:eastAsia="en-CA"/>
        </w:rPr>
        <w:t>e</w:t>
      </w:r>
      <w:r w:rsidRPr="00E8358C">
        <w:rPr>
          <w:lang w:eastAsia="en-CA"/>
        </w:rPr>
        <w:t>nir.Pourquoi un tel déni de mémoire ?</w:t>
      </w:r>
      <w:r w:rsidRPr="00E8358C">
        <w:rPr>
          <w:rFonts w:eastAsia="Calibri"/>
        </w:rPr>
        <w:t xml:space="preserve"> La mémoire n’est-elle pas i</w:t>
      </w:r>
      <w:r w:rsidRPr="00E8358C">
        <w:rPr>
          <w:rFonts w:eastAsia="Calibri"/>
        </w:rPr>
        <w:t>m</w:t>
      </w:r>
      <w:r w:rsidRPr="00E8358C">
        <w:rPr>
          <w:rFonts w:eastAsia="Calibri"/>
        </w:rPr>
        <w:t>portante dans les « luttes pour la citoyenneté »</w:t>
      </w:r>
      <w:r>
        <w:rPr>
          <w:rFonts w:eastAsia="Calibri"/>
        </w:rPr>
        <w:t> </w:t>
      </w:r>
      <w:r w:rsidRPr="00E8358C">
        <w:rPr>
          <w:rStyle w:val="Appelnotedebasdep"/>
          <w:rFonts w:eastAsia="Calibri"/>
        </w:rPr>
        <w:footnoteReference w:id="22"/>
      </w:r>
      <w:r w:rsidRPr="00E8358C">
        <w:rPr>
          <w:rFonts w:eastAsia="Calibri"/>
        </w:rPr>
        <w:t xml:space="preserve"> et pour le « vivre e</w:t>
      </w:r>
      <w:r w:rsidRPr="00E8358C">
        <w:rPr>
          <w:rFonts w:eastAsia="Calibri"/>
        </w:rPr>
        <w:t>n</w:t>
      </w:r>
      <w:r w:rsidRPr="00E8358C">
        <w:rPr>
          <w:rFonts w:eastAsia="Calibri"/>
        </w:rPr>
        <w:t>semble » dans la société haïtienne ?</w:t>
      </w:r>
    </w:p>
    <w:p w:rsidR="004C50DC" w:rsidRPr="00E8358C" w:rsidRDefault="004C50DC" w:rsidP="004C50DC">
      <w:pPr>
        <w:spacing w:before="120" w:after="120"/>
        <w:jc w:val="both"/>
      </w:pPr>
      <w:r w:rsidRPr="00E8358C">
        <w:rPr>
          <w:rFonts w:eastAsia="Calibri"/>
        </w:rPr>
        <w:t xml:space="preserve">Dans </w:t>
      </w:r>
      <w:r w:rsidRPr="00E8358C">
        <w:t>les manuels scolaires, les réflexions sur l’esclavage et ses mémoires sont d’inspiration très idéologique</w:t>
      </w:r>
      <w:r>
        <w:t> </w:t>
      </w:r>
      <w:r w:rsidRPr="00E8358C">
        <w:rPr>
          <w:rStyle w:val="Appelnotedebasdep"/>
        </w:rPr>
        <w:footnoteReference w:id="23"/>
      </w:r>
      <w:r w:rsidRPr="00E8358C">
        <w:t xml:space="preserve">. </w:t>
      </w:r>
      <w:r w:rsidRPr="00E8358C">
        <w:rPr>
          <w:rFonts w:eastAsia="Calibri"/>
        </w:rPr>
        <w:t>Les discours autorisés promeuvent une vision héroïque et prestigieuse de la mémoire de l’esclavage autour des hauts lieux de batailles et des fortifications (B</w:t>
      </w:r>
      <w:r w:rsidRPr="00E8358C">
        <w:rPr>
          <w:rFonts w:eastAsia="Calibri"/>
        </w:rPr>
        <w:t>a</w:t>
      </w:r>
      <w:r w:rsidRPr="00E8358C">
        <w:rPr>
          <w:rFonts w:eastAsia="Calibri"/>
        </w:rPr>
        <w:t xml:space="preserve">taille de Vertières, Crête-à-Pierrot, Citadelle Henri Christophe, etc.). </w:t>
      </w:r>
      <w:r w:rsidRPr="00E8358C">
        <w:t xml:space="preserve">La </w:t>
      </w:r>
      <w:r>
        <w:t xml:space="preserve">[14] </w:t>
      </w:r>
      <w:r w:rsidRPr="00E8358C">
        <w:t>place imposante accordée dans la mémoire officielle aux fig</w:t>
      </w:r>
      <w:r w:rsidRPr="00E8358C">
        <w:t>u</w:t>
      </w:r>
      <w:r w:rsidRPr="00E8358C">
        <w:t>res héroïques et au culte de la liberté impose un</w:t>
      </w:r>
      <w:r>
        <w:t xml:space="preserve"> </w:t>
      </w:r>
      <w:r w:rsidRPr="00E8358C">
        <w:t>« refoulement de l’esclavage » et de ses corollaires</w:t>
      </w:r>
      <w:r>
        <w:t> </w:t>
      </w:r>
      <w:r w:rsidRPr="00E8358C">
        <w:rPr>
          <w:rStyle w:val="Appelnotedebasdep"/>
        </w:rPr>
        <w:footnoteReference w:id="24"/>
      </w:r>
      <w:r>
        <w:t>.</w:t>
      </w:r>
    </w:p>
    <w:p w:rsidR="004C50DC" w:rsidRPr="00E8358C" w:rsidRDefault="004C50DC" w:rsidP="004C50DC">
      <w:pPr>
        <w:spacing w:before="120" w:after="120"/>
        <w:jc w:val="both"/>
      </w:pPr>
      <w:r w:rsidRPr="00E8358C">
        <w:t>D’une certaine manière, l’appropriation du passé colonial esclav</w:t>
      </w:r>
      <w:r w:rsidRPr="00E8358C">
        <w:t>a</w:t>
      </w:r>
      <w:r w:rsidRPr="00E8358C">
        <w:t>giste par l’État et les élites dirigeantes est faite pour expliquer la pa</w:t>
      </w:r>
      <w:r w:rsidRPr="00E8358C">
        <w:t>u</w:t>
      </w:r>
      <w:r w:rsidRPr="00E8358C">
        <w:t>vreté, la difficulté économique et rappeler l’importance politique d’Haïti par la geste révolutionnaire, par la création de la première R</w:t>
      </w:r>
      <w:r w:rsidRPr="00E8358C">
        <w:t>é</w:t>
      </w:r>
      <w:r w:rsidRPr="00E8358C">
        <w:t>publique noire</w:t>
      </w:r>
      <w:r>
        <w:t> </w:t>
      </w:r>
      <w:r w:rsidRPr="00E8358C">
        <w:rPr>
          <w:rStyle w:val="Appelnotedebasdep"/>
        </w:rPr>
        <w:footnoteReference w:id="25"/>
      </w:r>
      <w:r w:rsidRPr="00E8358C">
        <w:t>. Il est aussi évoqué dans les luttes hégémoniques des groupes rivaux (noirs et mulâtres, intellectuels, bourgeois) pour m</w:t>
      </w:r>
      <w:r w:rsidRPr="00E8358C">
        <w:t>o</w:t>
      </w:r>
      <w:r w:rsidRPr="00E8358C">
        <w:t xml:space="preserve">nopoliser les pouvoirs politiques et économiques. Cette constatation a toujours traduit </w:t>
      </w:r>
      <w:r w:rsidRPr="00E8358C">
        <w:rPr>
          <w:rFonts w:eastAsia="Calibri"/>
          <w:lang w:eastAsia="en-CA"/>
        </w:rPr>
        <w:t xml:space="preserve">la légitimation politique des chefs d’État en Haïti. </w:t>
      </w:r>
      <w:r w:rsidRPr="00E8358C">
        <w:t>Alors que pour beaucoup d’Haïtiens, surtout ceux des zones rurales et, de plus en plus aujourd’hui, des zones urbaines pauvres, c’est avant tout l’invisibilité des conséquences de l’esclavagisme comme exp</w:t>
      </w:r>
      <w:r w:rsidRPr="00E8358C">
        <w:t>é</w:t>
      </w:r>
      <w:r w:rsidRPr="00E8358C">
        <w:t xml:space="preserve">rience de pauvreté, d’exclusion de citoyenneté, d’exclusion politique </w:t>
      </w:r>
      <w:r w:rsidRPr="00E8358C">
        <w:rPr>
          <w:i/>
        </w:rPr>
        <w:t xml:space="preserve">de facto, </w:t>
      </w:r>
      <w:r w:rsidRPr="00E8358C">
        <w:t>de revendication des droits fondamentaux qui est préocc</w:t>
      </w:r>
      <w:r w:rsidRPr="00E8358C">
        <w:t>u</w:t>
      </w:r>
      <w:r w:rsidRPr="00E8358C">
        <w:t xml:space="preserve">pante. Cette situation met à nu la distorsion entre la mémoire élaborée sur le plan étatique et le travail de mémoire non élaboré réalisé par la population. </w:t>
      </w:r>
    </w:p>
    <w:p w:rsidR="004C50DC" w:rsidRPr="00E8358C" w:rsidRDefault="004C50DC" w:rsidP="004C50DC">
      <w:pPr>
        <w:spacing w:before="120" w:after="120"/>
        <w:jc w:val="both"/>
      </w:pPr>
      <w:r w:rsidRPr="00E8358C">
        <w:t>Le paysan haïtien se permet aujourd’hui d’oublier l’esclavage, ou refuse d’en parler, car « le véritable problème n’est pas tant l’esclavage, perçu comme une contrainte parmi d’autres dans le passé, mais le dur apprentissage de l’autonomie de survie »</w:t>
      </w:r>
      <w:r>
        <w:t> </w:t>
      </w:r>
      <w:r w:rsidRPr="00E8358C">
        <w:rPr>
          <w:rStyle w:val="Appelnotedebasdep"/>
        </w:rPr>
        <w:footnoteReference w:id="26"/>
      </w:r>
      <w:r w:rsidRPr="00E8358C">
        <w:t xml:space="preserve"> qui le contraint à faire l’expérience de l’esclavage. Peut-on dire que la mémoire de l’esclavage est frappée d’une cécité consciente ? Cette amnésie volo</w:t>
      </w:r>
      <w:r w:rsidRPr="00E8358C">
        <w:t>n</w:t>
      </w:r>
      <w:r w:rsidRPr="00E8358C">
        <w:t>taire n’est-elle pas le fruit de l’éducation reçue ou d’une stratégie p</w:t>
      </w:r>
      <w:r w:rsidRPr="00E8358C">
        <w:t>o</w:t>
      </w:r>
      <w:r w:rsidRPr="00E8358C">
        <w:t xml:space="preserve">pulaire de survie face aux attitudes des élites qui croient toujours que </w:t>
      </w:r>
      <w:r w:rsidRPr="00E8358C">
        <w:rPr>
          <w:iCs/>
        </w:rPr>
        <w:t>« contrôler le passé peut toujours aider à maîtriser le présent »</w:t>
      </w:r>
      <w:r>
        <w:rPr>
          <w:iCs/>
        </w:rPr>
        <w:t> </w:t>
      </w:r>
      <w:r w:rsidRPr="00E8358C">
        <w:rPr>
          <w:rStyle w:val="Appelnotedebasdep"/>
          <w:iCs/>
        </w:rPr>
        <w:footnoteReference w:id="27"/>
      </w:r>
      <w:r w:rsidRPr="00E8358C">
        <w:rPr>
          <w:iCs/>
        </w:rPr>
        <w:t> </w:t>
      </w:r>
      <w:r w:rsidRPr="00E8358C">
        <w:rPr>
          <w:bCs/>
        </w:rPr>
        <w:t xml:space="preserve">? </w:t>
      </w:r>
      <w:r>
        <w:rPr>
          <w:bCs/>
        </w:rPr>
        <w:t xml:space="preserve">[15] </w:t>
      </w:r>
      <w:r w:rsidRPr="00E8358C">
        <w:rPr>
          <w:bCs/>
        </w:rPr>
        <w:t xml:space="preserve">Alors que les leçons du </w:t>
      </w:r>
      <w:r w:rsidRPr="00E8358C">
        <w:rPr>
          <w:iCs/>
        </w:rPr>
        <w:t>passé devraient aider à comprendre et à mieux construire le présent, car l’on a besoin du regard, de la voix, des ble</w:t>
      </w:r>
      <w:r w:rsidRPr="00E8358C">
        <w:rPr>
          <w:iCs/>
        </w:rPr>
        <w:t>s</w:t>
      </w:r>
      <w:r w:rsidRPr="00E8358C">
        <w:rPr>
          <w:iCs/>
        </w:rPr>
        <w:t>sures et de l’humanité de tous,</w:t>
      </w:r>
      <w:r>
        <w:rPr>
          <w:iCs/>
        </w:rPr>
        <w:t> </w:t>
      </w:r>
      <w:r w:rsidRPr="00E8358C">
        <w:rPr>
          <w:rStyle w:val="Appelnotedebasdep"/>
          <w:iCs/>
        </w:rPr>
        <w:footnoteReference w:id="28"/>
      </w:r>
      <w:r w:rsidRPr="00E8358C">
        <w:rPr>
          <w:iCs/>
        </w:rPr>
        <w:t xml:space="preserve"> a soutenu Dominique de Villepin qui analysait  la question mémorielle de l’esclavage en France. </w:t>
      </w:r>
    </w:p>
    <w:p w:rsidR="004C50DC" w:rsidRPr="001D79C9" w:rsidRDefault="004C50DC" w:rsidP="004C50DC">
      <w:pPr>
        <w:spacing w:before="120" w:after="120"/>
        <w:jc w:val="both"/>
      </w:pPr>
      <w:r w:rsidRPr="001D79C9">
        <w:rPr>
          <w:iCs/>
        </w:rPr>
        <w:t>La problématique des mémoires de l’esclavage a peu retenu l’attention des chercheurs haïtiens. Les travaux de synthèse existant sur le sujet sont incomplets et tiennent peu compte des mémoires de ce passé comme étant des patrimoines, et ils n’interrogent pas non plus leur place dans la mémoire collective haïtienne et leurs rapports avec le présent. Il faut noter que depuis ces dix dernières années, le</w:t>
      </w:r>
      <w:r w:rsidRPr="00E8358C">
        <w:t xml:space="preserve"> débat sur la Traite et l’esclavage est relancé. Des recherches</w:t>
      </w:r>
      <w:r>
        <w:t> </w:t>
      </w:r>
      <w:r w:rsidRPr="00E8358C">
        <w:rPr>
          <w:rStyle w:val="Appelnotedebasdep"/>
        </w:rPr>
        <w:footnoteReference w:id="29"/>
      </w:r>
      <w:r w:rsidRPr="00E8358C">
        <w:t xml:space="preserve"> sont e</w:t>
      </w:r>
      <w:r w:rsidRPr="00E8358C">
        <w:t>n</w:t>
      </w:r>
      <w:r w:rsidRPr="00E8358C">
        <w:t xml:space="preserve">couragées et réalisées notamment </w:t>
      </w:r>
      <w:r w:rsidRPr="001D79C9">
        <w:t xml:space="preserve">dans le monde universitaire. </w:t>
      </w:r>
    </w:p>
    <w:p w:rsidR="004C50DC" w:rsidRPr="00E8358C" w:rsidRDefault="004C50DC" w:rsidP="004C50DC">
      <w:pPr>
        <w:spacing w:before="120" w:after="120"/>
        <w:jc w:val="both"/>
      </w:pPr>
      <w:r w:rsidRPr="001D79C9">
        <w:t>Il est</w:t>
      </w:r>
      <w:r w:rsidRPr="00E8358C">
        <w:t xml:space="preserve"> étonnant de constater qu’aujourd’hui, les ministères de la Culture et du Tourisme s’intéressent à la mise en patrimoine de ce</w:t>
      </w:r>
      <w:r w:rsidRPr="00E8358C">
        <w:t>r</w:t>
      </w:r>
      <w:r w:rsidRPr="00E8358C">
        <w:t>tains vestiges d’habitations coloniales et de fortifications dans une perspective de développement touristique de masse en négligeant l’importance des rapports mémoriels que peuvent développer les communautés avec ces lieux. Les mémoires de l’esclavage patrim</w:t>
      </w:r>
      <w:r w:rsidRPr="00E8358C">
        <w:t>o</w:t>
      </w:r>
      <w:r w:rsidRPr="00E8358C">
        <w:t>nialisées doivent d’abord aider les Haïtiens à donner de nouvelles a</w:t>
      </w:r>
      <w:r w:rsidRPr="00E8358C">
        <w:t>s</w:t>
      </w:r>
      <w:r w:rsidRPr="00E8358C">
        <w:t>sises idéologiques et sociales à la nation. L’intégration de ces mémo</w:t>
      </w:r>
      <w:r w:rsidRPr="00E8358C">
        <w:t>i</w:t>
      </w:r>
      <w:r w:rsidRPr="00E8358C">
        <w:t>res peut permettre de mieux composer avec les retombées et les conséquences néfastes aujourd’hui.</w:t>
      </w:r>
    </w:p>
    <w:p w:rsidR="004C50DC" w:rsidRPr="00E8358C" w:rsidRDefault="004C50DC" w:rsidP="004C50DC">
      <w:pPr>
        <w:spacing w:before="120" w:after="120"/>
        <w:jc w:val="both"/>
      </w:pPr>
      <w:r w:rsidRPr="00E8358C">
        <w:t>À partir de ces assises, notre recherche poursuit deux grands obje</w:t>
      </w:r>
      <w:r w:rsidRPr="00E8358C">
        <w:t>c</w:t>
      </w:r>
      <w:r w:rsidRPr="00E8358C">
        <w:t>tifs. Il s’agit de présenter une réflexion épistémologique sur la con</w:t>
      </w:r>
      <w:r w:rsidRPr="00E8358C">
        <w:t>s</w:t>
      </w:r>
      <w:r w:rsidRPr="00E8358C">
        <w:t>truction et la transmission des mémoires de</w:t>
      </w:r>
      <w:r>
        <w:t xml:space="preserve"> [16]</w:t>
      </w:r>
      <w:r w:rsidRPr="00E8358C">
        <w:t xml:space="preserve"> l’esclavage en Haïti et d’analyser les enjeux de leur patrimonialisation au regard de la mémoire collective haïtienne. Aussi, plusieurs interrogations sont pr</w:t>
      </w:r>
      <w:r w:rsidRPr="00E8358C">
        <w:t>i</w:t>
      </w:r>
      <w:r w:rsidRPr="00E8358C">
        <w:t>ses en compte : que reste-t-il du passé colonial esclavagiste ? Co</w:t>
      </w:r>
      <w:r w:rsidRPr="00E8358C">
        <w:t>m</w:t>
      </w:r>
      <w:r w:rsidRPr="00E8358C">
        <w:t>ment s’entrecroise la diversité mémorielle de l’esclavage en Haïti ? Quels sont ses modes de surgissement ou de convocation ? Comment travaille-t-il le présent ? Quels sont les enjeux de son éventuelle p</w:t>
      </w:r>
      <w:r w:rsidRPr="00E8358C">
        <w:t>a</w:t>
      </w:r>
      <w:r w:rsidRPr="00E8358C">
        <w:t xml:space="preserve">trimonialisation ? </w:t>
      </w:r>
    </w:p>
    <w:p w:rsidR="004C50DC" w:rsidRPr="00E8358C" w:rsidRDefault="004C50DC" w:rsidP="004C50DC">
      <w:pPr>
        <w:spacing w:before="120" w:after="120"/>
        <w:jc w:val="both"/>
      </w:pPr>
    </w:p>
    <w:p w:rsidR="004C50DC" w:rsidRPr="00E8358C" w:rsidRDefault="004C50DC" w:rsidP="004C50DC">
      <w:pPr>
        <w:pStyle w:val="a"/>
      </w:pPr>
      <w:bookmarkStart w:id="19" w:name="_Toc406486075"/>
      <w:bookmarkStart w:id="20" w:name="_Toc406489629"/>
      <w:bookmarkStart w:id="21" w:name="_Toc423347263"/>
      <w:bookmarkStart w:id="22" w:name="_Toc442280441"/>
      <w:r w:rsidRPr="00E8358C">
        <w:t>1.1.1</w:t>
      </w:r>
      <w:r>
        <w:t>.</w:t>
      </w:r>
      <w:r w:rsidRPr="00E8358C">
        <w:t xml:space="preserve"> Définition du cadre spatio-temporel</w:t>
      </w:r>
      <w:bookmarkEnd w:id="19"/>
      <w:bookmarkEnd w:id="20"/>
      <w:bookmarkEnd w:id="21"/>
      <w:bookmarkEnd w:id="22"/>
    </w:p>
    <w:p w:rsidR="004C50DC" w:rsidRDefault="004C50DC" w:rsidP="004C50DC">
      <w:pPr>
        <w:spacing w:before="120" w:after="120"/>
        <w:jc w:val="both"/>
      </w:pPr>
      <w:bookmarkStart w:id="23" w:name="_Toc406486076"/>
      <w:bookmarkStart w:id="24" w:name="_Toc406487550"/>
      <w:bookmarkStart w:id="25" w:name="_Toc406489630"/>
      <w:bookmarkStart w:id="26" w:name="_Toc421022211"/>
      <w:bookmarkStart w:id="27" w:name="_Toc423345694"/>
      <w:bookmarkStart w:id="28" w:name="_Toc423345925"/>
      <w:bookmarkStart w:id="29" w:name="_Toc423347264"/>
      <w:bookmarkStart w:id="30" w:name="_Toc423348197"/>
      <w:bookmarkStart w:id="31" w:name="_Toc442279439"/>
      <w:bookmarkStart w:id="32" w:name="_Toc442280442"/>
    </w:p>
    <w:p w:rsidR="004C50DC" w:rsidRPr="00576E8A" w:rsidRDefault="004C50DC" w:rsidP="004C50DC">
      <w:pPr>
        <w:spacing w:before="120" w:after="120"/>
        <w:jc w:val="both"/>
      </w:pPr>
      <w:r w:rsidRPr="00576E8A">
        <w:t>Notre thèse se situe dans une démarche d’étude du patrimoine mémoriel, particulièrement dans la période allant de 1980 à 2015 en Haïti. Ce rapport spécifique au temps et à l’espace est marqué par une série d’actions patrimoniales concrètes avec en premier lieu la resta</w:t>
      </w:r>
      <w:r w:rsidRPr="00576E8A">
        <w:t>u</w:t>
      </w:r>
      <w:r w:rsidRPr="00576E8A">
        <w:t>ration de la Citadelle Henri Christophe (janvier 1979-décembre 1982) et l’inscription du Parc national historique en 1982 sur la liste du P</w:t>
      </w:r>
      <w:r w:rsidRPr="00576E8A">
        <w:t>a</w:t>
      </w:r>
      <w:r w:rsidRPr="00576E8A">
        <w:t>trimoine mondial de l’UNESCO. Ce parc regroupe des sites comme le Palais Sans-Souci, la Citadelle Henri et le site des Ramiers qui sont  des témoins matériels de la période postcoloniale et des œuvres fort</w:t>
      </w:r>
      <w:r w:rsidRPr="00576E8A">
        <w:t>i</w:t>
      </w:r>
      <w:r w:rsidRPr="00576E8A">
        <w:t>fiées construites par d’anciens esclaves. L’inauguration du MUP</w:t>
      </w:r>
      <w:r w:rsidRPr="00576E8A">
        <w:t>A</w:t>
      </w:r>
      <w:r w:rsidRPr="00576E8A">
        <w:t>NAH en avril 1983, l’ensemble des efforts qui vont se succéder (co</w:t>
      </w:r>
      <w:r w:rsidRPr="00576E8A">
        <w:t>l</w:t>
      </w:r>
      <w:r w:rsidRPr="00576E8A">
        <w:t>loque, conférence), les manifestations culturelles (Commémoration du bicentenaire de l’Indépendance en 2004) et l’implication d’Haïti dans des projets de mémoire (Route 2004, Route de l’esclave) justifient aussi le choix de cette délimitation temporelle. Donc, il nous paraît difficile de ne pas nous lancer dans une aventure scientifique pour r</w:t>
      </w:r>
      <w:r w:rsidRPr="00576E8A">
        <w:t>e</w:t>
      </w:r>
      <w:r w:rsidRPr="00576E8A">
        <w:t>pérer et analyser ces « traces »</w:t>
      </w:r>
      <w:r>
        <w:t> </w:t>
      </w:r>
      <w:r w:rsidRPr="00576E8A">
        <w:rPr>
          <w:rStyle w:val="Appelnotedebasdep"/>
        </w:rPr>
        <w:footnoteReference w:id="30"/>
      </w:r>
      <w:r w:rsidRPr="00576E8A">
        <w:t xml:space="preserve"> générationnelles dynamiques en ra</w:t>
      </w:r>
      <w:r w:rsidRPr="00576E8A">
        <w:t>p</w:t>
      </w:r>
      <w:r w:rsidRPr="00576E8A">
        <w:t>port avec le passé colonial esclavagiste.</w:t>
      </w:r>
      <w:bookmarkEnd w:id="26"/>
      <w:bookmarkEnd w:id="27"/>
      <w:bookmarkEnd w:id="28"/>
      <w:bookmarkEnd w:id="29"/>
      <w:bookmarkEnd w:id="30"/>
      <w:bookmarkEnd w:id="31"/>
      <w:bookmarkEnd w:id="32"/>
    </w:p>
    <w:bookmarkEnd w:id="23"/>
    <w:bookmarkEnd w:id="24"/>
    <w:bookmarkEnd w:id="25"/>
    <w:p w:rsidR="004C50DC" w:rsidRDefault="004C50DC" w:rsidP="004C50DC">
      <w:pPr>
        <w:spacing w:before="120" w:after="120"/>
        <w:jc w:val="both"/>
      </w:pPr>
      <w:r w:rsidRPr="00E8358C">
        <w:t xml:space="preserve">Haïti garde encore des </w:t>
      </w:r>
      <w:r w:rsidRPr="001D79C9">
        <w:t>cadres mémoriels qui peuvent être inscrits</w:t>
      </w:r>
      <w:r w:rsidRPr="00E8358C">
        <w:rPr>
          <w:rFonts w:eastAsia="Calibri"/>
        </w:rPr>
        <w:t xml:space="preserve"> aujourd’hui comme des témoins indispensables dans la définition ou la redéfinition de l’identité haïtienne. Ainsi, </w:t>
      </w:r>
      <w:r w:rsidRPr="00E8358C">
        <w:t>trois départements gé</w:t>
      </w:r>
      <w:r w:rsidRPr="00E8358C">
        <w:t>o</w:t>
      </w:r>
      <w:r w:rsidRPr="00E8358C">
        <w:t xml:space="preserve">graphiques d’Haïti (le nord, l’ouest et le sud) ont été sélectionnés </w:t>
      </w:r>
      <w:r>
        <w:t xml:space="preserve">[17] </w:t>
      </w:r>
      <w:r w:rsidRPr="00E8358C">
        <w:t>pour réaliser l’enquête de terrain compte tenu de la division admini</w:t>
      </w:r>
      <w:r w:rsidRPr="00E8358C">
        <w:t>s</w:t>
      </w:r>
      <w:r w:rsidRPr="00E8358C">
        <w:t>trative coloniale, de leurs rapports à l’esclavage qui diffèrent histor</w:t>
      </w:r>
      <w:r w:rsidRPr="00E8358C">
        <w:t>i</w:t>
      </w:r>
      <w:r w:rsidRPr="00E8358C">
        <w:t xml:space="preserve">quement, de leur poids culturel. Ils ont été aussi retenus parce qu’ils renferment la plupart des vestiges coloniaux. </w:t>
      </w:r>
    </w:p>
    <w:p w:rsidR="004C50DC" w:rsidRPr="00E8358C" w:rsidRDefault="004C50DC" w:rsidP="004C50DC">
      <w:pPr>
        <w:spacing w:before="120" w:after="120"/>
        <w:jc w:val="both"/>
        <w:rPr>
          <w:b/>
        </w:rPr>
      </w:pPr>
    </w:p>
    <w:p w:rsidR="004C50DC" w:rsidRPr="00E8358C" w:rsidRDefault="004C50DC" w:rsidP="004C50DC">
      <w:pPr>
        <w:pStyle w:val="planche"/>
      </w:pPr>
      <w:bookmarkStart w:id="33" w:name="_Toc406489631"/>
      <w:bookmarkStart w:id="34" w:name="_Toc423347265"/>
      <w:bookmarkStart w:id="35" w:name="_Toc442280443"/>
      <w:bookmarkStart w:id="36" w:name="Memoire_chap_I_2"/>
      <w:r w:rsidRPr="00E8358C">
        <w:t>1.2</w:t>
      </w:r>
      <w:r>
        <w:t>.</w:t>
      </w:r>
      <w:r w:rsidRPr="00E8358C">
        <w:t xml:space="preserve"> Dimension conceptuelle</w:t>
      </w:r>
      <w:r>
        <w:br/>
      </w:r>
      <w:r w:rsidRPr="00E8358C">
        <w:t>de la patrimonialisation des lieux et de la mémoire.</w:t>
      </w:r>
      <w:r>
        <w:br/>
      </w:r>
      <w:r w:rsidRPr="00E8358C">
        <w:t>Compréhension des enjeux autour</w:t>
      </w:r>
      <w:r>
        <w:br/>
      </w:r>
      <w:r w:rsidRPr="00E8358C">
        <w:t>des mémoires de l’esclavage en Haïti</w:t>
      </w:r>
      <w:bookmarkEnd w:id="33"/>
      <w:bookmarkEnd w:id="34"/>
      <w:bookmarkEnd w:id="35"/>
    </w:p>
    <w:bookmarkEnd w:id="36"/>
    <w:p w:rsidR="004C50DC" w:rsidRPr="001D79C9"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1D79C9" w:rsidRDefault="004C50DC" w:rsidP="004C50DC">
      <w:pPr>
        <w:spacing w:before="120" w:after="120"/>
        <w:jc w:val="both"/>
      </w:pPr>
      <w:r w:rsidRPr="001D79C9">
        <w:t>Pour bien asseoir notre problématique, il s’avère essentiel de préc</w:t>
      </w:r>
      <w:r w:rsidRPr="001D79C9">
        <w:t>i</w:t>
      </w:r>
      <w:r w:rsidRPr="001D79C9">
        <w:t>ser les concepts clés. Sous ce jour, notre recherche s’inscrit dans une perspective visant à envisager la mémoire comme un patrimoine i</w:t>
      </w:r>
      <w:r w:rsidRPr="001D79C9">
        <w:t>m</w:t>
      </w:r>
      <w:r w:rsidRPr="001D79C9">
        <w:t>matériel. Cette considération nous permet de réfléchir à la mémoire de l’esclavage au sens patrimonial et de construire une vision intégrée du patrimoine qui détermine l’action et la mémoire collective. C’est une démarche qui tient compte de plusieurs concepts (esclavage, mémoire de l’esclavage, mémoire, mémoire collective, lieux de mémoire, p</w:t>
      </w:r>
      <w:r w:rsidRPr="001D79C9">
        <w:t>a</w:t>
      </w:r>
      <w:r w:rsidRPr="001D79C9">
        <w:t>trimoine, patrimonialisation) et de leur place dans la compréhension et l’avancement de notre recherche qui analyse les mémoires de l’esclavage et les enjeux de leur patrimonialisation.</w:t>
      </w:r>
    </w:p>
    <w:p w:rsidR="004C50DC" w:rsidRPr="001D79C9" w:rsidRDefault="004C50DC" w:rsidP="004C50DC">
      <w:pPr>
        <w:spacing w:before="120" w:after="120"/>
        <w:jc w:val="both"/>
      </w:pPr>
      <w:r w:rsidRPr="001D79C9">
        <w:t>De manière générale, l’esclavage, c’est la capture d’êtres humains, leur vente et leur exploitation au mépris de tous leurs droits fond</w:t>
      </w:r>
      <w:r w:rsidRPr="001D79C9">
        <w:t>a</w:t>
      </w:r>
      <w:r w:rsidRPr="001D79C9">
        <w:t>mentaux. Cette pratique est universelle. L’étymologie du mot « esclave » remonte à l’ancienne « Esclavonie », plus tard Slavonie</w:t>
      </w:r>
      <w:r w:rsidRPr="001D79C9">
        <w:footnoteReference w:id="31"/>
      </w:r>
      <w:r w:rsidRPr="001D79C9">
        <w:t xml:space="preserve">, région proche du Danube qui eut tôt fait de devenir le réservoir d’esclaves de l’Empire romain. Le nom de ses habitants, les « Esclavons » ou « Sclavini », par un glissement sémantique, a donné naissance à « slave » en anglais, et à « esclave » en français. </w:t>
      </w:r>
    </w:p>
    <w:p w:rsidR="004C50DC" w:rsidRPr="001D79C9" w:rsidRDefault="004C50DC" w:rsidP="004C50DC">
      <w:pPr>
        <w:spacing w:before="120" w:after="120"/>
        <w:jc w:val="both"/>
        <w:rPr>
          <w:szCs w:val="32"/>
          <w:lang w:eastAsia="fr-FR"/>
        </w:rPr>
      </w:pPr>
      <w:r w:rsidRPr="001D79C9">
        <w:t>Dans le cadre de cette thèse, nous empruntons sa définition de l’esclavage à Claude Meillasoux : « le système ou le mode de produ</w:t>
      </w:r>
      <w:r w:rsidRPr="001D79C9">
        <w:t>c</w:t>
      </w:r>
      <w:r w:rsidRPr="001D79C9">
        <w:t>tion continue des rapports d’exploitation et de domination qui se r</w:t>
      </w:r>
      <w:r w:rsidRPr="001D79C9">
        <w:t>e</w:t>
      </w:r>
      <w:r w:rsidRPr="001D79C9">
        <w:t>produisent organiquement et institutionnellement de manière à prése</w:t>
      </w:r>
      <w:r w:rsidRPr="001D79C9">
        <w:t>r</w:t>
      </w:r>
      <w:r w:rsidRPr="001D79C9">
        <w:t>ver l’organisation sociopolitique esclavagiste »</w:t>
      </w:r>
      <w:r>
        <w:t> </w:t>
      </w:r>
      <w:r>
        <w:rPr>
          <w:rStyle w:val="Appelnotedebasdep"/>
        </w:rPr>
        <w:footnoteReference w:id="32"/>
      </w:r>
      <w:r w:rsidRPr="001D79C9">
        <w:t>. L’esclave est alors cet individu privé de liberté et soumis à l’exercice d’un pouvoir abs</w:t>
      </w:r>
      <w:r w:rsidRPr="001D79C9">
        <w:t>o</w:t>
      </w:r>
      <w:r w:rsidRPr="001D79C9">
        <w:t>lu et oppressif d’un autre individu [18] ou d’un État en dehors de</w:t>
      </w:r>
      <w:r w:rsidRPr="001D79C9">
        <w:rPr>
          <w:szCs w:val="32"/>
          <w:lang w:eastAsia="fr-FR"/>
        </w:rPr>
        <w:t xml:space="preserve"> toute considération de respect des droits fondamentaux et de la dignité h</w:t>
      </w:r>
      <w:r w:rsidRPr="001D79C9">
        <w:rPr>
          <w:szCs w:val="32"/>
          <w:lang w:eastAsia="fr-FR"/>
        </w:rPr>
        <w:t>u</w:t>
      </w:r>
      <w:r w:rsidRPr="001D79C9">
        <w:rPr>
          <w:szCs w:val="32"/>
          <w:lang w:eastAsia="fr-FR"/>
        </w:rPr>
        <w:t>maine. L’esclave est astreint à travailler et subit des traitements inh</w:t>
      </w:r>
      <w:r w:rsidRPr="001D79C9">
        <w:rPr>
          <w:szCs w:val="32"/>
          <w:lang w:eastAsia="fr-FR"/>
        </w:rPr>
        <w:t>u</w:t>
      </w:r>
      <w:r w:rsidRPr="001D79C9">
        <w:rPr>
          <w:szCs w:val="32"/>
          <w:lang w:eastAsia="fr-FR"/>
        </w:rPr>
        <w:t>mains et dégradants.</w:t>
      </w:r>
    </w:p>
    <w:p w:rsidR="004C50DC" w:rsidRPr="00E8358C" w:rsidRDefault="004C50DC" w:rsidP="004C50DC">
      <w:pPr>
        <w:spacing w:before="120" w:after="120"/>
        <w:jc w:val="both"/>
        <w:rPr>
          <w:bCs/>
        </w:rPr>
      </w:pPr>
      <w:r w:rsidRPr="00E8358C">
        <w:rPr>
          <w:bCs/>
        </w:rPr>
        <w:t xml:space="preserve">Le point central qu’il fallait mettre en lumière, c’est que l’esclavage est un phénomène universel. Toutes les sociétés humaines et toutes les races l’ont connu dans l’histoire du monde. </w:t>
      </w:r>
      <w:r w:rsidRPr="001D79C9">
        <w:rPr>
          <w:bCs/>
        </w:rPr>
        <w:t>Frédéric R</w:t>
      </w:r>
      <w:r w:rsidRPr="001D79C9">
        <w:rPr>
          <w:bCs/>
        </w:rPr>
        <w:t>é</w:t>
      </w:r>
      <w:r w:rsidRPr="001D79C9">
        <w:rPr>
          <w:bCs/>
        </w:rPr>
        <w:t>gent</w:t>
      </w:r>
      <w:r>
        <w:rPr>
          <w:bCs/>
        </w:rPr>
        <w:t> </w:t>
      </w:r>
      <w:r>
        <w:rPr>
          <w:rStyle w:val="Appelnotedebasdep"/>
          <w:bCs/>
        </w:rPr>
        <w:footnoteReference w:id="33"/>
      </w:r>
      <w:r w:rsidRPr="001D79C9">
        <w:rPr>
          <w:bCs/>
        </w:rPr>
        <w:t xml:space="preserve"> estime que </w:t>
      </w:r>
      <w:r w:rsidRPr="001D79C9">
        <w:rPr>
          <w:bCs/>
          <w:iCs/>
        </w:rPr>
        <w:t>« ce ne sont ni l’Occident, ni l’Afrique et encore moins la Nation ou la République qui sont responsables de l’esclavage, mais des hommes avides d’enrichissement et de pouvoir. D’ailleurs, l’historien ne réfléchit pas en matière de coupables et de victimes, mais tente d’expliquer les phénomènes historiques. L’historien n’est pas le juge du passé. Il faut bannir toute idée de tr</w:t>
      </w:r>
      <w:r w:rsidRPr="001D79C9">
        <w:rPr>
          <w:bCs/>
          <w:iCs/>
        </w:rPr>
        <w:t>i</w:t>
      </w:r>
      <w:r w:rsidRPr="001D79C9">
        <w:rPr>
          <w:bCs/>
          <w:iCs/>
        </w:rPr>
        <w:t>bunal de l’histoire »</w:t>
      </w:r>
      <w:r w:rsidRPr="001D79C9">
        <w:rPr>
          <w:bCs/>
        </w:rPr>
        <w:t>. Toutefois, il est important pour ce qui nous concerne de présenter les</w:t>
      </w:r>
      <w:r w:rsidRPr="00E8358C">
        <w:rPr>
          <w:bCs/>
        </w:rPr>
        <w:t xml:space="preserve"> trois singularités de l’esclavage transatlant</w:t>
      </w:r>
      <w:r w:rsidRPr="00E8358C">
        <w:rPr>
          <w:bCs/>
        </w:rPr>
        <w:t>i</w:t>
      </w:r>
      <w:r w:rsidRPr="00E8358C">
        <w:rPr>
          <w:bCs/>
        </w:rPr>
        <w:t xml:space="preserve">que : sa durée, son aspect légal et sa connotation raciale. </w:t>
      </w:r>
    </w:p>
    <w:p w:rsidR="004C50DC" w:rsidRDefault="004C50DC" w:rsidP="004C50DC">
      <w:pPr>
        <w:spacing w:before="120" w:after="120"/>
        <w:jc w:val="both"/>
        <w:rPr>
          <w:bCs/>
        </w:rPr>
      </w:pPr>
      <w:r>
        <w:rPr>
          <w:bCs/>
        </w:rPr>
        <w:br w:type="page"/>
      </w:r>
    </w:p>
    <w:p w:rsidR="004C50DC" w:rsidRPr="00E8358C" w:rsidRDefault="004C50DC" w:rsidP="004C50DC">
      <w:pPr>
        <w:pStyle w:val="b"/>
      </w:pPr>
      <w:r>
        <w:t xml:space="preserve">a) </w:t>
      </w:r>
      <w:r w:rsidRPr="00E8358C">
        <w:t>La durée</w:t>
      </w:r>
    </w:p>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L’esclavage transatlantique a duré environ cinq siècles continus, soit du XV</w:t>
      </w:r>
      <w:r w:rsidRPr="00E8358C">
        <w:rPr>
          <w:bCs/>
          <w:vertAlign w:val="superscript"/>
        </w:rPr>
        <w:t>e</w:t>
      </w:r>
      <w:r w:rsidRPr="00E8358C">
        <w:rPr>
          <w:bCs/>
        </w:rPr>
        <w:t xml:space="preserve"> au XIX</w:t>
      </w:r>
      <w:r w:rsidRPr="00E8358C">
        <w:rPr>
          <w:bCs/>
          <w:vertAlign w:val="superscript"/>
        </w:rPr>
        <w:t>e</w:t>
      </w:r>
      <w:r w:rsidRPr="00E8358C">
        <w:rPr>
          <w:bCs/>
        </w:rPr>
        <w:t xml:space="preserve"> siècle. Cette longue durée non interrompue est sa toute première exception. L’Espagne a ouvert le bal dès le début du XVI</w:t>
      </w:r>
      <w:r w:rsidRPr="00E8358C">
        <w:rPr>
          <w:bCs/>
          <w:vertAlign w:val="superscript"/>
        </w:rPr>
        <w:t>e</w:t>
      </w:r>
      <w:r w:rsidRPr="00E8358C">
        <w:rPr>
          <w:bCs/>
        </w:rPr>
        <w:t xml:space="preserve"> siècle pour compenser l’extermination des Amérindiens en su</w:t>
      </w:r>
      <w:r w:rsidRPr="00E8358C">
        <w:rPr>
          <w:bCs/>
        </w:rPr>
        <w:t>i</w:t>
      </w:r>
      <w:r w:rsidRPr="00E8358C">
        <w:rPr>
          <w:bCs/>
        </w:rPr>
        <w:t>vant le Portugal qui importait déjà des esclaves noirs dans le courant des années 1440</w:t>
      </w:r>
      <w:r>
        <w:rPr>
          <w:bCs/>
        </w:rPr>
        <w:t> </w:t>
      </w:r>
      <w:r w:rsidRPr="00E8358C">
        <w:rPr>
          <w:rStyle w:val="Appelnotedebasdep"/>
          <w:bCs/>
        </w:rPr>
        <w:footnoteReference w:id="34"/>
      </w:r>
      <w:r w:rsidRPr="00E8358C">
        <w:rPr>
          <w:bCs/>
        </w:rPr>
        <w:t>. C’est la première fois dans l’histoire de l’humanité qu’un courant esclavagiste a pris une telle ampleur pour aboutir à la formation de trois « sociétés esclavagistes »</w:t>
      </w:r>
      <w:r>
        <w:rPr>
          <w:bCs/>
        </w:rPr>
        <w:t> </w:t>
      </w:r>
      <w:r w:rsidRPr="002C1EB7">
        <w:rPr>
          <w:rStyle w:val="Appelnotedebasdep"/>
          <w:bCs/>
        </w:rPr>
        <w:footnoteReference w:id="35"/>
      </w:r>
      <w:r w:rsidRPr="00E8358C">
        <w:rPr>
          <w:bCs/>
        </w:rPr>
        <w:t xml:space="preserve"> (États-Unis, Caraïbes, Brésil) à l’époque moderne</w:t>
      </w:r>
      <w:r>
        <w:rPr>
          <w:bCs/>
        </w:rPr>
        <w:t> </w:t>
      </w:r>
      <w:r w:rsidRPr="00E8358C">
        <w:rPr>
          <w:rStyle w:val="Appelnotedebasdep"/>
          <w:bCs/>
        </w:rPr>
        <w:footnoteReference w:id="36"/>
      </w:r>
      <w:r w:rsidRPr="00E8358C">
        <w:rPr>
          <w:bCs/>
        </w:rPr>
        <w:t>. Comme le soulignent Marcel Dorigny et Bernard Gainot, la traite transatlantique s’insère donc dans les ci</w:t>
      </w:r>
      <w:r w:rsidRPr="00E8358C">
        <w:rPr>
          <w:bCs/>
        </w:rPr>
        <w:t>r</w:t>
      </w:r>
      <w:r w:rsidRPr="00E8358C">
        <w:rPr>
          <w:bCs/>
        </w:rPr>
        <w:t xml:space="preserve">cuits traditionnels pour </w:t>
      </w:r>
      <w:r>
        <w:rPr>
          <w:bCs/>
        </w:rPr>
        <w:t xml:space="preserve">[19] </w:t>
      </w:r>
      <w:r w:rsidRPr="00E8358C">
        <w:rPr>
          <w:bCs/>
        </w:rPr>
        <w:t>porter le commerce des êtres humains à une échelle inédite, dès le XVII</w:t>
      </w:r>
      <w:r w:rsidRPr="00E8358C">
        <w:rPr>
          <w:bCs/>
          <w:vertAlign w:val="superscript"/>
        </w:rPr>
        <w:t>e</w:t>
      </w:r>
      <w:r w:rsidRPr="00E8358C">
        <w:rPr>
          <w:bCs/>
        </w:rPr>
        <w:t xml:space="preserve"> siècle, pour atteindre des sommets au XVIII</w:t>
      </w:r>
      <w:r w:rsidRPr="00E8358C">
        <w:rPr>
          <w:bCs/>
          <w:vertAlign w:val="superscript"/>
        </w:rPr>
        <w:t>e</w:t>
      </w:r>
      <w:r w:rsidRPr="00E8358C">
        <w:rPr>
          <w:bCs/>
        </w:rPr>
        <w:t xml:space="preserve"> et au XIX</w:t>
      </w:r>
      <w:r w:rsidRPr="00E8358C">
        <w:rPr>
          <w:bCs/>
          <w:vertAlign w:val="superscript"/>
        </w:rPr>
        <w:t>e</w:t>
      </w:r>
      <w:r w:rsidRPr="00E8358C">
        <w:rPr>
          <w:bCs/>
        </w:rPr>
        <w:t xml:space="preserve"> siècle</w:t>
      </w:r>
      <w:r>
        <w:rPr>
          <w:bCs/>
        </w:rPr>
        <w:t> </w:t>
      </w:r>
      <w:r w:rsidRPr="00E8358C">
        <w:rPr>
          <w:rStyle w:val="Appelnotedebasdep"/>
          <w:bCs/>
        </w:rPr>
        <w:footnoteReference w:id="37"/>
      </w:r>
      <w:r w:rsidRPr="00E8358C">
        <w:rPr>
          <w:bCs/>
        </w:rPr>
        <w:t>.</w:t>
      </w:r>
    </w:p>
    <w:p w:rsidR="004C50DC" w:rsidRDefault="004C50DC" w:rsidP="004C50DC">
      <w:pPr>
        <w:spacing w:before="120" w:after="120"/>
        <w:jc w:val="both"/>
        <w:rPr>
          <w:bCs/>
        </w:rPr>
      </w:pPr>
    </w:p>
    <w:p w:rsidR="004C50DC" w:rsidRPr="00E8358C" w:rsidRDefault="004C50DC" w:rsidP="004C50DC">
      <w:pPr>
        <w:pStyle w:val="b"/>
      </w:pPr>
      <w:r>
        <w:t xml:space="preserve">b) </w:t>
      </w:r>
      <w:r w:rsidRPr="00E8358C">
        <w:t xml:space="preserve">L’aspect </w:t>
      </w:r>
      <w:r w:rsidRPr="000A1F06">
        <w:t>légal</w:t>
      </w:r>
    </w:p>
    <w:p w:rsidR="004C50DC" w:rsidRDefault="004C50DC" w:rsidP="004C50DC">
      <w:pPr>
        <w:spacing w:before="120" w:after="120"/>
        <w:jc w:val="both"/>
        <w:rPr>
          <w:bCs/>
        </w:rPr>
      </w:pPr>
    </w:p>
    <w:p w:rsidR="004C50DC" w:rsidRPr="00E8358C" w:rsidRDefault="004C50DC" w:rsidP="004C50DC">
      <w:pPr>
        <w:spacing w:before="120" w:after="120"/>
        <w:jc w:val="both"/>
      </w:pPr>
      <w:r w:rsidRPr="00E8358C">
        <w:rPr>
          <w:bCs/>
        </w:rPr>
        <w:t xml:space="preserve">L’esclavage transatlantique a été légalement organisé et supervisé par des États et des gouvernements européens de l’époque. Dès </w:t>
      </w:r>
      <w:r w:rsidRPr="00E8358C">
        <w:rPr>
          <w:szCs w:val="28"/>
          <w:lang w:eastAsia="fr-FR"/>
        </w:rPr>
        <w:t xml:space="preserve">1642, </w:t>
      </w:r>
      <w:r w:rsidRPr="00E8358C">
        <w:t>la « traite des Noirs » a été autorisée officiellement par un édit de Louis</w:t>
      </w:r>
      <w:r>
        <w:t> </w:t>
      </w:r>
      <w:r w:rsidRPr="00E8358C">
        <w:t>XIII</w:t>
      </w:r>
      <w:r w:rsidRPr="00E8358C">
        <w:rPr>
          <w:bCs/>
        </w:rPr>
        <w:t xml:space="preserve"> pour la France. Plus tard, dans les colonies françaises, le </w:t>
      </w:r>
      <w:r w:rsidRPr="00E8358C">
        <w:rPr>
          <w:bCs/>
          <w:i/>
        </w:rPr>
        <w:t>Code noir</w:t>
      </w:r>
      <w:r w:rsidRPr="00E8358C">
        <w:rPr>
          <w:bCs/>
        </w:rPr>
        <w:t xml:space="preserve"> de </w:t>
      </w:r>
      <w:r w:rsidRPr="00E8358C">
        <w:t xml:space="preserve">1685 viendra </w:t>
      </w:r>
      <w:r w:rsidRPr="00E8358C">
        <w:rPr>
          <w:bCs/>
        </w:rPr>
        <w:t xml:space="preserve">légitimer et </w:t>
      </w:r>
      <w:r w:rsidRPr="00E8358C">
        <w:t>réglementer l’</w:t>
      </w:r>
      <w:r w:rsidRPr="00E8358C">
        <w:rPr>
          <w:bCs/>
        </w:rPr>
        <w:t>organisation du système esclavagiste.</w:t>
      </w:r>
      <w:r w:rsidRPr="00E8358C">
        <w:t xml:space="preserve"> Il a fallu attendre 1786 pour que celui-ci soit encadré dans les colonies espagnoles</w:t>
      </w:r>
      <w:r>
        <w:t> </w:t>
      </w:r>
      <w:r w:rsidRPr="00E8358C">
        <w:rPr>
          <w:rStyle w:val="Appelnotedebasdep"/>
          <w:bCs/>
        </w:rPr>
        <w:footnoteReference w:id="38"/>
      </w:r>
      <w:r w:rsidRPr="00E8358C">
        <w:t>.</w:t>
      </w:r>
    </w:p>
    <w:p w:rsidR="004C50DC" w:rsidRDefault="004C50DC" w:rsidP="004C50DC">
      <w:pPr>
        <w:spacing w:before="120" w:after="120"/>
        <w:jc w:val="both"/>
        <w:rPr>
          <w:bCs/>
        </w:rPr>
      </w:pPr>
    </w:p>
    <w:p w:rsidR="004C50DC" w:rsidRPr="00E8358C" w:rsidRDefault="004C50DC" w:rsidP="004C50DC">
      <w:pPr>
        <w:pStyle w:val="b"/>
      </w:pPr>
      <w:r>
        <w:t xml:space="preserve">c) </w:t>
      </w:r>
      <w:r w:rsidRPr="00E8358C">
        <w:t>Le caractère racial</w:t>
      </w:r>
    </w:p>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La connotation raciale s’impose comme la troisième singularité de l’esclavage transatlantique. Cet esclavage, dès le départ, visait les Noirs d’Afrique. Le facteur racial a été son pivot et sa base idéolog</w:t>
      </w:r>
      <w:r w:rsidRPr="00E8358C">
        <w:rPr>
          <w:bCs/>
        </w:rPr>
        <w:t>i</w:t>
      </w:r>
      <w:r w:rsidRPr="00E8358C">
        <w:rPr>
          <w:bCs/>
        </w:rPr>
        <w:t xml:space="preserve">que. L’idée d’infériorité des victimes sur le plan intellectuel, culturel, voire génétique, a légitimé son développement.  </w:t>
      </w:r>
    </w:p>
    <w:p w:rsidR="004C50DC" w:rsidRPr="001D79C9" w:rsidRDefault="004C50DC" w:rsidP="004C50DC">
      <w:pPr>
        <w:spacing w:before="120" w:after="120"/>
        <w:jc w:val="both"/>
        <w:rPr>
          <w:bCs/>
        </w:rPr>
      </w:pPr>
      <w:r w:rsidRPr="001D79C9">
        <w:rPr>
          <w:bCs/>
        </w:rPr>
        <w:t>Les rapports entre le système colonial esclavagiste et les pratiques politiques et sociales déterminent encore l’organisation et le fonctio</w:t>
      </w:r>
      <w:r w:rsidRPr="001D79C9">
        <w:rPr>
          <w:bCs/>
        </w:rPr>
        <w:t>n</w:t>
      </w:r>
      <w:r w:rsidRPr="001D79C9">
        <w:rPr>
          <w:bCs/>
        </w:rPr>
        <w:t>nement de la société haïtienne depuis sa création officielle le 1er ja</w:t>
      </w:r>
      <w:r w:rsidRPr="001D79C9">
        <w:rPr>
          <w:bCs/>
        </w:rPr>
        <w:t>n</w:t>
      </w:r>
      <w:r w:rsidRPr="001D79C9">
        <w:rPr>
          <w:bCs/>
        </w:rPr>
        <w:t>vier 1804. Aussi fait-il souvent référence au système de servage, à la corvée rétablie, à l’exclusion ou à la marginalisation des paysans et de ses filiations. Il faut ajouter le laxisme des autorités étatiques</w:t>
      </w:r>
      <w:r>
        <w:rPr>
          <w:bCs/>
        </w:rPr>
        <w:t> </w:t>
      </w:r>
      <w:r>
        <w:rPr>
          <w:rStyle w:val="Appelnotedebasdep"/>
          <w:bCs/>
        </w:rPr>
        <w:footnoteReference w:id="39"/>
      </w:r>
      <w:r w:rsidRPr="001D79C9">
        <w:rPr>
          <w:bCs/>
        </w:rPr>
        <w:t xml:space="preserve"> et l’entretien par la société de certaines pratiques comme la domesticité qui est une conséquence dans le présent de la colonisation esclavagi</w:t>
      </w:r>
      <w:r w:rsidRPr="001D79C9">
        <w:rPr>
          <w:bCs/>
        </w:rPr>
        <w:t>s</w:t>
      </w:r>
      <w:r w:rsidRPr="001D79C9">
        <w:rPr>
          <w:bCs/>
        </w:rPr>
        <w:t>te.</w:t>
      </w:r>
    </w:p>
    <w:p w:rsidR="004C50DC" w:rsidRPr="001D79C9" w:rsidRDefault="004C50DC" w:rsidP="004C50DC">
      <w:pPr>
        <w:spacing w:before="120" w:after="120"/>
        <w:jc w:val="both"/>
        <w:rPr>
          <w:bCs/>
        </w:rPr>
      </w:pPr>
      <w:r>
        <w:rPr>
          <w:bCs/>
        </w:rPr>
        <w:br w:type="page"/>
      </w:r>
      <w:r w:rsidRPr="001D79C9">
        <w:rPr>
          <w:bCs/>
        </w:rPr>
        <w:t>[20]</w:t>
      </w:r>
    </w:p>
    <w:p w:rsidR="004C50DC" w:rsidRPr="00E8358C" w:rsidRDefault="004C50DC" w:rsidP="004C50DC">
      <w:pPr>
        <w:spacing w:before="120" w:after="120"/>
        <w:jc w:val="both"/>
      </w:pPr>
      <w:r w:rsidRPr="001D79C9">
        <w:rPr>
          <w:bCs/>
        </w:rPr>
        <w:t>Le deuxième concept que nous définissons est la « mémoire de l’esclavage ». Celle-ci est étudiée dans les multiples représentations du système colonial esclavagiste. Elle est inscrite dans des objets</w:t>
      </w:r>
      <w:r w:rsidRPr="00E8358C">
        <w:rPr>
          <w:rFonts w:eastAsia="Calibri"/>
        </w:rPr>
        <w:t xml:space="preserve"> t</w:t>
      </w:r>
      <w:r w:rsidRPr="00E8358C">
        <w:rPr>
          <w:rFonts w:eastAsia="Calibri"/>
        </w:rPr>
        <w:t>y</w:t>
      </w:r>
      <w:r w:rsidRPr="00E8358C">
        <w:rPr>
          <w:rFonts w:eastAsia="Calibri"/>
        </w:rPr>
        <w:t>piques (vestiges, monuments, fresques, lieux) et elle charrie les prat</w:t>
      </w:r>
      <w:r w:rsidRPr="00E8358C">
        <w:rPr>
          <w:rFonts w:eastAsia="Calibri"/>
        </w:rPr>
        <w:t>i</w:t>
      </w:r>
      <w:r w:rsidRPr="00E8358C">
        <w:rPr>
          <w:rFonts w:eastAsia="Calibri"/>
        </w:rPr>
        <w:t xml:space="preserve">ques culturelles, politiques et sociales dans les sociétés des anciennes colonies. Bien que cette mémoire </w:t>
      </w:r>
      <w:r w:rsidRPr="00E8358C">
        <w:t>traverse le temps et soit dans l’espace, s</w:t>
      </w:r>
      <w:r w:rsidRPr="00E8358C">
        <w:rPr>
          <w:rFonts w:eastAsia="Calibri"/>
        </w:rPr>
        <w:t xml:space="preserve">a mise en patrimoine </w:t>
      </w:r>
      <w:r w:rsidRPr="00E8358C">
        <w:t xml:space="preserve">soulève beaucoup d’interrogations et suscite des polémiques à travers le monde. Selon Christiane Taubira, elle est « envahissante et absente ». « Elle est </w:t>
      </w:r>
      <w:r w:rsidRPr="00E8358C">
        <w:rPr>
          <w:i/>
        </w:rPr>
        <w:t>envahissante</w:t>
      </w:r>
      <w:r w:rsidRPr="00E8358C">
        <w:t xml:space="preserve"> par rapport à l’environnement, à la connaissance empirique […] et par l’engouement populaire et associatif autour des initiatives de célébr</w:t>
      </w:r>
      <w:r w:rsidRPr="00E8358C">
        <w:t>a</w:t>
      </w:r>
      <w:r w:rsidRPr="00E8358C">
        <w:t xml:space="preserve">tions, notamment associatives. Cette mémoire est aussi </w:t>
      </w:r>
      <w:r w:rsidRPr="00E8358C">
        <w:rPr>
          <w:i/>
        </w:rPr>
        <w:t>absente</w:t>
      </w:r>
      <w:r w:rsidRPr="00E8358C">
        <w:t xml:space="preserve"> parce qu’elle ne traverse pas de façon consciente et réfléchie ni la définition de </w:t>
      </w:r>
      <w:r w:rsidRPr="00E8358C">
        <w:rPr>
          <w:i/>
        </w:rPr>
        <w:t>nous-mêmes</w:t>
      </w:r>
      <w:r>
        <w:t> </w:t>
      </w:r>
      <w:r w:rsidRPr="00E8358C">
        <w:rPr>
          <w:rStyle w:val="Appelnotedebasdep"/>
        </w:rPr>
        <w:footnoteReference w:id="40"/>
      </w:r>
      <w:r w:rsidRPr="00E8358C">
        <w:t>, ni notre rapport avec les autres, ni la façon de con</w:t>
      </w:r>
      <w:r w:rsidRPr="00E8358C">
        <w:t>s</w:t>
      </w:r>
      <w:r w:rsidRPr="00E8358C">
        <w:t>truire un avenir en surmontant lucidement les pesanteurs de cette hi</w:t>
      </w:r>
      <w:r w:rsidRPr="00E8358C">
        <w:t>s</w:t>
      </w:r>
      <w:r w:rsidRPr="00E8358C">
        <w:t>toire »</w:t>
      </w:r>
      <w:r>
        <w:t> </w:t>
      </w:r>
      <w:r w:rsidRPr="00E8358C">
        <w:rPr>
          <w:rStyle w:val="Appelnotedebasdep"/>
        </w:rPr>
        <w:footnoteReference w:id="41"/>
      </w:r>
      <w:r w:rsidRPr="00E8358C">
        <w:t>. Donc, pour reprendre les mots de François Xavier Fauvell-Aynar, on est face à une mémoire qui bricole, occulte et sélectionne</w:t>
      </w:r>
      <w:r>
        <w:t> </w:t>
      </w:r>
      <w:r w:rsidRPr="00E8358C">
        <w:rPr>
          <w:rStyle w:val="Appelnotedebasdep"/>
        </w:rPr>
        <w:footnoteReference w:id="42"/>
      </w:r>
      <w:r w:rsidRPr="00E8358C">
        <w:t>. Et le présent sera le passé dans les minutes qui viennent. Ce que nous disons aujourd’hui constitue déjà des mémoires pour demain qu’on aura à trier ou sélectionner. La nécessité de les conserver dans le pr</w:t>
      </w:r>
      <w:r w:rsidRPr="00E8358C">
        <w:t>é</w:t>
      </w:r>
      <w:r w:rsidRPr="00E8358C">
        <w:t xml:space="preserve">sent et de les transmettre aux générations futures est alors urgente. </w:t>
      </w:r>
    </w:p>
    <w:p w:rsidR="004C50DC" w:rsidRPr="00E8358C" w:rsidRDefault="004C50DC" w:rsidP="004C50DC">
      <w:pPr>
        <w:spacing w:before="120" w:after="120"/>
        <w:jc w:val="both"/>
        <w:rPr>
          <w:rFonts w:eastAsia="Calibri"/>
        </w:rPr>
      </w:pPr>
      <w:r w:rsidRPr="00E8358C">
        <w:t xml:space="preserve">Autant dire que </w:t>
      </w:r>
      <w:r w:rsidRPr="00E8358C">
        <w:rPr>
          <w:rFonts w:eastAsia="Calibri"/>
        </w:rPr>
        <w:t>« ces appels à la mémoire [de l’esclavage dans le cadre de notre recherche] n’ont en eux-mêmes aucune légitimité tant qu’on ne précise pas à quelle fin on compte les utiliser »</w:t>
      </w:r>
      <w:r>
        <w:rPr>
          <w:rFonts w:eastAsia="Calibri"/>
        </w:rPr>
        <w:t> </w:t>
      </w:r>
      <w:r w:rsidRPr="00E8358C">
        <w:rPr>
          <w:rStyle w:val="Appelnotedebasdep"/>
          <w:rFonts w:eastAsia="Calibri"/>
        </w:rPr>
        <w:footnoteReference w:id="43"/>
      </w:r>
      <w:r w:rsidRPr="00E8358C">
        <w:rPr>
          <w:rFonts w:eastAsia="Calibri"/>
        </w:rPr>
        <w:t>. Est-ce ce qui s’est produit avec le projet de la Route de l’esclave en Haïti, qui en reste encore au stade de lettre d’intention entre quelques intelle</w:t>
      </w:r>
      <w:r w:rsidRPr="00E8358C">
        <w:rPr>
          <w:rFonts w:eastAsia="Calibri"/>
        </w:rPr>
        <w:t>c</w:t>
      </w:r>
      <w:r w:rsidRPr="00E8358C">
        <w:rPr>
          <w:rFonts w:eastAsia="Calibri"/>
        </w:rPr>
        <w:t>tuels, politiciens et l’UNESCO, avec quelques colloques  et confére</w:t>
      </w:r>
      <w:r w:rsidRPr="00E8358C">
        <w:rPr>
          <w:rFonts w:eastAsia="Calibri"/>
        </w:rPr>
        <w:t>n</w:t>
      </w:r>
      <w:r w:rsidRPr="00E8358C">
        <w:rPr>
          <w:rFonts w:eastAsia="Calibri"/>
        </w:rPr>
        <w:t>ces ? N’est-ce pas aussi le fondement des propos de Paul Antze et de Michael Lambek qui soutiennent que « la mémoire peut tout à la fois venir renforcer (dans le cas du souvenir) et éreinter (dans le cas de l’oubli) le</w:t>
      </w:r>
      <w:r>
        <w:rPr>
          <w:rFonts w:eastAsia="Calibri"/>
        </w:rPr>
        <w:t xml:space="preserve"> [21]</w:t>
      </w:r>
      <w:r w:rsidRPr="00E8358C">
        <w:rPr>
          <w:rFonts w:eastAsia="Calibri"/>
        </w:rPr>
        <w:t xml:space="preserve"> sentiment d’identité »</w:t>
      </w:r>
      <w:r>
        <w:rPr>
          <w:rFonts w:eastAsia="Calibri"/>
        </w:rPr>
        <w:t> </w:t>
      </w:r>
      <w:r w:rsidRPr="00E8358C">
        <w:rPr>
          <w:rStyle w:val="Appelnotedebasdep"/>
          <w:rFonts w:eastAsia="Calibri"/>
        </w:rPr>
        <w:footnoteReference w:id="44"/>
      </w:r>
      <w:r w:rsidRPr="00E8358C">
        <w:rPr>
          <w:rFonts w:eastAsia="Calibri"/>
        </w:rPr>
        <w:t> ? Joël Candau estime pour sa part qu’« à des mémoires fortes correspondent des identités solides, à des identités fragmentées des mémoires éclatées »</w:t>
      </w:r>
      <w:r>
        <w:rPr>
          <w:rFonts w:eastAsia="Calibri"/>
        </w:rPr>
        <w:t> </w:t>
      </w:r>
      <w:r w:rsidRPr="00E8358C">
        <w:rPr>
          <w:rStyle w:val="Appelnotedebasdep"/>
          <w:rFonts w:eastAsia="Calibri"/>
        </w:rPr>
        <w:footnoteReference w:id="45"/>
      </w:r>
      <w:r w:rsidRPr="00E8358C">
        <w:rPr>
          <w:rFonts w:eastAsia="Calibri"/>
        </w:rPr>
        <w:t>. Toute argume</w:t>
      </w:r>
      <w:r w:rsidRPr="00E8358C">
        <w:rPr>
          <w:rFonts w:eastAsia="Calibri"/>
        </w:rPr>
        <w:t>n</w:t>
      </w:r>
      <w:r w:rsidRPr="00E8358C">
        <w:rPr>
          <w:rFonts w:eastAsia="Calibri"/>
        </w:rPr>
        <w:t>tation peu convaincante pour engager la société haïtienne dans un pr</w:t>
      </w:r>
      <w:r w:rsidRPr="00E8358C">
        <w:rPr>
          <w:rFonts w:eastAsia="Calibri"/>
        </w:rPr>
        <w:t>o</w:t>
      </w:r>
      <w:r w:rsidRPr="00E8358C">
        <w:rPr>
          <w:rFonts w:eastAsia="Calibri"/>
        </w:rPr>
        <w:t>cessus visant à patrimonialiser les représentations de l’esclavage ri</w:t>
      </w:r>
      <w:r w:rsidRPr="00E8358C">
        <w:rPr>
          <w:rFonts w:eastAsia="Calibri"/>
        </w:rPr>
        <w:t>s</w:t>
      </w:r>
      <w:r w:rsidRPr="00E8358C">
        <w:rPr>
          <w:rFonts w:eastAsia="Calibri"/>
        </w:rPr>
        <w:t>querait de « provoquer la panique »</w:t>
      </w:r>
      <w:r>
        <w:rPr>
          <w:rFonts w:eastAsia="Calibri"/>
        </w:rPr>
        <w:t> </w:t>
      </w:r>
      <w:r w:rsidRPr="00E8358C">
        <w:rPr>
          <w:rStyle w:val="Appelnotedebasdep"/>
          <w:rFonts w:eastAsia="Calibri"/>
        </w:rPr>
        <w:footnoteReference w:id="46"/>
      </w:r>
      <w:r w:rsidRPr="00E8358C">
        <w:rPr>
          <w:rFonts w:eastAsia="Calibri"/>
        </w:rPr>
        <w:t>.</w:t>
      </w:r>
    </w:p>
    <w:p w:rsidR="004C50DC" w:rsidRPr="00E8358C" w:rsidRDefault="004C50DC" w:rsidP="004C50DC">
      <w:pPr>
        <w:spacing w:before="120" w:after="120"/>
        <w:jc w:val="both"/>
      </w:pPr>
      <w:r w:rsidRPr="00E8358C">
        <w:rPr>
          <w:rFonts w:eastAsia="Calibri"/>
        </w:rPr>
        <w:t xml:space="preserve">Le travail de mémoire doit aider à construire solidement l’identité d’un peuple ou d’une communauté. </w:t>
      </w:r>
      <w:r w:rsidRPr="00E8358C">
        <w:t>Dans ce contexte, comme l’a écrit Jacques Le Goff, la mémoire contribuera à « chercher à sauver le pa</w:t>
      </w:r>
      <w:r w:rsidRPr="00E8358C">
        <w:t>s</w:t>
      </w:r>
      <w:r w:rsidRPr="00E8358C">
        <w:t>sé pour servir au présent et à l’avenir »</w:t>
      </w:r>
      <w:r>
        <w:t> </w:t>
      </w:r>
      <w:r w:rsidRPr="00E8358C">
        <w:rPr>
          <w:rStyle w:val="Appelnotedebasdep"/>
        </w:rPr>
        <w:footnoteReference w:id="47"/>
      </w:r>
      <w:r w:rsidRPr="00E8358C">
        <w:t>. Et si l’on croit que l</w:t>
      </w:r>
      <w:r w:rsidRPr="00E8358C">
        <w:rPr>
          <w:bCs/>
        </w:rPr>
        <w:t>a m</w:t>
      </w:r>
      <w:r w:rsidRPr="00E8358C">
        <w:rPr>
          <w:bCs/>
        </w:rPr>
        <w:t>é</w:t>
      </w:r>
      <w:r w:rsidRPr="00E8358C">
        <w:rPr>
          <w:bCs/>
        </w:rPr>
        <w:t>moire</w:t>
      </w:r>
      <w:r w:rsidRPr="00E8358C">
        <w:t xml:space="preserve"> est un patrimoine mental, la mémoire collective doit aider à la libération et non à l’asservissement des hommes. Elle doit assurer la c</w:t>
      </w:r>
      <w:r w:rsidRPr="00E8358C">
        <w:t>o</w:t>
      </w:r>
      <w:r w:rsidRPr="00E8358C">
        <w:t>hésion des individus dans un groupe ou dans une société et peut insp</w:t>
      </w:r>
      <w:r w:rsidRPr="00E8358C">
        <w:t>i</w:t>
      </w:r>
      <w:r w:rsidRPr="00E8358C">
        <w:t>rer leurs actions présentes</w:t>
      </w:r>
      <w:r>
        <w:t> </w:t>
      </w:r>
      <w:r w:rsidRPr="00E8358C">
        <w:rPr>
          <w:rStyle w:val="Appelnotedebasdep"/>
        </w:rPr>
        <w:footnoteReference w:id="48"/>
      </w:r>
      <w:r w:rsidRPr="00E8358C">
        <w:t>. Ici, il paraît important de mettre en garde contre cet effet pervers de la patrimonialisation de la mémoire de l’esclavage qui consiste à trop rappeler la pratique dégradante et les effets psychologiques, ou à fournir des repères pour stigmatiser d</w:t>
      </w:r>
      <w:r w:rsidRPr="00E8358C">
        <w:t>a</w:t>
      </w:r>
      <w:r w:rsidRPr="00E8358C">
        <w:t>vantage les héritiers de ce triste passé. Il faut éviter toute forme d’</w:t>
      </w:r>
      <w:r w:rsidRPr="00E8358C">
        <w:rPr>
          <w:i/>
        </w:rPr>
        <w:t>esclavagisation de la mémoire</w:t>
      </w:r>
      <w:r w:rsidRPr="00E8358C">
        <w:t xml:space="preserve"> par le seul rappel fulgurant et syst</w:t>
      </w:r>
      <w:r w:rsidRPr="00E8358C">
        <w:t>é</w:t>
      </w:r>
      <w:r w:rsidRPr="00E8358C">
        <w:t xml:space="preserve">matique des atrocités, des douleurs, des souffrances et des méfaits dans les sociétés libérées du colonialisme. La mémoire de l’esclavage doit aussi intégrer et aider à comprendre la libération physique des esclaves et la libération psychologique des descendants d’esclave. </w:t>
      </w:r>
    </w:p>
    <w:p w:rsidR="004C50DC" w:rsidRPr="00E8358C" w:rsidRDefault="004C50DC" w:rsidP="004C50DC">
      <w:pPr>
        <w:spacing w:before="120" w:after="120"/>
        <w:jc w:val="both"/>
      </w:pPr>
      <w:r w:rsidRPr="00E8358C">
        <w:t>La mémoire est d’abord du souvenir. La remémoration s’installe alors dans le présent et contribue à construire et à représenter l’individu ou la communauté. Paul Ricœur, s’inspirant de Sigmund Freud, relate que « le souvenir ne porte pas seulement sur le temps : il demande aussi du temps – un temps de deuil »</w:t>
      </w:r>
      <w:r>
        <w:t> </w:t>
      </w:r>
      <w:r>
        <w:rPr>
          <w:rStyle w:val="Appelnotedebasdep"/>
        </w:rPr>
        <w:footnoteReference w:id="49"/>
      </w:r>
      <w:r w:rsidRPr="00E8358C">
        <w:t>. Pour Sigmund Freud, « le deuil est régulièrement la réaction à la perte d’une perso</w:t>
      </w:r>
      <w:r w:rsidRPr="00E8358C">
        <w:t>n</w:t>
      </w:r>
      <w:r w:rsidRPr="00E8358C">
        <w:t>ne aimée ou d’une abstraction mise à</w:t>
      </w:r>
      <w:r>
        <w:t xml:space="preserve"> [22]</w:t>
      </w:r>
      <w:r w:rsidRPr="00E8358C">
        <w:t xml:space="preserve"> sa place, la patrie, la liberté, un idéal, etc. »</w:t>
      </w:r>
      <w:r>
        <w:t> </w:t>
      </w:r>
      <w:r>
        <w:rPr>
          <w:rStyle w:val="Appelnotedebasdep"/>
        </w:rPr>
        <w:footnoteReference w:id="50"/>
      </w:r>
      <w:r w:rsidRPr="00E8358C">
        <w:rPr>
          <w:rStyle w:val="a-size-large"/>
        </w:rPr>
        <w:t>.</w:t>
      </w:r>
      <w:r w:rsidRPr="00E8358C">
        <w:t xml:space="preserve"> Donc, la mémoire est une trace cognitive d’un év</w:t>
      </w:r>
      <w:r w:rsidRPr="00E8358C">
        <w:t>é</w:t>
      </w:r>
      <w:r w:rsidRPr="00E8358C">
        <w:t>nement passé, enraciné dans les esprits et dans les cadres matériels qui favor</w:t>
      </w:r>
      <w:r w:rsidRPr="00E8358C">
        <w:t>i</w:t>
      </w:r>
      <w:r w:rsidRPr="00E8358C">
        <w:t>sent la remémoration et la patrimonialisation.Alors, « la fuite du temps crée une perte, le passé, que la mémoire tente de combler par les so</w:t>
      </w:r>
      <w:r w:rsidRPr="00E8358C">
        <w:t>u</w:t>
      </w:r>
      <w:r w:rsidRPr="00E8358C">
        <w:t>venirs et la remémoration […] »</w:t>
      </w:r>
      <w:r>
        <w:t> </w:t>
      </w:r>
      <w:r w:rsidRPr="00E8358C">
        <w:rPr>
          <w:rStyle w:val="Appelnotedebasdep"/>
        </w:rPr>
        <w:footnoteReference w:id="51"/>
      </w:r>
      <w:r w:rsidRPr="00E8358C">
        <w:t xml:space="preserve"> dans le présent. </w:t>
      </w:r>
    </w:p>
    <w:p w:rsidR="004C50DC" w:rsidRPr="00E8358C" w:rsidRDefault="004C50DC" w:rsidP="004C50DC">
      <w:pPr>
        <w:spacing w:before="120" w:after="120"/>
        <w:jc w:val="both"/>
        <w:rPr>
          <w:rFonts w:eastAsia="Calibri"/>
          <w:iCs/>
        </w:rPr>
      </w:pPr>
      <w:r w:rsidRPr="00E8358C">
        <w:t>L</w:t>
      </w:r>
      <w:r w:rsidRPr="00E8358C">
        <w:rPr>
          <w:rFonts w:eastAsia="Calibri"/>
        </w:rPr>
        <w:t>’objet matériel influence et modèle souvent la mémoire. Les ve</w:t>
      </w:r>
      <w:r w:rsidRPr="00E8358C">
        <w:rPr>
          <w:rFonts w:eastAsia="Calibri"/>
        </w:rPr>
        <w:t>s</w:t>
      </w:r>
      <w:r w:rsidRPr="00E8358C">
        <w:rPr>
          <w:rFonts w:eastAsia="Calibri"/>
        </w:rPr>
        <w:t>tiges des habitations coloniales et des fortifications doivent permettre de comprendre la valeur patrimoniale des mémoires de l’esclavage aujourd’hui, car « la mémoire collective ne retient du passé que ce qui est vivant »</w:t>
      </w:r>
      <w:r>
        <w:rPr>
          <w:rFonts w:eastAsia="Calibri"/>
        </w:rPr>
        <w:t> </w:t>
      </w:r>
      <w:r w:rsidRPr="00E8358C">
        <w:rPr>
          <w:rStyle w:val="Appelnotedebasdep"/>
          <w:rFonts w:eastAsia="Calibri"/>
        </w:rPr>
        <w:footnoteReference w:id="52"/>
      </w:r>
      <w:r w:rsidRPr="00E8358C">
        <w:rPr>
          <w:rFonts w:eastAsia="Calibri"/>
        </w:rPr>
        <w:t>. Nous ajoutons, pour ce qui est des représentations de l’esclavage en Haïti, que cette mémoire collective ne retient que ce qui est vécu ou observé. Elle s’alimente « d’une mémoire de l’expérience »</w:t>
      </w:r>
      <w:r>
        <w:rPr>
          <w:rFonts w:eastAsia="Calibri"/>
        </w:rPr>
        <w:t> </w:t>
      </w:r>
      <w:r w:rsidRPr="00E8358C">
        <w:rPr>
          <w:rStyle w:val="Appelnotedebasdep"/>
          <w:rFonts w:eastAsia="Calibri"/>
        </w:rPr>
        <w:footnoteReference w:id="53"/>
      </w:r>
      <w:r w:rsidRPr="00E8358C">
        <w:rPr>
          <w:rFonts w:eastAsia="Calibri"/>
        </w:rPr>
        <w:t xml:space="preserve"> saisissable dans les pratiques politiques, sociales et culturelles vivantes, transmises, disponibles et mobilisables. De m</w:t>
      </w:r>
      <w:r w:rsidRPr="00E8358C">
        <w:rPr>
          <w:rFonts w:eastAsia="Calibri"/>
        </w:rPr>
        <w:t>ê</w:t>
      </w:r>
      <w:r w:rsidRPr="00E8358C">
        <w:rPr>
          <w:rFonts w:eastAsia="Calibri"/>
        </w:rPr>
        <w:t>me, Laurier Turgeon soutient que la mémoire collective est investie dans des lieux concrets et que ceux-ci évoquent à leur tour la mémoire en lui servant de support</w:t>
      </w:r>
      <w:r>
        <w:rPr>
          <w:rFonts w:eastAsia="Calibri"/>
        </w:rPr>
        <w:t> </w:t>
      </w:r>
      <w:r w:rsidRPr="00E8358C">
        <w:rPr>
          <w:rStyle w:val="Appelnotedebasdep"/>
          <w:rFonts w:eastAsia="Calibri"/>
        </w:rPr>
        <w:footnoteReference w:id="54"/>
      </w:r>
      <w:r w:rsidRPr="00E8358C">
        <w:rPr>
          <w:rFonts w:eastAsia="Calibri"/>
        </w:rPr>
        <w:t>. Donc, l</w:t>
      </w:r>
      <w:r w:rsidRPr="00E8358C">
        <w:rPr>
          <w:rFonts w:eastAsia="Calibri"/>
          <w:iCs/>
        </w:rPr>
        <w:t>’esprit construit le lieu et, en m</w:t>
      </w:r>
      <w:r w:rsidRPr="00E8358C">
        <w:rPr>
          <w:rFonts w:eastAsia="Calibri"/>
          <w:iCs/>
        </w:rPr>
        <w:t>ê</w:t>
      </w:r>
      <w:r w:rsidRPr="00E8358C">
        <w:rPr>
          <w:rFonts w:eastAsia="Calibri"/>
          <w:iCs/>
        </w:rPr>
        <w:t>me temps, le lieu investit et structure l’esprit. Les monuments, les bât</w:t>
      </w:r>
      <w:r w:rsidRPr="00E8358C">
        <w:rPr>
          <w:rFonts w:eastAsia="Calibri"/>
          <w:iCs/>
        </w:rPr>
        <w:t>i</w:t>
      </w:r>
      <w:r w:rsidRPr="00E8358C">
        <w:rPr>
          <w:rFonts w:eastAsia="Calibri"/>
          <w:iCs/>
        </w:rPr>
        <w:t>ments, les vestiges concrétisent et prolongent dans le temps la mémo</w:t>
      </w:r>
      <w:r w:rsidRPr="00E8358C">
        <w:rPr>
          <w:rFonts w:eastAsia="Calibri"/>
          <w:iCs/>
        </w:rPr>
        <w:t>i</w:t>
      </w:r>
      <w:r w:rsidRPr="00E8358C">
        <w:rPr>
          <w:rFonts w:eastAsia="Calibri"/>
          <w:iCs/>
        </w:rPr>
        <w:t>re de l’occupation et servent d’outils mnémoniques. « L’esprit du lieu » constitue une relation dynamique et un processus humain v</w:t>
      </w:r>
      <w:r w:rsidRPr="00E8358C">
        <w:rPr>
          <w:rFonts w:eastAsia="Calibri"/>
          <w:iCs/>
        </w:rPr>
        <w:t>i</w:t>
      </w:r>
      <w:r w:rsidRPr="00E8358C">
        <w:rPr>
          <w:rFonts w:eastAsia="Calibri"/>
          <w:iCs/>
        </w:rPr>
        <w:t>vant</w:t>
      </w:r>
      <w:r>
        <w:rPr>
          <w:rFonts w:eastAsia="Calibri"/>
          <w:iCs/>
        </w:rPr>
        <w:t> </w:t>
      </w:r>
      <w:r w:rsidRPr="00E8358C">
        <w:rPr>
          <w:rStyle w:val="Appelnotedebasdep"/>
          <w:rFonts w:eastAsia="Calibri"/>
          <w:iCs/>
        </w:rPr>
        <w:footnoteReference w:id="55"/>
      </w:r>
      <w:r w:rsidRPr="00E8358C">
        <w:rPr>
          <w:rFonts w:eastAsia="Calibri"/>
          <w:iCs/>
        </w:rPr>
        <w:t>.</w:t>
      </w:r>
    </w:p>
    <w:p w:rsidR="004C50DC" w:rsidRPr="00E8358C" w:rsidRDefault="004C50DC" w:rsidP="004C50DC">
      <w:pPr>
        <w:spacing w:before="120" w:after="120"/>
        <w:jc w:val="both"/>
        <w:rPr>
          <w:rFonts w:eastAsia="Calibri"/>
        </w:rPr>
      </w:pPr>
      <w:r w:rsidRPr="00E8358C">
        <w:rPr>
          <w:rFonts w:eastAsia="Calibri"/>
        </w:rPr>
        <w:t>Nous sommes amené à nous interroger sur la place accordée en Haïti au passé colonial esclavagiste dans la « mémoire collective » par rapport à la « mémoire officielle » à un</w:t>
      </w:r>
      <w:r>
        <w:rPr>
          <w:rFonts w:eastAsia="Calibri"/>
        </w:rPr>
        <w:t xml:space="preserve"> [23]</w:t>
      </w:r>
      <w:r w:rsidRPr="00E8358C">
        <w:rPr>
          <w:rFonts w:eastAsia="Calibri"/>
        </w:rPr>
        <w:t xml:space="preserve"> moment où la deuxième veut occulter ou occulte la première. Pour Christine Chivallon, cette mémoire officielle peut être « le résultat d’une instrumentalisation des signes destinés à confirmer une représentation du corps social. Sa v</w:t>
      </w:r>
      <w:r w:rsidRPr="00E8358C">
        <w:rPr>
          <w:rFonts w:eastAsia="Calibri"/>
        </w:rPr>
        <w:t>i</w:t>
      </w:r>
      <w:r w:rsidRPr="00E8358C">
        <w:rPr>
          <w:rFonts w:eastAsia="Calibri"/>
        </w:rPr>
        <w:t>sée reste la maîtrise du corps social, même quand il s’agit de corriger-réformer la vue développée par les prédécesseurs »</w:t>
      </w:r>
      <w:r>
        <w:rPr>
          <w:rFonts w:eastAsia="Calibri"/>
        </w:rPr>
        <w:t> </w:t>
      </w:r>
      <w:r w:rsidRPr="00E8358C">
        <w:rPr>
          <w:rStyle w:val="Appelnotedebasdep"/>
          <w:rFonts w:eastAsia="Calibri"/>
        </w:rPr>
        <w:footnoteReference w:id="56"/>
      </w:r>
      <w:r w:rsidRPr="00E8358C">
        <w:rPr>
          <w:rFonts w:eastAsia="Calibri"/>
        </w:rPr>
        <w:t>. En fait, le corps social haïtien fait l’objet, depuis 1804, d’un contrôle de l’histoire et de la mémoire qui crée et maintient une réelle cloison entre les élites d</w:t>
      </w:r>
      <w:r w:rsidRPr="00E8358C">
        <w:rPr>
          <w:rFonts w:eastAsia="Calibri"/>
        </w:rPr>
        <w:t>i</w:t>
      </w:r>
      <w:r w:rsidRPr="00E8358C">
        <w:rPr>
          <w:rFonts w:eastAsia="Calibri"/>
        </w:rPr>
        <w:t xml:space="preserve">rigeantes et la masse populaire. La complexité de la relation entre la mémoire populaire et la mémoire officielle est au cœur de l’incompréhension de l’Autre et de l’absence de la volonté de refonder la nation. </w:t>
      </w:r>
    </w:p>
    <w:p w:rsidR="004C50DC" w:rsidRPr="00E8358C" w:rsidRDefault="004C50DC" w:rsidP="004C50DC">
      <w:pPr>
        <w:spacing w:before="120" w:after="120"/>
        <w:jc w:val="both"/>
        <w:rPr>
          <w:rFonts w:eastAsia="Calibri"/>
        </w:rPr>
      </w:pPr>
      <w:r w:rsidRPr="00E8358C">
        <w:t>La considération de la mémoire nous amène à nous pencher aussi sur la notion des « lieux de mémoire ». Cette notion est abordée de diverses manières en sciences sociales et humaines.</w:t>
      </w:r>
      <w:r w:rsidRPr="00E8358C">
        <w:rPr>
          <w:rFonts w:eastAsia="Calibri"/>
        </w:rPr>
        <w:t xml:space="preserve"> L’étude de Ma</w:t>
      </w:r>
      <w:r w:rsidRPr="00E8358C">
        <w:rPr>
          <w:rFonts w:eastAsia="Calibri"/>
        </w:rPr>
        <w:t>u</w:t>
      </w:r>
      <w:r w:rsidRPr="00E8358C">
        <w:rPr>
          <w:rFonts w:eastAsia="Calibri"/>
        </w:rPr>
        <w:t>rice Halbwachs</w:t>
      </w:r>
      <w:r>
        <w:rPr>
          <w:rFonts w:eastAsia="Calibri"/>
        </w:rPr>
        <w:t> </w:t>
      </w:r>
      <w:r w:rsidRPr="00E8358C">
        <w:rPr>
          <w:rStyle w:val="Appelnotedebasdep"/>
          <w:rFonts w:eastAsia="Calibri"/>
        </w:rPr>
        <w:footnoteReference w:id="57"/>
      </w:r>
      <w:r w:rsidRPr="00E8358C">
        <w:rPr>
          <w:rFonts w:eastAsia="Calibri"/>
        </w:rPr>
        <w:t xml:space="preserve"> nous la présente comme une histoire des usages m</w:t>
      </w:r>
      <w:r w:rsidRPr="00E8358C">
        <w:rPr>
          <w:rFonts w:eastAsia="Calibri"/>
        </w:rPr>
        <w:t>a</w:t>
      </w:r>
      <w:r w:rsidRPr="00E8358C">
        <w:rPr>
          <w:rFonts w:eastAsia="Calibri"/>
        </w:rPr>
        <w:t>tériels du passé dans les présents successifs. Le passé ne saurait être appréhendé et compris que par la présence des hommes et des lieux. Ainsi, les sites historiques, les vestiges des habitations coloniales et des fortifications peuvent constituer des supports qui doivent perme</w:t>
      </w:r>
      <w:r w:rsidRPr="00E8358C">
        <w:rPr>
          <w:rFonts w:eastAsia="Calibri"/>
        </w:rPr>
        <w:t>t</w:t>
      </w:r>
      <w:r w:rsidRPr="00E8358C">
        <w:rPr>
          <w:rFonts w:eastAsia="Calibri"/>
        </w:rPr>
        <w:t>tre de fixer et de mieux appréhender la mémoire de l’esclavage en Haïti tout en facilitant des relations harmonieuses entre la matérialité des vestiges en tant qu’objets et l’immatérialité de la mémoire à p</w:t>
      </w:r>
      <w:r w:rsidRPr="00E8358C">
        <w:rPr>
          <w:rFonts w:eastAsia="Calibri"/>
        </w:rPr>
        <w:t>a</w:t>
      </w:r>
      <w:r w:rsidRPr="00E8358C">
        <w:rPr>
          <w:rFonts w:eastAsia="Calibri"/>
        </w:rPr>
        <w:t xml:space="preserve">trimonialiser.  </w:t>
      </w:r>
    </w:p>
    <w:p w:rsidR="004C50DC" w:rsidRPr="00E8358C" w:rsidRDefault="004C50DC" w:rsidP="004C50DC">
      <w:pPr>
        <w:spacing w:before="120" w:after="120"/>
        <w:jc w:val="both"/>
      </w:pPr>
      <w:r w:rsidRPr="00E8358C">
        <w:t>Pierre Nora et Laurent Lepaludier nous entraînent aussi dans un débat sur les lieux de mémoire considérés comme des « aide-mémoires servant à rappeler des lieux, des personnes et des évén</w:t>
      </w:r>
      <w:r w:rsidRPr="00E8358C">
        <w:t>e</w:t>
      </w:r>
      <w:r w:rsidRPr="00E8358C">
        <w:t>ments significatifs pour développer le phénomène de réappropriation chez le visiteur »</w:t>
      </w:r>
      <w:r>
        <w:t> </w:t>
      </w:r>
      <w:r w:rsidRPr="00E8358C">
        <w:rPr>
          <w:rStyle w:val="Appelnotedebasdep"/>
        </w:rPr>
        <w:footnoteReference w:id="58"/>
      </w:r>
      <w:r w:rsidRPr="00E8358C">
        <w:t xml:space="preserve"> ou « contribuer à structurer le souvenir autour de lui »</w:t>
      </w:r>
      <w:r>
        <w:t> </w:t>
      </w:r>
      <w:r w:rsidRPr="00E8358C">
        <w:rPr>
          <w:rStyle w:val="Appelnotedebasdep"/>
        </w:rPr>
        <w:footnoteReference w:id="59"/>
      </w:r>
      <w:r w:rsidRPr="00E8358C">
        <w:t xml:space="preserve">. </w:t>
      </w:r>
      <w:r w:rsidRPr="00E8358C">
        <w:rPr>
          <w:rFonts w:eastAsia="Calibri"/>
        </w:rPr>
        <w:t>Ces lieux doivent être étudiés comme des points de cristallis</w:t>
      </w:r>
      <w:r w:rsidRPr="00E8358C">
        <w:rPr>
          <w:rFonts w:eastAsia="Calibri"/>
        </w:rPr>
        <w:t>a</w:t>
      </w:r>
      <w:r w:rsidRPr="00E8358C">
        <w:rPr>
          <w:rFonts w:eastAsia="Calibri"/>
        </w:rPr>
        <w:t>tion d’une nation dans sa permanence, mais aussi dans sa dynamique intégratrice</w:t>
      </w:r>
      <w:r>
        <w:rPr>
          <w:rFonts w:eastAsia="Calibri"/>
        </w:rPr>
        <w:t> </w:t>
      </w:r>
      <w:r w:rsidRPr="00E8358C">
        <w:rPr>
          <w:rStyle w:val="Appelnotedebasdep"/>
          <w:rFonts w:eastAsia="Calibri"/>
        </w:rPr>
        <w:footnoteReference w:id="60"/>
      </w:r>
      <w:r w:rsidRPr="00E8358C">
        <w:rPr>
          <w:rFonts w:eastAsia="Calibri"/>
        </w:rPr>
        <w:t xml:space="preserve">. Autrement dit, les lieux de mémoire retenus dans cette thèse sont appelés à interpeller la mémoire collective haïtienne </w:t>
      </w:r>
      <w:r>
        <w:rPr>
          <w:rFonts w:eastAsia="Calibri"/>
        </w:rPr>
        <w:t xml:space="preserve">[24] </w:t>
      </w:r>
      <w:r w:rsidRPr="00E8358C">
        <w:rPr>
          <w:rFonts w:eastAsia="Calibri"/>
        </w:rPr>
        <w:t>dans un souci de réappropriation d’un passé qui mérite d’être étudié pour comprendre le présent, étant donné que la mémoire est une r</w:t>
      </w:r>
      <w:r w:rsidRPr="00E8358C">
        <w:rPr>
          <w:rFonts w:eastAsia="Calibri"/>
        </w:rPr>
        <w:t>e</w:t>
      </w:r>
      <w:r w:rsidRPr="00E8358C">
        <w:rPr>
          <w:rFonts w:eastAsia="Calibri"/>
        </w:rPr>
        <w:t xml:space="preserve">construction perpétuelle et actualisée du passé. Justement, Bogumil Jewsiewicki Koss </w:t>
      </w:r>
      <w:r w:rsidRPr="00E8358C">
        <w:rPr>
          <w:rFonts w:eastAsia="Calibri"/>
          <w:iCs/>
        </w:rPr>
        <w:t xml:space="preserve">soutient </w:t>
      </w:r>
      <w:r w:rsidRPr="00E8358C">
        <w:rPr>
          <w:rFonts w:eastAsia="Calibri"/>
        </w:rPr>
        <w:t>que les lieux de mémoire peuvent être ét</w:t>
      </w:r>
      <w:r w:rsidRPr="00E8358C">
        <w:rPr>
          <w:rFonts w:eastAsia="Calibri"/>
        </w:rPr>
        <w:t>u</w:t>
      </w:r>
      <w:r w:rsidRPr="00E8358C">
        <w:rPr>
          <w:rFonts w:eastAsia="Calibri"/>
        </w:rPr>
        <w:t>diés selon trois sens du mot : « matériel, symbolique et fonctio</w:t>
      </w:r>
      <w:r w:rsidRPr="00E8358C">
        <w:rPr>
          <w:rFonts w:eastAsia="Calibri"/>
        </w:rPr>
        <w:t>n</w:t>
      </w:r>
      <w:r w:rsidRPr="00E8358C">
        <w:rPr>
          <w:rFonts w:eastAsia="Calibri"/>
        </w:rPr>
        <w:t>nel »</w:t>
      </w:r>
      <w:r>
        <w:rPr>
          <w:rFonts w:eastAsia="Calibri"/>
        </w:rPr>
        <w:t> </w:t>
      </w:r>
      <w:r w:rsidRPr="00E8358C">
        <w:rPr>
          <w:rStyle w:val="Appelnotedebasdep"/>
          <w:rFonts w:eastAsia="Calibri"/>
        </w:rPr>
        <w:footnoteReference w:id="61"/>
      </w:r>
      <w:r w:rsidRPr="00E8358C">
        <w:rPr>
          <w:rFonts w:eastAsia="Calibri"/>
        </w:rPr>
        <w:t>. Ils sont mixtes, hybrides, mutants, travaillés par le temps et le changement</w:t>
      </w:r>
      <w:r w:rsidRPr="00E8358C">
        <w:rPr>
          <w:rStyle w:val="Appelnotedebasdep"/>
          <w:rFonts w:eastAsia="Calibri"/>
        </w:rPr>
        <w:footnoteReference w:id="62"/>
      </w:r>
      <w:r w:rsidRPr="00E8358C">
        <w:rPr>
          <w:rFonts w:eastAsia="Calibri"/>
        </w:rPr>
        <w:t xml:space="preserve">. </w:t>
      </w:r>
      <w:r w:rsidRPr="00E8358C">
        <w:t>La mémoire renvoie à ce rapport au temps. Elle est une pr</w:t>
      </w:r>
      <w:r w:rsidRPr="00E8358C">
        <w:t>o</w:t>
      </w:r>
      <w:r w:rsidRPr="00E8358C">
        <w:t>priété qui nous permet de rendre présent l’absent advenu dans un autre temps, elle est donc toujours anachronique</w:t>
      </w:r>
      <w:r>
        <w:t> </w:t>
      </w:r>
      <w:r>
        <w:rPr>
          <w:rStyle w:val="Appelnotedebasdep"/>
        </w:rPr>
        <w:footnoteReference w:id="63"/>
      </w:r>
      <w:r w:rsidRPr="00E8358C">
        <w:t xml:space="preserve">. </w:t>
      </w:r>
    </w:p>
    <w:p w:rsidR="004C50DC" w:rsidRPr="001D79C9" w:rsidRDefault="004C50DC" w:rsidP="004C50DC">
      <w:pPr>
        <w:spacing w:before="120" w:after="120"/>
        <w:jc w:val="both"/>
        <w:rPr>
          <w:rFonts w:eastAsia="Calibri"/>
        </w:rPr>
      </w:pPr>
      <w:r w:rsidRPr="001D79C9">
        <w:t>Pour répondre à la question récurrente – peut-on parler de patr</w:t>
      </w:r>
      <w:r w:rsidRPr="001D79C9">
        <w:t>i</w:t>
      </w:r>
      <w:r w:rsidRPr="001D79C9">
        <w:t>moine dans le cas précis de la mémoire de l’esclavage ? – il est impo</w:t>
      </w:r>
      <w:r w:rsidRPr="001D79C9">
        <w:t>r</w:t>
      </w:r>
      <w:r w:rsidRPr="001D79C9">
        <w:t>tant de rapprocher les deux acceptions du terme patrimoine afin de mieux situer notre propos. Selon Vincent Veschambre, le patrimoine revêt un sens classique évoquant les richesses accumulées et transm</w:t>
      </w:r>
      <w:r w:rsidRPr="001D79C9">
        <w:t>i</w:t>
      </w:r>
      <w:r w:rsidRPr="001D79C9">
        <w:t>ses au sein des familles, et un autre sens plus récent désignant par an</w:t>
      </w:r>
      <w:r w:rsidRPr="001D79C9">
        <w:t>a</w:t>
      </w:r>
      <w:r w:rsidRPr="001D79C9">
        <w:t>logie les héritages culturels (matériel et immatériel) collectifs transmis entre les générations, au sein d’un même groupe, d’une même société, voire de l’humanité tout entière</w:t>
      </w:r>
      <w:r>
        <w:t> </w:t>
      </w:r>
      <w:r>
        <w:rPr>
          <w:rStyle w:val="Appelnotedebasdep"/>
        </w:rPr>
        <w:footnoteReference w:id="64"/>
      </w:r>
      <w:r w:rsidRPr="001D79C9">
        <w:t>. La deuxième acception est celle que nous privilégions et opérationnalisons dans notre recherche. La notion de patrimoine est employée comme un ensemble constitué d’éléments matériels et immatériels présentés et perçus comme un h</w:t>
      </w:r>
      <w:r w:rsidRPr="001D79C9">
        <w:t>é</w:t>
      </w:r>
      <w:r w:rsidRPr="001D79C9">
        <w:t>ritage qui participe activement à la définition et à la transmission de l’identité. Laurier Turgeon et André Charbonneau pensent bien avant nous qu’il est devenu « le synonyme de l’identité »</w:t>
      </w:r>
      <w:r>
        <w:t> </w:t>
      </w:r>
      <w:r>
        <w:rPr>
          <w:rStyle w:val="Appelnotedebasdep"/>
        </w:rPr>
        <w:footnoteReference w:id="65"/>
      </w:r>
      <w:r w:rsidRPr="001D79C9">
        <w:t xml:space="preserve"> et qu’il est « une constru</w:t>
      </w:r>
      <w:r w:rsidRPr="001D79C9">
        <w:t>c</w:t>
      </w:r>
      <w:r w:rsidRPr="001D79C9">
        <w:t xml:space="preserve">tion, faite et refaite par des </w:t>
      </w:r>
      <w:r w:rsidRPr="001D79C9">
        <w:rPr>
          <w:rFonts w:eastAsia="Calibri"/>
        </w:rPr>
        <w:t>acteurs sociaux »</w:t>
      </w:r>
      <w:r>
        <w:rPr>
          <w:rFonts w:eastAsia="Calibri"/>
        </w:rPr>
        <w:t> </w:t>
      </w:r>
      <w:r>
        <w:rPr>
          <w:rStyle w:val="Appelnotedebasdep"/>
          <w:rFonts w:eastAsia="Calibri"/>
        </w:rPr>
        <w:footnoteReference w:id="66"/>
      </w:r>
      <w:r w:rsidRPr="001D79C9">
        <w:rPr>
          <w:rFonts w:eastAsia="Calibri"/>
        </w:rPr>
        <w:t xml:space="preserve">. </w:t>
      </w:r>
    </w:p>
    <w:p w:rsidR="004C50DC" w:rsidRPr="00E8358C" w:rsidRDefault="004C50DC" w:rsidP="004C50DC">
      <w:pPr>
        <w:spacing w:before="120" w:after="120"/>
        <w:jc w:val="both"/>
        <w:rPr>
          <w:shd w:val="clear" w:color="auto" w:fill="FFFFFF"/>
        </w:rPr>
      </w:pPr>
      <w:r w:rsidRPr="001D79C9">
        <w:rPr>
          <w:rFonts w:eastAsia="Calibri"/>
        </w:rPr>
        <w:t>Une élite dirigeante dans sa grande majorité construit encore son identité sur les valeurs de [25] la résistance au système esclavagiste. C’est un élément quotidien de survie et de construction des rapports sociaux. Donc, pour comprendre le patrimoine de la mémoire de l’esclavage, il faut l’analyser au prisme de son sens prédominant de résistance. Justement, Bogumil Jewsiewicki soutient que le patrimoine participe à « la constitution, à la reproduction et à la représentation de l’acteur alors qu’il négocie, représente et légitime le lien social »</w:t>
      </w:r>
      <w:r>
        <w:rPr>
          <w:rFonts w:eastAsia="Calibri"/>
        </w:rPr>
        <w:t> </w:t>
      </w:r>
      <w:r>
        <w:rPr>
          <w:rStyle w:val="Appelnotedebasdep"/>
          <w:rFonts w:eastAsia="Calibri"/>
        </w:rPr>
        <w:footnoteReference w:id="67"/>
      </w:r>
      <w:r w:rsidRPr="00E8358C">
        <w:rPr>
          <w:rFonts w:eastAsia="Calibri"/>
        </w:rPr>
        <w:t>. Aujourd’hui, le patrimoine est devenu synonyme de lien social et est partout : de la mobilisation des corps politiques à l’institution culture</w:t>
      </w:r>
      <w:r w:rsidRPr="00E8358C">
        <w:rPr>
          <w:rFonts w:eastAsia="Calibri"/>
        </w:rPr>
        <w:t>l</w:t>
      </w:r>
      <w:r w:rsidRPr="00E8358C">
        <w:rPr>
          <w:rFonts w:eastAsia="Calibri"/>
        </w:rPr>
        <w:t>le</w:t>
      </w:r>
      <w:r>
        <w:rPr>
          <w:rFonts w:eastAsia="Calibri"/>
        </w:rPr>
        <w:t> </w:t>
      </w:r>
      <w:r w:rsidRPr="00E8358C">
        <w:rPr>
          <w:rStyle w:val="Appelnotedebasdep"/>
          <w:rFonts w:eastAsia="Calibri"/>
        </w:rPr>
        <w:footnoteReference w:id="68"/>
      </w:r>
      <w:r w:rsidRPr="00E8358C">
        <w:rPr>
          <w:rFonts w:eastAsia="Calibri"/>
        </w:rPr>
        <w:t xml:space="preserve">. </w:t>
      </w:r>
    </w:p>
    <w:p w:rsidR="004C50DC" w:rsidRPr="00E8358C" w:rsidRDefault="004C50DC" w:rsidP="004C50DC">
      <w:pPr>
        <w:spacing w:before="120" w:after="120"/>
        <w:jc w:val="both"/>
        <w:rPr>
          <w:rFonts w:eastAsia="Calibri"/>
        </w:rPr>
      </w:pPr>
      <w:r w:rsidRPr="00E8358C">
        <w:rPr>
          <w:rFonts w:eastAsia="Calibri"/>
        </w:rPr>
        <w:t>Dans cette recherche, le patrimoine doit prendre en compte la pa</w:t>
      </w:r>
      <w:r w:rsidRPr="00E8358C">
        <w:rPr>
          <w:rFonts w:eastAsia="Calibri"/>
        </w:rPr>
        <w:t>r</w:t>
      </w:r>
      <w:r w:rsidRPr="00E8358C">
        <w:rPr>
          <w:rFonts w:eastAsia="Calibri"/>
        </w:rPr>
        <w:t>ticipation de tous. Car, comme l’explique Dominique Poulot dans une pertinente analyse, le patrimoine « […] n’est pas le passé, puisqu’il a pour but d’attester l’identité et d’affirmer des valeurs, de célébrer des sentiments, le cas échéant contre la vérité historique »</w:t>
      </w:r>
      <w:r>
        <w:rPr>
          <w:rFonts w:eastAsia="Calibri"/>
        </w:rPr>
        <w:t> </w:t>
      </w:r>
      <w:r w:rsidRPr="00E8358C">
        <w:rPr>
          <w:rStyle w:val="Appelnotedebasdep"/>
          <w:rFonts w:eastAsia="Calibri"/>
        </w:rPr>
        <w:footnoteReference w:id="69"/>
      </w:r>
      <w:r w:rsidRPr="00E8358C">
        <w:rPr>
          <w:rFonts w:eastAsia="Calibri"/>
        </w:rPr>
        <w:t>. Une telle a</w:t>
      </w:r>
      <w:r w:rsidRPr="00E8358C">
        <w:rPr>
          <w:rFonts w:eastAsia="Calibri"/>
        </w:rPr>
        <w:t>p</w:t>
      </w:r>
      <w:r w:rsidRPr="00E8358C">
        <w:rPr>
          <w:rFonts w:eastAsia="Calibri"/>
        </w:rPr>
        <w:t>proche du patrimoine est utile à l’ethnologue qui compare souvent ses sources aux témoignages recueillis dans l’histoire officielle acceptée et enseignée. Il est intéressant pour une meilleure compréhension des enjeux de la patrimonialisation des mémoires de l’esclavage en Haïti de voir les participants comme des constructeurs et des gardiens du patrimoine.</w:t>
      </w:r>
    </w:p>
    <w:p w:rsidR="004C50DC" w:rsidRDefault="004C50DC" w:rsidP="004C50DC">
      <w:pPr>
        <w:spacing w:before="120" w:after="120"/>
        <w:jc w:val="both"/>
        <w:rPr>
          <w:rFonts w:eastAsia="Calibri"/>
        </w:rPr>
      </w:pPr>
      <w:r w:rsidRPr="00E8358C">
        <w:rPr>
          <w:rFonts w:eastAsia="Calibri"/>
        </w:rPr>
        <w:t>La « patrimonialisation » prend la suite de ces définitions du p</w:t>
      </w:r>
      <w:r w:rsidRPr="00E8358C">
        <w:rPr>
          <w:rFonts w:eastAsia="Calibri"/>
        </w:rPr>
        <w:t>a</w:t>
      </w:r>
      <w:r w:rsidRPr="00E8358C">
        <w:rPr>
          <w:rFonts w:eastAsia="Calibri"/>
        </w:rPr>
        <w:t>trimoine. Marie-Blanche Fourcade conçoit celle-ci comme « le pr</w:t>
      </w:r>
      <w:r w:rsidRPr="00E8358C">
        <w:rPr>
          <w:rFonts w:eastAsia="Calibri"/>
        </w:rPr>
        <w:t>o</w:t>
      </w:r>
      <w:r w:rsidRPr="00E8358C">
        <w:rPr>
          <w:rFonts w:eastAsia="Calibri"/>
        </w:rPr>
        <w:t>cessus qui permet à un objet, matériel ou immatériel, d’accéder au st</w:t>
      </w:r>
      <w:r w:rsidRPr="00E8358C">
        <w:rPr>
          <w:rFonts w:eastAsia="Calibri"/>
        </w:rPr>
        <w:t>a</w:t>
      </w:r>
      <w:r w:rsidRPr="00E8358C">
        <w:rPr>
          <w:rFonts w:eastAsia="Calibri"/>
        </w:rPr>
        <w:t>tut de patrimoine »</w:t>
      </w:r>
      <w:r>
        <w:rPr>
          <w:rFonts w:eastAsia="Calibri"/>
        </w:rPr>
        <w:t> </w:t>
      </w:r>
      <w:r w:rsidRPr="00E8358C">
        <w:rPr>
          <w:rStyle w:val="Appelnotedebasdep"/>
          <w:rFonts w:eastAsia="Calibri"/>
        </w:rPr>
        <w:footnoteReference w:id="70"/>
      </w:r>
      <w:r w:rsidRPr="00E8358C">
        <w:rPr>
          <w:rFonts w:eastAsia="Calibri"/>
        </w:rPr>
        <w:t>. Elle permet de concevoir et d’analyser le ph</w:t>
      </w:r>
      <w:r w:rsidRPr="00E8358C">
        <w:rPr>
          <w:rFonts w:eastAsia="Calibri"/>
        </w:rPr>
        <w:t>é</w:t>
      </w:r>
      <w:r w:rsidRPr="00E8358C">
        <w:rPr>
          <w:rFonts w:eastAsia="Calibri"/>
        </w:rPr>
        <w:t>nomène et le processus de production du patrimoine</w:t>
      </w:r>
      <w:r>
        <w:rPr>
          <w:rFonts w:eastAsia="Calibri"/>
        </w:rPr>
        <w:t> </w:t>
      </w:r>
      <w:r w:rsidRPr="00E8358C">
        <w:rPr>
          <w:rStyle w:val="Appelnotedebasdep"/>
          <w:rFonts w:eastAsia="Calibri"/>
        </w:rPr>
        <w:footnoteReference w:id="71"/>
      </w:r>
      <w:r w:rsidRPr="00E8358C">
        <w:rPr>
          <w:rFonts w:eastAsia="Calibri"/>
        </w:rPr>
        <w:t xml:space="preserve">. Ici, plusieurs composantes s’associent pour expliquer cet enchaînement d’actions, qu’il s’agisse des acteurs (citoyens, organismes, autorités étatiques), des critères de choix ou des conditions de reconnaissance, sans oublier les enjeux (économiques, politiques, sociaux) indispensables à l’analyse d’un patrimoine. </w:t>
      </w:r>
    </w:p>
    <w:p w:rsidR="004C50DC" w:rsidRPr="00E8358C" w:rsidRDefault="004C50DC" w:rsidP="004C50DC">
      <w:pPr>
        <w:spacing w:before="120" w:after="120"/>
        <w:jc w:val="both"/>
        <w:rPr>
          <w:rFonts w:eastAsia="Calibri"/>
        </w:rPr>
      </w:pPr>
      <w:r>
        <w:rPr>
          <w:rFonts w:eastAsia="Calibri"/>
        </w:rPr>
        <w:t>[26]</w:t>
      </w:r>
    </w:p>
    <w:p w:rsidR="004C50DC" w:rsidRPr="00E8358C" w:rsidRDefault="004C50DC" w:rsidP="004C50DC">
      <w:pPr>
        <w:spacing w:before="120" w:after="120"/>
        <w:jc w:val="both"/>
        <w:rPr>
          <w:rFonts w:eastAsia="Calibri"/>
        </w:rPr>
      </w:pPr>
      <w:r w:rsidRPr="00E8358C">
        <w:rPr>
          <w:rFonts w:eastAsia="Calibri"/>
        </w:rPr>
        <w:t>L’ouvrage d’Emmanuel Amougou précise la contextualisation de la patrimonialisation.</w:t>
      </w:r>
    </w:p>
    <w:p w:rsidR="004C50DC" w:rsidRDefault="004C50DC" w:rsidP="004C50DC">
      <w:pPr>
        <w:pStyle w:val="Citation0"/>
      </w:pPr>
    </w:p>
    <w:p w:rsidR="004C50DC" w:rsidRPr="00C92F30" w:rsidRDefault="004C50DC" w:rsidP="004C50DC">
      <w:pPr>
        <w:pStyle w:val="Citation0"/>
      </w:pPr>
      <w:r w:rsidRPr="00C92F30">
        <w:t>La patrimonialisation pourrait s’interpréter comme un pr</w:t>
      </w:r>
      <w:r w:rsidRPr="00C92F30">
        <w:t>o</w:t>
      </w:r>
      <w:r w:rsidRPr="00C92F30">
        <w:t>cessus social par lequel les agents sociaux (ou acteurs sociaux si l’on préfère) légitimes e</w:t>
      </w:r>
      <w:r w:rsidRPr="00C92F30">
        <w:t>n</w:t>
      </w:r>
      <w:r w:rsidRPr="00C92F30">
        <w:t>tendent, par leurs actions récipr</w:t>
      </w:r>
      <w:r w:rsidRPr="00C92F30">
        <w:t>o</w:t>
      </w:r>
      <w:r w:rsidRPr="00C92F30">
        <w:t>ques, c’est-à-dire interdépendantes, conférer à un objet, à un e</w:t>
      </w:r>
      <w:r w:rsidRPr="00C92F30">
        <w:t>s</w:t>
      </w:r>
      <w:r w:rsidRPr="00C92F30">
        <w:t>pace (architectural, urbanistique ou paysager) ou à une pratique sociale (langue, rite, mythe, etc.) un ensemble de pr</w:t>
      </w:r>
      <w:r w:rsidRPr="00C92F30">
        <w:t>o</w:t>
      </w:r>
      <w:r w:rsidRPr="00C92F30">
        <w:t>priétés ou de « valeurs » reconnues et partagées d’abord par les agents l</w:t>
      </w:r>
      <w:r w:rsidRPr="00C92F30">
        <w:t>é</w:t>
      </w:r>
      <w:r w:rsidRPr="00C92F30">
        <w:t>gitimés et ensuite transmises à l’ensemble des individus au tr</w:t>
      </w:r>
      <w:r w:rsidRPr="00C92F30">
        <w:t>a</w:t>
      </w:r>
      <w:r w:rsidRPr="00C92F30">
        <w:t>vers des mécanismes d’institutionnalisation, individuels ou co</w:t>
      </w:r>
      <w:r w:rsidRPr="00C92F30">
        <w:t>l</w:t>
      </w:r>
      <w:r w:rsidRPr="00C92F30">
        <w:t>lectifs nécessaires à leur préservation, c’est-à-dire à leur légitimation durable dans une conf</w:t>
      </w:r>
      <w:r w:rsidRPr="00C92F30">
        <w:t>i</w:t>
      </w:r>
      <w:r w:rsidRPr="00C92F30">
        <w:t>guration sociale spécifique</w:t>
      </w:r>
      <w:r>
        <w:t> </w:t>
      </w:r>
      <w:r>
        <w:rPr>
          <w:rStyle w:val="Appelnotedebasdep"/>
        </w:rPr>
        <w:footnoteReference w:id="72"/>
      </w:r>
      <w:r w:rsidRPr="00C92F30">
        <w:t>.</w:t>
      </w:r>
    </w:p>
    <w:p w:rsidR="004C50DC" w:rsidRPr="00C92F30" w:rsidRDefault="004C50DC" w:rsidP="004C50DC">
      <w:pPr>
        <w:pStyle w:val="Citation0"/>
      </w:pPr>
    </w:p>
    <w:p w:rsidR="004C50DC" w:rsidRDefault="004C50DC" w:rsidP="004C50DC">
      <w:pPr>
        <w:spacing w:before="120" w:after="120"/>
        <w:jc w:val="both"/>
        <w:rPr>
          <w:lang w:eastAsia="en-CA"/>
        </w:rPr>
      </w:pPr>
      <w:r w:rsidRPr="00E8358C">
        <w:rPr>
          <w:rFonts w:eastAsia="Calibri"/>
        </w:rPr>
        <w:t>L’acquisition du statut de patrimoine implique « une opération de mise au présent du passé »</w:t>
      </w:r>
      <w:r>
        <w:rPr>
          <w:rFonts w:eastAsia="Calibri"/>
        </w:rPr>
        <w:t> </w:t>
      </w:r>
      <w:r>
        <w:rPr>
          <w:rStyle w:val="Appelnotedebasdep"/>
          <w:rFonts w:eastAsia="Calibri"/>
        </w:rPr>
        <w:footnoteReference w:id="73"/>
      </w:r>
      <w:r w:rsidRPr="00E8358C">
        <w:rPr>
          <w:rFonts w:eastAsia="Calibri"/>
        </w:rPr>
        <w:t xml:space="preserve">, du vécu. </w:t>
      </w:r>
      <w:r w:rsidRPr="00E8358C">
        <w:t>Nous ne pouvons pas cont</w:t>
      </w:r>
      <w:r w:rsidRPr="00E8358C">
        <w:t>i</w:t>
      </w:r>
      <w:r w:rsidRPr="00E8358C">
        <w:t>nuer à psalmodier le passé aux dépens du présent. Justement, le patr</w:t>
      </w:r>
      <w:r w:rsidRPr="00E8358C">
        <w:t>i</w:t>
      </w:r>
      <w:r w:rsidRPr="00E8358C">
        <w:t>moine n’a de sens que dans le présent. Il fait continuellement corps avec la mémoire qui se patrimonialise aussi en s’appuyant sur les so</w:t>
      </w:r>
      <w:r w:rsidRPr="00E8358C">
        <w:t>u</w:t>
      </w:r>
      <w:r w:rsidRPr="00E8358C">
        <w:t>venirs. Dans cette nouvelle considération de la mémoire, la patrim</w:t>
      </w:r>
      <w:r w:rsidRPr="00E8358C">
        <w:t>o</w:t>
      </w:r>
      <w:r w:rsidRPr="00E8358C">
        <w:t>nialisation « </w:t>
      </w:r>
      <w:r w:rsidRPr="00E8358C">
        <w:rPr>
          <w:rFonts w:eastAsia="Calibri"/>
        </w:rPr>
        <w:t>renvoie à ces rapports dialectiques entre le matériel et l’immatériel »</w:t>
      </w:r>
      <w:r>
        <w:rPr>
          <w:rFonts w:eastAsia="Calibri"/>
        </w:rPr>
        <w:t> </w:t>
      </w:r>
      <w:r>
        <w:rPr>
          <w:rStyle w:val="Appelnotedebasdep"/>
          <w:rFonts w:eastAsia="Calibri"/>
        </w:rPr>
        <w:footnoteReference w:id="74"/>
      </w:r>
      <w:r w:rsidRPr="00E8358C">
        <w:rPr>
          <w:rFonts w:eastAsia="Calibri"/>
        </w:rPr>
        <w:t>, comme le rappelle Laurier Turgeon, en vue d’aboutir à une appropriation identitaire ou symbolique. Elle charrie s</w:t>
      </w:r>
      <w:r w:rsidRPr="00E8358C">
        <w:rPr>
          <w:lang w:eastAsia="en-CA"/>
        </w:rPr>
        <w:t>ouvent des formes variées de mobilisation, de résistance voire de conflictual</w:t>
      </w:r>
      <w:r w:rsidRPr="00E8358C">
        <w:rPr>
          <w:lang w:eastAsia="en-CA"/>
        </w:rPr>
        <w:t>i</w:t>
      </w:r>
      <w:r w:rsidRPr="00E8358C">
        <w:rPr>
          <w:lang w:eastAsia="en-CA"/>
        </w:rPr>
        <w:t>té</w:t>
      </w:r>
      <w:r>
        <w:rPr>
          <w:lang w:eastAsia="en-CA"/>
        </w:rPr>
        <w:t> </w:t>
      </w:r>
      <w:r w:rsidRPr="00E8358C">
        <w:rPr>
          <w:rStyle w:val="Appelnotedebasdep"/>
          <w:lang w:eastAsia="en-CA"/>
        </w:rPr>
        <w:footnoteReference w:id="75"/>
      </w:r>
      <w:r w:rsidRPr="00E8358C">
        <w:rPr>
          <w:lang w:eastAsia="en-CA"/>
        </w:rPr>
        <w:t>. Notons que l’idée de « bien commun »</w:t>
      </w:r>
      <w:r>
        <w:rPr>
          <w:lang w:eastAsia="en-CA"/>
        </w:rPr>
        <w:t> </w:t>
      </w:r>
      <w:r w:rsidRPr="00E8358C">
        <w:rPr>
          <w:rStyle w:val="Appelnotedebasdep"/>
          <w:lang w:eastAsia="en-CA"/>
        </w:rPr>
        <w:footnoteReference w:id="76"/>
      </w:r>
      <w:r w:rsidRPr="00E8358C">
        <w:rPr>
          <w:lang w:eastAsia="en-CA"/>
        </w:rPr>
        <w:t xml:space="preserve"> accordée au patrimoine ne fait pas l’unanimité dans le processus de la patrimoni</w:t>
      </w:r>
      <w:r w:rsidRPr="00E8358C">
        <w:rPr>
          <w:lang w:eastAsia="en-CA"/>
        </w:rPr>
        <w:t>a</w:t>
      </w:r>
      <w:r w:rsidRPr="00E8358C">
        <w:rPr>
          <w:lang w:eastAsia="en-CA"/>
        </w:rPr>
        <w:t xml:space="preserve">lisation. La construction du patrimoine est entièrement consensuelle. </w:t>
      </w:r>
    </w:p>
    <w:p w:rsidR="004C50DC" w:rsidRPr="00E8358C" w:rsidRDefault="004C50DC" w:rsidP="004C50DC">
      <w:pPr>
        <w:spacing w:before="120" w:after="120"/>
        <w:jc w:val="both"/>
        <w:rPr>
          <w:lang w:eastAsia="en-CA"/>
        </w:rPr>
      </w:pPr>
      <w:r>
        <w:rPr>
          <w:lang w:eastAsia="en-CA"/>
        </w:rPr>
        <w:t>[27]</w:t>
      </w:r>
    </w:p>
    <w:p w:rsidR="004C50DC" w:rsidRPr="00E8358C" w:rsidRDefault="004C50DC" w:rsidP="004C50DC">
      <w:pPr>
        <w:spacing w:before="120" w:after="120"/>
        <w:jc w:val="both"/>
      </w:pPr>
      <w:r w:rsidRPr="00E8358C">
        <w:rPr>
          <w:rFonts w:eastAsia="Calibri"/>
        </w:rPr>
        <w:t>Dans le cadre de la mémoire de l’esclavage en Haïti, l’éclairage de Dominique Poulot évoquant la nation dans le processus de la patrim</w:t>
      </w:r>
      <w:r w:rsidRPr="00E8358C">
        <w:rPr>
          <w:rFonts w:eastAsia="Calibri"/>
        </w:rPr>
        <w:t>o</w:t>
      </w:r>
      <w:r w:rsidRPr="00E8358C">
        <w:rPr>
          <w:rFonts w:eastAsia="Calibri"/>
        </w:rPr>
        <w:t>nialisation comme « objet par excellence de la patrimonialité et fou</w:t>
      </w:r>
      <w:r w:rsidRPr="00E8358C">
        <w:rPr>
          <w:rFonts w:eastAsia="Calibri"/>
        </w:rPr>
        <w:t>r</w:t>
      </w:r>
      <w:r w:rsidRPr="00E8358C">
        <w:rPr>
          <w:rFonts w:eastAsia="Calibri"/>
        </w:rPr>
        <w:t>nissant pour ainsi dire le cadre d’interprétation de tout objet du passé suivant un compromis laborieux »</w:t>
      </w:r>
      <w:r>
        <w:rPr>
          <w:rFonts w:eastAsia="Calibri"/>
        </w:rPr>
        <w:t> </w:t>
      </w:r>
      <w:r w:rsidRPr="00E8358C">
        <w:rPr>
          <w:rStyle w:val="Appelnotedebasdep"/>
          <w:rFonts w:eastAsia="Calibri"/>
        </w:rPr>
        <w:footnoteReference w:id="77"/>
      </w:r>
      <w:r w:rsidRPr="00E8358C">
        <w:rPr>
          <w:rFonts w:eastAsia="Calibri"/>
        </w:rPr>
        <w:t xml:space="preserve"> trouve un terrain propice pour son application. C’est la nation haïtienne qui doit se concerter sur l’orientation patrimoniale de ce passé. Dans le passé, la patrimonial</w:t>
      </w:r>
      <w:r w:rsidRPr="00E8358C">
        <w:rPr>
          <w:rFonts w:eastAsia="Calibri"/>
        </w:rPr>
        <w:t>i</w:t>
      </w:r>
      <w:r w:rsidRPr="00E8358C">
        <w:rPr>
          <w:rFonts w:eastAsia="Calibri"/>
        </w:rPr>
        <w:t>sation</w:t>
      </w:r>
      <w:r w:rsidRPr="00E8358C">
        <w:rPr>
          <w:lang w:eastAsia="en-CA"/>
        </w:rPr>
        <w:t xml:space="preserve"> a été généralement « portée par certains groupes particuliers (les élites dirigeantes) qui cherchent à faire valoir un point de vue, un intérêt particulier »</w:t>
      </w:r>
      <w:r>
        <w:rPr>
          <w:lang w:eastAsia="en-CA"/>
        </w:rPr>
        <w:t> </w:t>
      </w:r>
      <w:r w:rsidRPr="00E8358C">
        <w:rPr>
          <w:rStyle w:val="Appelnotedebasdep"/>
          <w:lang w:eastAsia="en-CA"/>
        </w:rPr>
        <w:footnoteReference w:id="78"/>
      </w:r>
      <w:r w:rsidRPr="00E8358C">
        <w:rPr>
          <w:lang w:eastAsia="en-CA"/>
        </w:rPr>
        <w:t xml:space="preserve">. </w:t>
      </w:r>
      <w:r w:rsidRPr="00E8358C">
        <w:t xml:space="preserve">Ce </w:t>
      </w:r>
      <w:r w:rsidRPr="00E8358C">
        <w:rPr>
          <w:i/>
        </w:rPr>
        <w:t>construit,</w:t>
      </w:r>
      <w:r w:rsidRPr="00E8358C">
        <w:t xml:space="preserve"> en intervenant dans le processus, s’impose en </w:t>
      </w:r>
      <w:r w:rsidRPr="00E8358C">
        <w:rPr>
          <w:i/>
        </w:rPr>
        <w:t>donné</w:t>
      </w:r>
      <w:r>
        <w:t> </w:t>
      </w:r>
      <w:r w:rsidRPr="00E8358C">
        <w:rPr>
          <w:rStyle w:val="Appelnotedebasdep"/>
        </w:rPr>
        <w:footnoteReference w:id="79"/>
      </w:r>
      <w:r w:rsidRPr="00E8358C">
        <w:t xml:space="preserve"> et s’oppose souvent au </w:t>
      </w:r>
      <w:r w:rsidRPr="00E8358C">
        <w:rPr>
          <w:i/>
        </w:rPr>
        <w:t>réel</w:t>
      </w:r>
      <w:r w:rsidRPr="00E8358C">
        <w:t xml:space="preserve"> ou au </w:t>
      </w:r>
      <w:r w:rsidRPr="00E8358C">
        <w:rPr>
          <w:i/>
        </w:rPr>
        <w:t>vécu</w:t>
      </w:r>
      <w:r w:rsidRPr="00E8358C">
        <w:t xml:space="preserve"> des co</w:t>
      </w:r>
      <w:r w:rsidRPr="00E8358C">
        <w:t>m</w:t>
      </w:r>
      <w:r w:rsidRPr="00E8358C">
        <w:t>munautés ; de là se déclenchent les polémiques.</w:t>
      </w:r>
    </w:p>
    <w:p w:rsidR="004C50DC" w:rsidRPr="00E8358C" w:rsidRDefault="004C50DC" w:rsidP="004C50DC">
      <w:pPr>
        <w:spacing w:before="120" w:after="120"/>
        <w:jc w:val="both"/>
        <w:rPr>
          <w:lang w:eastAsia="en-CA"/>
        </w:rPr>
      </w:pPr>
      <w:r w:rsidRPr="00E8358C">
        <w:rPr>
          <w:lang w:eastAsia="en-CA"/>
        </w:rPr>
        <w:t>La patrimonialisation résulte de cette volonté de conservation de mémoires ou d’identités pour amener les peuples ou les groupes s</w:t>
      </w:r>
      <w:r w:rsidRPr="00E8358C">
        <w:rPr>
          <w:lang w:eastAsia="en-CA"/>
        </w:rPr>
        <w:t>o</w:t>
      </w:r>
      <w:r w:rsidRPr="00E8358C">
        <w:rPr>
          <w:lang w:eastAsia="en-CA"/>
        </w:rPr>
        <w:t>ciaux à s’affirmer et à se légitimer. Ce qui veut dire que la mémoire se patrimonialise en donnant un sens à des objets matériels. Ainsi, la mémoire en devenant patrimoine « peut s’inscrire dans un rapport au temps qui n’est pas celui de l’histoire »</w:t>
      </w:r>
      <w:r>
        <w:rPr>
          <w:lang w:eastAsia="en-CA"/>
        </w:rPr>
        <w:t> </w:t>
      </w:r>
      <w:r w:rsidRPr="00E8358C">
        <w:rPr>
          <w:rStyle w:val="Appelnotedebasdep"/>
          <w:lang w:eastAsia="en-CA"/>
        </w:rPr>
        <w:footnoteReference w:id="80"/>
      </w:r>
      <w:r w:rsidRPr="00E8358C">
        <w:rPr>
          <w:lang w:eastAsia="en-CA"/>
        </w:rPr>
        <w:t>, comme le mentionne Dom</w:t>
      </w:r>
      <w:r w:rsidRPr="00E8358C">
        <w:rPr>
          <w:lang w:eastAsia="en-CA"/>
        </w:rPr>
        <w:t>i</w:t>
      </w:r>
      <w:r w:rsidRPr="00E8358C">
        <w:rPr>
          <w:lang w:eastAsia="en-CA"/>
        </w:rPr>
        <w:t xml:space="preserve">nique Poulot. Pour </w:t>
      </w:r>
      <w:r w:rsidRPr="00E8358C">
        <w:rPr>
          <w:rFonts w:eastAsia="Calibri"/>
        </w:rPr>
        <w:t>Henry Rousso, il s’agit de rendre présentes, et plus encore, compréhensibles au contemporain, des traces physiques ou immatérielles de ce qui reste du passé et de leur conférer une intellig</w:t>
      </w:r>
      <w:r w:rsidRPr="00E8358C">
        <w:rPr>
          <w:rFonts w:eastAsia="Calibri"/>
        </w:rPr>
        <w:t>i</w:t>
      </w:r>
      <w:r w:rsidRPr="00E8358C">
        <w:rPr>
          <w:rFonts w:eastAsia="Calibri"/>
        </w:rPr>
        <w:t>bilité</w:t>
      </w:r>
      <w:r>
        <w:rPr>
          <w:rFonts w:eastAsia="Calibri"/>
        </w:rPr>
        <w:t> </w:t>
      </w:r>
      <w:r w:rsidRPr="00E8358C">
        <w:rPr>
          <w:rStyle w:val="Appelnotedebasdep"/>
          <w:rFonts w:eastAsia="Calibri"/>
        </w:rPr>
        <w:footnoteReference w:id="81"/>
      </w:r>
      <w:r w:rsidRPr="00E8358C">
        <w:rPr>
          <w:rFonts w:eastAsia="Calibri"/>
        </w:rPr>
        <w:t>. La construction patrimoniale en rapport avec le passé esclav</w:t>
      </w:r>
      <w:r w:rsidRPr="00E8358C">
        <w:rPr>
          <w:rFonts w:eastAsia="Calibri"/>
        </w:rPr>
        <w:t>a</w:t>
      </w:r>
      <w:r w:rsidRPr="00E8358C">
        <w:rPr>
          <w:rFonts w:eastAsia="Calibri"/>
        </w:rPr>
        <w:t>giste ne doit-elle pas inclure des références identitaires aussi multiples et contradictoires que diversifiées en Haïti, au sens que souligne Pie</w:t>
      </w:r>
      <w:r w:rsidRPr="00E8358C">
        <w:rPr>
          <w:rFonts w:eastAsia="Calibri"/>
        </w:rPr>
        <w:t>r</w:t>
      </w:r>
      <w:r w:rsidRPr="00E8358C">
        <w:rPr>
          <w:rFonts w:eastAsia="Calibri"/>
        </w:rPr>
        <w:t>re Nora</w:t>
      </w:r>
      <w:r>
        <w:rPr>
          <w:rFonts w:eastAsia="Calibri"/>
        </w:rPr>
        <w:t> </w:t>
      </w:r>
      <w:r w:rsidRPr="00E8358C">
        <w:rPr>
          <w:rStyle w:val="Appelnotedebasdep"/>
          <w:rFonts w:eastAsia="Calibri"/>
        </w:rPr>
        <w:footnoteReference w:id="82"/>
      </w:r>
      <w:r w:rsidRPr="00E8358C">
        <w:rPr>
          <w:rFonts w:eastAsia="Calibri"/>
        </w:rPr>
        <w:t>, si l’on veut qu’elle rejoigne l’idéologie du dév</w:t>
      </w:r>
      <w:r w:rsidRPr="00E8358C">
        <w:rPr>
          <w:rFonts w:eastAsia="Calibri"/>
        </w:rPr>
        <w:t>e</w:t>
      </w:r>
      <w:r w:rsidRPr="00E8358C">
        <w:rPr>
          <w:rFonts w:eastAsia="Calibri"/>
        </w:rPr>
        <w:t>loppement durable ? Ne doit-elle pas s’inscrire dans une vision pos</w:t>
      </w:r>
      <w:r w:rsidRPr="00E8358C">
        <w:rPr>
          <w:rFonts w:eastAsia="Calibri"/>
        </w:rPr>
        <w:t>t</w:t>
      </w:r>
      <w:r w:rsidRPr="00E8358C">
        <w:rPr>
          <w:rFonts w:eastAsia="Calibri"/>
        </w:rPr>
        <w:t>coloniale contrairement à « une conception occidentale, linéaire et ouverte du temps, celle de la modernité</w:t>
      </w:r>
      <w:r>
        <w:rPr>
          <w:rFonts w:eastAsia="Calibri"/>
        </w:rPr>
        <w:t xml:space="preserve"> [28]</w:t>
      </w:r>
      <w:r w:rsidRPr="00E8358C">
        <w:rPr>
          <w:rFonts w:eastAsia="Calibri"/>
        </w:rPr>
        <w:t xml:space="preserve"> européenne »</w:t>
      </w:r>
      <w:r>
        <w:rPr>
          <w:rFonts w:eastAsia="Calibri"/>
        </w:rPr>
        <w:t> </w:t>
      </w:r>
      <w:r w:rsidRPr="00E8358C">
        <w:rPr>
          <w:rStyle w:val="Appelnotedebasdep"/>
          <w:rFonts w:eastAsia="Calibri"/>
        </w:rPr>
        <w:footnoteReference w:id="83"/>
      </w:r>
      <w:r w:rsidRPr="00E8358C">
        <w:rPr>
          <w:rFonts w:eastAsia="Calibri"/>
        </w:rPr>
        <w:t> ?</w:t>
      </w:r>
    </w:p>
    <w:p w:rsidR="004C50DC" w:rsidRPr="00576E8A" w:rsidRDefault="004C50DC" w:rsidP="004C50DC">
      <w:pPr>
        <w:spacing w:before="120" w:after="120"/>
        <w:jc w:val="both"/>
      </w:pPr>
      <w:r w:rsidRPr="00576E8A">
        <w:t>C’est à travers ce « prisme déformant de l’histoire vue d’en haut, particulièrement dans la perspective des luttes pour la conquête des positions au sommet du système politique, que les sources habituelles fournissent des données fragmentaires »</w:t>
      </w:r>
      <w:r>
        <w:t> </w:t>
      </w:r>
      <w:r w:rsidRPr="00576E8A">
        <w:rPr>
          <w:rStyle w:val="Appelnotedebasdep"/>
        </w:rPr>
        <w:footnoteReference w:id="84"/>
      </w:r>
      <w:r w:rsidRPr="00576E8A">
        <w:t>. Ces données sont soumises aujourd’hui à l’analyse ethnologique de la construction patrimoniale et de la mémoire collective haïtienne. Comme ethnologue, nous ne devons pas nous arrêter à la seule description historique. Obligation nous est faite de creuser et de comprendre le pourquoi du refus, du rejet, du refoulement ou des occultations. Comment sont construites, transmises et vécues ces mémoires en rapport avec l’esclavage ?</w:t>
      </w:r>
    </w:p>
    <w:p w:rsidR="004C50DC" w:rsidRDefault="004C50DC" w:rsidP="004C50DC">
      <w:pPr>
        <w:spacing w:before="120" w:after="120"/>
        <w:jc w:val="both"/>
      </w:pPr>
      <w:r w:rsidRPr="00E8358C">
        <w:t>Les études patrimoniales comme domaine émergent de recherche associent aujourd’hui l’histoire et la mémoire. Elles expliquent n</w:t>
      </w:r>
      <w:r w:rsidRPr="00E8358C">
        <w:t>o</w:t>
      </w:r>
      <w:r w:rsidRPr="00E8358C">
        <w:t>tamment le processus de construction du patrimoine. Compte tenu de leur interdisciplinarité, les approches théoriques empruntées aux a</w:t>
      </w:r>
      <w:r w:rsidRPr="00E8358C">
        <w:t>u</w:t>
      </w:r>
      <w:r w:rsidRPr="00E8358C">
        <w:t>tres disciplines des sciences sociales et humaines doivent permettre de faciliter la construction, de différentes manières, d’une vision plus large et plus complète du passé. Les études patrimoniales définissent des stratégies de communication en vue de rendre « le passé » acce</w:t>
      </w:r>
      <w:r w:rsidRPr="00E8358C">
        <w:t>s</w:t>
      </w:r>
      <w:r w:rsidRPr="00E8358C">
        <w:t>sible et de l’apprécier de façon plus efficace dans le présent. À ce pr</w:t>
      </w:r>
      <w:r w:rsidRPr="00E8358C">
        <w:t>o</w:t>
      </w:r>
      <w:r w:rsidRPr="00E8358C">
        <w:t xml:space="preserve">pos, </w:t>
      </w:r>
      <w:r w:rsidRPr="00E8358C">
        <w:rPr>
          <w:rFonts w:eastAsia="Calibri"/>
          <w:bCs/>
          <w:lang w:eastAsia="en-CA"/>
        </w:rPr>
        <w:t>Étienne Anaheim estime que « l</w:t>
      </w:r>
      <w:r w:rsidRPr="00E8358C">
        <w:t>a recherche dans les sciences du patrimoine conduit à réfléchir aux processus sociaux, aux politiques de patrimonialisation et aux impératifs collectifs en termes de tran</w:t>
      </w:r>
      <w:r w:rsidRPr="00E8358C">
        <w:t>s</w:t>
      </w:r>
      <w:r w:rsidRPr="00E8358C">
        <w:t>mission. À ce titre, le patrimoine est le marqueur d’attentes identita</w:t>
      </w:r>
      <w:r w:rsidRPr="00E8358C">
        <w:t>i</w:t>
      </w:r>
      <w:r w:rsidRPr="00E8358C">
        <w:t>res, mémorielles, de stratégies économiques ou politiques, à condition qu’il soit lui-même transmis »</w:t>
      </w:r>
      <w:r>
        <w:t> </w:t>
      </w:r>
      <w:r>
        <w:rPr>
          <w:rStyle w:val="Appelnotedebasdep"/>
        </w:rPr>
        <w:footnoteReference w:id="85"/>
      </w:r>
      <w:r w:rsidRPr="00E8358C">
        <w:t>.</w:t>
      </w:r>
    </w:p>
    <w:p w:rsidR="004C50DC" w:rsidRDefault="004C50DC" w:rsidP="004C50DC">
      <w:pPr>
        <w:pStyle w:val="p"/>
      </w:pPr>
      <w:r>
        <w:t>[29]</w:t>
      </w:r>
    </w:p>
    <w:p w:rsidR="004C50DC" w:rsidRPr="00E8358C" w:rsidRDefault="004C50DC" w:rsidP="004C50DC">
      <w:pPr>
        <w:spacing w:before="120" w:after="120"/>
        <w:jc w:val="both"/>
      </w:pPr>
    </w:p>
    <w:p w:rsidR="004C50DC" w:rsidRPr="001D79C9" w:rsidRDefault="004C50DC" w:rsidP="004C50DC">
      <w:pPr>
        <w:pStyle w:val="planche"/>
      </w:pPr>
      <w:bookmarkStart w:id="37" w:name="_Toc406486077"/>
      <w:bookmarkStart w:id="38" w:name="_Toc406489632"/>
      <w:bookmarkStart w:id="39" w:name="_Toc423347266"/>
      <w:bookmarkStart w:id="40" w:name="_Toc442280444"/>
      <w:bookmarkStart w:id="41" w:name="Memoire_chap_I_3"/>
      <w:r w:rsidRPr="001D79C9">
        <w:t>1.3</w:t>
      </w:r>
      <w:r>
        <w:t>.</w:t>
      </w:r>
      <w:r w:rsidRPr="001D79C9">
        <w:t xml:space="preserve"> Orientations théoriques</w:t>
      </w:r>
      <w:bookmarkEnd w:id="37"/>
      <w:bookmarkEnd w:id="38"/>
      <w:bookmarkEnd w:id="39"/>
      <w:bookmarkEnd w:id="40"/>
    </w:p>
    <w:bookmarkEnd w:id="41"/>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Pendant longtemps, entre ethnologues, sociologues, anthropol</w:t>
      </w:r>
      <w:r w:rsidRPr="00E8358C">
        <w:t>o</w:t>
      </w:r>
      <w:r w:rsidRPr="00E8358C">
        <w:t>gues, historiens, géographes et autres chercheurs, les théoriciens ont débattu des rapports entre l’esclavage, ses traces et son influence dans la construction identitaire des sociétés anciennement colonisées. Haïti est toujours considérée comme un pays malade de sa mémoire col</w:t>
      </w:r>
      <w:r w:rsidRPr="00E8358C">
        <w:t>o</w:t>
      </w:r>
      <w:r w:rsidRPr="00E8358C">
        <w:t>niale, en cours de traitement notamment par des monographies, des essais ou encore des romans à défaut d’un centre de recherche spéci</w:t>
      </w:r>
      <w:r w:rsidRPr="00E8358C">
        <w:t>a</w:t>
      </w:r>
      <w:r w:rsidRPr="00E8358C">
        <w:t>lisé sur le phénomène. Laënnec Hurbon, Michel Hector, Michel Ph</w:t>
      </w:r>
      <w:r w:rsidRPr="00E8358C">
        <w:t>i</w:t>
      </w:r>
      <w:r w:rsidRPr="00E8358C">
        <w:t>lippe Lerebours, Claude Moïse et d’autres intellectuels haïtiens ont traité cette question. Le peuple haïtien, dans sa majorité, développe une culture populaire qui alimente des perceptions controversées sur les mémoires de l’esclavage interpellant des théories anthropologiques et sociales. Cette situation particulière montre qu’Haïti peut nous r</w:t>
      </w:r>
      <w:r w:rsidRPr="00E8358C">
        <w:t>é</w:t>
      </w:r>
      <w:r w:rsidRPr="00E8358C">
        <w:t>véler des éléments très novateurs sur la patrimonialisation de la m</w:t>
      </w:r>
      <w:r w:rsidRPr="00E8358C">
        <w:t>é</w:t>
      </w:r>
      <w:r w:rsidRPr="00E8358C">
        <w:t xml:space="preserve">moire de l’esclavage.  </w:t>
      </w:r>
    </w:p>
    <w:p w:rsidR="004C50DC" w:rsidRPr="00E8358C" w:rsidRDefault="004C50DC" w:rsidP="004C50DC">
      <w:pPr>
        <w:spacing w:before="120" w:after="120"/>
        <w:jc w:val="both"/>
      </w:pPr>
      <w:r w:rsidRPr="00E8358C">
        <w:t xml:space="preserve">Les orientations théoriques retenues s’articulent autour de la </w:t>
      </w:r>
      <w:r w:rsidRPr="00E8358C">
        <w:rPr>
          <w:i/>
        </w:rPr>
        <w:t>thé</w:t>
      </w:r>
      <w:r w:rsidRPr="00E8358C">
        <w:rPr>
          <w:i/>
        </w:rPr>
        <w:t>o</w:t>
      </w:r>
      <w:r w:rsidRPr="00E8358C">
        <w:rPr>
          <w:i/>
        </w:rPr>
        <w:t xml:space="preserve">rie du discours et du pouvoir </w:t>
      </w:r>
      <w:r w:rsidRPr="00E8358C">
        <w:t>de Michel Foucault</w:t>
      </w:r>
      <w:r w:rsidRPr="00E8358C">
        <w:rPr>
          <w:i/>
        </w:rPr>
        <w:t xml:space="preserve">, </w:t>
      </w:r>
      <w:r w:rsidRPr="00E8358C">
        <w:t>le</w:t>
      </w:r>
      <w:r w:rsidRPr="00E8358C">
        <w:rPr>
          <w:i/>
        </w:rPr>
        <w:t xml:space="preserve"> postcolonialisme et </w:t>
      </w:r>
      <w:r w:rsidRPr="00E8358C">
        <w:t>les</w:t>
      </w:r>
      <w:r w:rsidRPr="00E8358C">
        <w:rPr>
          <w:i/>
        </w:rPr>
        <w:t xml:space="preserve"> critiques postcoloniales </w:t>
      </w:r>
      <w:r w:rsidRPr="00E8358C">
        <w:t>et les approches théoriques sur la cult</w:t>
      </w:r>
      <w:r w:rsidRPr="00E8358C">
        <w:t>u</w:t>
      </w:r>
      <w:r w:rsidRPr="00E8358C">
        <w:t>re matérielle et mémorielle. Ces théories sont des outils d’appréhension et d’analyse dans un contexte de post-colonisation tenant compte des facteurs qui influencent la construction patrimoni</w:t>
      </w:r>
      <w:r w:rsidRPr="00E8358C">
        <w:t>a</w:t>
      </w:r>
      <w:r w:rsidRPr="00E8358C">
        <w:t xml:space="preserve">le des mémoires et leur transmission dans une société.  </w:t>
      </w:r>
    </w:p>
    <w:p w:rsidR="004C50DC" w:rsidRDefault="004C50DC" w:rsidP="004C50DC">
      <w:pPr>
        <w:spacing w:before="120" w:after="120"/>
        <w:jc w:val="both"/>
      </w:pPr>
      <w:bookmarkStart w:id="42" w:name="_Toc406489633"/>
      <w:bookmarkStart w:id="43" w:name="_Toc423347267"/>
      <w:bookmarkStart w:id="44" w:name="_Toc442280445"/>
    </w:p>
    <w:p w:rsidR="004C50DC" w:rsidRPr="00E8358C" w:rsidRDefault="004C50DC" w:rsidP="004C50DC">
      <w:pPr>
        <w:pStyle w:val="a"/>
      </w:pPr>
      <w:r w:rsidRPr="00E8358C">
        <w:t>1.3.1</w:t>
      </w:r>
      <w:r>
        <w:t>.</w:t>
      </w:r>
      <w:r w:rsidRPr="00E8358C">
        <w:t xml:space="preserve"> Théorie du discours et du pouvoir </w:t>
      </w:r>
      <w:r>
        <w:br/>
      </w:r>
      <w:r w:rsidRPr="00E8358C">
        <w:t>de Michel Foucault</w:t>
      </w:r>
      <w:bookmarkEnd w:id="42"/>
      <w:bookmarkEnd w:id="43"/>
      <w:bookmarkEnd w:id="44"/>
      <w:r w:rsidRPr="00E8358C">
        <w:t> </w:t>
      </w:r>
    </w:p>
    <w:p w:rsidR="004C50DC" w:rsidRPr="00F36308" w:rsidRDefault="004C50DC" w:rsidP="004C50DC">
      <w:pPr>
        <w:spacing w:before="120" w:after="120"/>
        <w:jc w:val="both"/>
      </w:pPr>
    </w:p>
    <w:p w:rsidR="004C50DC" w:rsidRDefault="004C50DC" w:rsidP="004C50DC">
      <w:pPr>
        <w:spacing w:before="120" w:after="120"/>
        <w:jc w:val="both"/>
      </w:pPr>
      <w:r w:rsidRPr="00F36308">
        <w:t>Michel Foucault a fait de son analyse de l’organisation des sociétés et de leurs rapports avec « le savoir » et « le pouvoir » la base même de sa théorie. Pour l’auteur, « il est donc nécessaire d’élargir les d</w:t>
      </w:r>
      <w:r w:rsidRPr="00F36308">
        <w:t>i</w:t>
      </w:r>
      <w:r w:rsidRPr="00F36308">
        <w:t>mensions d’une définition du pouvoir si on veut l’utiliser pour étudier l’objectivation du sujet »</w:t>
      </w:r>
      <w:r>
        <w:t> </w:t>
      </w:r>
      <w:r>
        <w:rPr>
          <w:rStyle w:val="Appelnotedebasdep"/>
        </w:rPr>
        <w:footnoteReference w:id="86"/>
      </w:r>
      <w:r w:rsidRPr="00F36308">
        <w:t>. Il évoque</w:t>
      </w:r>
      <w:r w:rsidRPr="00E8358C">
        <w:t xml:space="preserve"> la place des individus et leur donne une voix dans les recherches anthropologiques et dans le ra</w:t>
      </w:r>
      <w:r w:rsidRPr="00E8358C">
        <w:t>p</w:t>
      </w:r>
      <w:r w:rsidRPr="00E8358C">
        <w:t>port critique « savoir/pouvoir » indispensable à la compréhension des mécanismes de pouvoir et d’organisation sociale.</w:t>
      </w:r>
    </w:p>
    <w:p w:rsidR="004C50DC" w:rsidRPr="00E8358C" w:rsidRDefault="004C50DC" w:rsidP="004C50DC">
      <w:pPr>
        <w:spacing w:before="120" w:after="120"/>
        <w:jc w:val="both"/>
      </w:pPr>
      <w:r>
        <w:t>[30]</w:t>
      </w:r>
    </w:p>
    <w:p w:rsidR="004C50DC" w:rsidRPr="00F36308" w:rsidRDefault="004C50DC" w:rsidP="004C50DC">
      <w:pPr>
        <w:spacing w:before="120" w:after="120"/>
        <w:jc w:val="both"/>
      </w:pPr>
      <w:r w:rsidRPr="00F36308">
        <w:t>Surveiller et punir</w:t>
      </w:r>
      <w:r>
        <w:t> </w:t>
      </w:r>
      <w:r>
        <w:rPr>
          <w:rStyle w:val="Appelnotedebasdep"/>
        </w:rPr>
        <w:footnoteReference w:id="87"/>
      </w:r>
      <w:r w:rsidRPr="00F36308">
        <w:t xml:space="preserve"> constitue l’ouvrage d’observation qui permet à Foucault de comprendre la corrélation du savoir et du pouvoir. Le s</w:t>
      </w:r>
      <w:r w:rsidRPr="00F36308">
        <w:t>a</w:t>
      </w:r>
      <w:r w:rsidRPr="00F36308">
        <w:t xml:space="preserve">voir véhicule et alimente tout discours au service du pouvoir dans son exercice. </w:t>
      </w:r>
      <w:r w:rsidRPr="00F36308">
        <w:rPr>
          <w:bCs/>
          <w:iCs/>
        </w:rPr>
        <w:t>Le pouvoir en retour finance et encourage la production et l’avancement des connaissances</w:t>
      </w:r>
      <w:r w:rsidRPr="00F36308">
        <w:t xml:space="preserve"> qui soutiennent et alimentent les él</w:t>
      </w:r>
      <w:r w:rsidRPr="00F36308">
        <w:t>é</w:t>
      </w:r>
      <w:r w:rsidRPr="00F36308">
        <w:t>ments de l’idéologie du pouvoir. Les intellectuels se mettent au serv</w:t>
      </w:r>
      <w:r w:rsidRPr="00F36308">
        <w:t>i</w:t>
      </w:r>
      <w:r w:rsidRPr="00F36308">
        <w:t>ce du pouvoir et le pouvoir contrôle le savoir. Ce rapport se r</w:t>
      </w:r>
      <w:r w:rsidRPr="00F36308">
        <w:t>e</w:t>
      </w:r>
      <w:r w:rsidRPr="00F36308">
        <w:t>produit dans le temps et dans l’espace et à tous les niveaux de la sphère soci</w:t>
      </w:r>
      <w:r w:rsidRPr="00F36308">
        <w:t>a</w:t>
      </w:r>
      <w:r w:rsidRPr="00F36308">
        <w:t>le. Ainsi, pour assurer leur hégémonie sur le corps social, les élites s’appuient sur la production des savoirs : « ce n’est pas simpl</w:t>
      </w:r>
      <w:r w:rsidRPr="00F36308">
        <w:t>e</w:t>
      </w:r>
      <w:r w:rsidRPr="00F36308">
        <w:t>ment au niveau de la conscience, des représentations et dans ce qu’on croit s</w:t>
      </w:r>
      <w:r w:rsidRPr="00F36308">
        <w:t>a</w:t>
      </w:r>
      <w:r w:rsidRPr="00F36308">
        <w:t>voir, mais au niveau de ce qui rend possible un savoir que se fait l’investissement politique »</w:t>
      </w:r>
      <w:r>
        <w:t> </w:t>
      </w:r>
      <w:r>
        <w:rPr>
          <w:rStyle w:val="Appelnotedebasdep"/>
        </w:rPr>
        <w:footnoteReference w:id="88"/>
      </w:r>
      <w:r w:rsidRPr="00F36308">
        <w:t>. Donc, « c’est le savoir et la form</w:t>
      </w:r>
      <w:r w:rsidRPr="00F36308">
        <w:t>a</w:t>
      </w:r>
      <w:r w:rsidRPr="00F36308">
        <w:t>tion qui doivent assurer au pouvoir l’efficacité des techniques d’assujettissement, sous forme, par exemple, de techniques de survei</w:t>
      </w:r>
      <w:r w:rsidRPr="00F36308">
        <w:t>l</w:t>
      </w:r>
      <w:r w:rsidRPr="00F36308">
        <w:t>lance de plus en plus sophistiquées, ainsi que sous forme de techn</w:t>
      </w:r>
      <w:r w:rsidRPr="00F36308">
        <w:t>i</w:t>
      </w:r>
      <w:r w:rsidRPr="00F36308">
        <w:t>ques de normalisation »</w:t>
      </w:r>
      <w:r>
        <w:t> </w:t>
      </w:r>
      <w:r>
        <w:rPr>
          <w:rStyle w:val="Appelnotedebasdep"/>
        </w:rPr>
        <w:footnoteReference w:id="89"/>
      </w:r>
      <w:r w:rsidRPr="00F36308">
        <w:t>.</w:t>
      </w:r>
    </w:p>
    <w:p w:rsidR="004C50DC" w:rsidRPr="00576E8A" w:rsidRDefault="004C50DC" w:rsidP="004C50DC">
      <w:pPr>
        <w:spacing w:before="120" w:after="120"/>
        <w:jc w:val="both"/>
      </w:pPr>
      <w:r w:rsidRPr="00F36308">
        <w:t xml:space="preserve">Pour Christian Ghassarian, Michel </w:t>
      </w:r>
      <w:r w:rsidRPr="00576E8A">
        <w:t>Foucault croit que celui qui « connaît » ou qui « veut connaître » est privilégié dans sa relation à « l’Autre », le « connu »</w:t>
      </w:r>
      <w:r>
        <w:t> </w:t>
      </w:r>
      <w:r w:rsidRPr="00576E8A">
        <w:rPr>
          <w:rStyle w:val="Appelnotedebasdep"/>
        </w:rPr>
        <w:footnoteReference w:id="90"/>
      </w:r>
      <w:r w:rsidRPr="00576E8A">
        <w:t>. Le savoir des individus sur lesquels po</w:t>
      </w:r>
      <w:r w:rsidRPr="00576E8A">
        <w:t>r</w:t>
      </w:r>
      <w:r w:rsidRPr="00576E8A">
        <w:t>tent les reche</w:t>
      </w:r>
      <w:r w:rsidRPr="00576E8A">
        <w:t>r</w:t>
      </w:r>
      <w:r w:rsidRPr="00576E8A">
        <w:t>ches anthropologiques est souvent « disqualifié », « subjugué » parce que jugé « inadéquat », populaire et non struct</w:t>
      </w:r>
      <w:r w:rsidRPr="00576E8A">
        <w:t>u</w:t>
      </w:r>
      <w:r w:rsidRPr="00576E8A">
        <w:t>ré</w:t>
      </w:r>
      <w:r>
        <w:t> </w:t>
      </w:r>
      <w:r w:rsidRPr="00576E8A">
        <w:rPr>
          <w:rStyle w:val="Appelnotedebasdep"/>
        </w:rPr>
        <w:footnoteReference w:id="91"/>
      </w:r>
      <w:r w:rsidRPr="00576E8A">
        <w:t>. À ce titre, Foucault croit que celui qui sait, parle et produit le s</w:t>
      </w:r>
      <w:r w:rsidRPr="00576E8A">
        <w:t>a</w:t>
      </w:r>
      <w:r w:rsidRPr="00576E8A">
        <w:t>voir, influence et a le pouvoir dans les différentes sociétés. Pour co</w:t>
      </w:r>
      <w:r w:rsidRPr="00576E8A">
        <w:t>m</w:t>
      </w:r>
      <w:r w:rsidRPr="00576E8A">
        <w:t>pre</w:t>
      </w:r>
      <w:r w:rsidRPr="00576E8A">
        <w:t>n</w:t>
      </w:r>
      <w:r w:rsidRPr="00576E8A">
        <w:t>dre le rôle de l’intellectuel et le poids de sa production, il faut le situer par rapport à sa ligne politique et idéologique au même titre que ses problèmes d’éthique et de rigueur scientifique. En se mettant au serv</w:t>
      </w:r>
      <w:r w:rsidRPr="00576E8A">
        <w:t>i</w:t>
      </w:r>
      <w:r w:rsidRPr="00576E8A">
        <w:t>ce de la politique, il sert de carburant au bon fonctionnement du système. Il d</w:t>
      </w:r>
      <w:r w:rsidRPr="00576E8A">
        <w:t>e</w:t>
      </w:r>
      <w:r w:rsidRPr="00576E8A">
        <w:t>vient un instrument stratégique du pouvoir. L’ethnologue doit s’intéresser au pouvoir dans ses analyses des soci</w:t>
      </w:r>
      <w:r w:rsidRPr="00576E8A">
        <w:t>é</w:t>
      </w:r>
      <w:r w:rsidRPr="00576E8A">
        <w:t>tés anciennement colonisées. Les productions littéraires, ethnograph</w:t>
      </w:r>
      <w:r w:rsidRPr="00576E8A">
        <w:t>i</w:t>
      </w:r>
      <w:r w:rsidRPr="00576E8A">
        <w:t>ques, histor</w:t>
      </w:r>
      <w:r w:rsidRPr="00576E8A">
        <w:t>i</w:t>
      </w:r>
      <w:r w:rsidRPr="00576E8A">
        <w:t>ques et philosophiques sont réalisées dans un contexte d’actions ou de déte</w:t>
      </w:r>
      <w:r w:rsidRPr="00576E8A">
        <w:t>r</w:t>
      </w:r>
      <w:r w:rsidRPr="00576E8A">
        <w:t>mination du pouvoir.</w:t>
      </w:r>
      <w:r>
        <w:t xml:space="preserve"> [31]</w:t>
      </w:r>
      <w:r w:rsidRPr="00576E8A">
        <w:t xml:space="preserve"> La théorie du discours et du pouvoir inte</w:t>
      </w:r>
      <w:r w:rsidRPr="00576E8A">
        <w:t>r</w:t>
      </w:r>
      <w:r w:rsidRPr="00576E8A">
        <w:t>roge aujourd’hui « le rôle institutionnel de l’anthropologie à la fois dans la reproduction et dans la remise en ca</w:t>
      </w:r>
      <w:r w:rsidRPr="00576E8A">
        <w:t>u</w:t>
      </w:r>
      <w:r w:rsidRPr="00576E8A">
        <w:t>se des relations de po</w:t>
      </w:r>
      <w:r w:rsidRPr="00576E8A">
        <w:t>u</w:t>
      </w:r>
      <w:r w:rsidRPr="00576E8A">
        <w:t>voir »</w:t>
      </w:r>
      <w:r>
        <w:t> </w:t>
      </w:r>
      <w:r>
        <w:rPr>
          <w:rStyle w:val="Appelnotedebasdep"/>
        </w:rPr>
        <w:footnoteReference w:id="92"/>
      </w:r>
      <w:r w:rsidRPr="00576E8A">
        <w:t>.</w:t>
      </w:r>
    </w:p>
    <w:p w:rsidR="004C50DC" w:rsidRPr="00F36308" w:rsidRDefault="004C50DC" w:rsidP="004C50DC">
      <w:pPr>
        <w:spacing w:before="120" w:after="120"/>
        <w:jc w:val="both"/>
      </w:pPr>
      <w:r w:rsidRPr="00576E8A">
        <w:t>Les discours sur la décolonisation doivent être examinés dans leurs contextes sociaux, politiques et historiques, car « l</w:t>
      </w:r>
      <w:r w:rsidRPr="00576E8A">
        <w:rPr>
          <w:rFonts w:eastAsia="Calibri"/>
          <w:lang w:eastAsia="en-CA"/>
        </w:rPr>
        <w:t>a production du di</w:t>
      </w:r>
      <w:r w:rsidRPr="00576E8A">
        <w:rPr>
          <w:rFonts w:eastAsia="Calibri"/>
          <w:lang w:eastAsia="en-CA"/>
        </w:rPr>
        <w:t>s</w:t>
      </w:r>
      <w:r w:rsidRPr="00576E8A">
        <w:rPr>
          <w:rFonts w:eastAsia="Calibri"/>
          <w:lang w:eastAsia="en-CA"/>
        </w:rPr>
        <w:t>cours s’organise selon des procédures de contrôle et de sélection »</w:t>
      </w:r>
      <w:r>
        <w:rPr>
          <w:rFonts w:eastAsia="Calibri"/>
          <w:lang w:eastAsia="en-CA"/>
        </w:rPr>
        <w:t> </w:t>
      </w:r>
      <w:r>
        <w:rPr>
          <w:rStyle w:val="Appelnotedebasdep"/>
          <w:rFonts w:eastAsia="Calibri"/>
          <w:lang w:eastAsia="en-CA"/>
        </w:rPr>
        <w:footnoteReference w:id="93"/>
      </w:r>
      <w:r w:rsidRPr="00576E8A">
        <w:rPr>
          <w:rFonts w:eastAsia="Calibri"/>
          <w:szCs w:val="19"/>
          <w:lang w:eastAsia="en-CA"/>
        </w:rPr>
        <w:t xml:space="preserve">. </w:t>
      </w:r>
      <w:r w:rsidRPr="00576E8A">
        <w:t>Il faut analyser la production de ces connaissances à l’aune de la rel</w:t>
      </w:r>
      <w:r w:rsidRPr="00576E8A">
        <w:t>a</w:t>
      </w:r>
      <w:r w:rsidRPr="00576E8A">
        <w:t>tion binaire « savoir et pouvoir », c</w:t>
      </w:r>
      <w:r w:rsidRPr="00F36308">
        <w:t>’est-à-dire « […] qu’il n’y a pas de r</w:t>
      </w:r>
      <w:r w:rsidRPr="00F36308">
        <w:t>e</w:t>
      </w:r>
      <w:r w:rsidRPr="00F36308">
        <w:t>lations de pouvoir sans constitution corrélative d’un champ de s</w:t>
      </w:r>
      <w:r w:rsidRPr="00F36308">
        <w:t>a</w:t>
      </w:r>
      <w:r w:rsidRPr="00F36308">
        <w:t>voir, ni de savoir qui ne suppose et ne constitue en même temps des rel</w:t>
      </w:r>
      <w:r w:rsidRPr="00F36308">
        <w:t>a</w:t>
      </w:r>
      <w:r w:rsidRPr="00F36308">
        <w:t>tions de pouvoir »</w:t>
      </w:r>
      <w:r>
        <w:t> </w:t>
      </w:r>
      <w:r>
        <w:rPr>
          <w:rStyle w:val="Appelnotedebasdep"/>
        </w:rPr>
        <w:footnoteReference w:id="94"/>
      </w:r>
      <w:r w:rsidRPr="00F36308">
        <w:t>. Selon Michel</w:t>
      </w:r>
      <w:r>
        <w:t> </w:t>
      </w:r>
      <w:r w:rsidRPr="00F36308">
        <w:t>Foucault,</w:t>
      </w:r>
    </w:p>
    <w:p w:rsidR="004C50DC" w:rsidRDefault="004C50DC" w:rsidP="004C50DC">
      <w:pPr>
        <w:pStyle w:val="Citation0"/>
      </w:pPr>
    </w:p>
    <w:p w:rsidR="004C50DC" w:rsidRDefault="004C50DC" w:rsidP="004C50DC">
      <w:pPr>
        <w:pStyle w:val="Citation0"/>
      </w:pPr>
      <w:r w:rsidRPr="00C92F30">
        <w:t>[les] rapports de pouvoir-savoir ne sont pas à analyser à partir d’un s</w:t>
      </w:r>
      <w:r w:rsidRPr="00C92F30">
        <w:t>u</w:t>
      </w:r>
      <w:r w:rsidRPr="00C92F30">
        <w:t>jet de connaissance qui serait libre ou non par rapport au système de po</w:t>
      </w:r>
      <w:r w:rsidRPr="00C92F30">
        <w:t>u</w:t>
      </w:r>
      <w:r w:rsidRPr="00C92F30">
        <w:t>voir ; mais il faut considérer au contraire que le sujet qui connaît, les o</w:t>
      </w:r>
      <w:r w:rsidRPr="00C92F30">
        <w:t>b</w:t>
      </w:r>
      <w:r w:rsidRPr="00C92F30">
        <w:t>jets à connaître et les modalités de connaissance sont autant d’effets de ces i</w:t>
      </w:r>
      <w:r w:rsidRPr="00C92F30">
        <w:t>m</w:t>
      </w:r>
      <w:r w:rsidRPr="00C92F30">
        <w:t>plications fondamentales du pouvoir-savoir et de leurs transformations hi</w:t>
      </w:r>
      <w:r w:rsidRPr="00C92F30">
        <w:t>s</w:t>
      </w:r>
      <w:r w:rsidRPr="00C92F30">
        <w:t>toriques</w:t>
      </w:r>
      <w:r>
        <w:t> </w:t>
      </w:r>
      <w:r>
        <w:rPr>
          <w:rStyle w:val="Appelnotedebasdep"/>
        </w:rPr>
        <w:footnoteReference w:id="95"/>
      </w:r>
      <w:r w:rsidRPr="00C92F30">
        <w:t>.</w:t>
      </w:r>
    </w:p>
    <w:p w:rsidR="004C50DC" w:rsidRPr="00C92F30" w:rsidRDefault="004C50DC" w:rsidP="004C50DC">
      <w:pPr>
        <w:pStyle w:val="Citation0"/>
      </w:pPr>
    </w:p>
    <w:p w:rsidR="004C50DC" w:rsidRPr="00576E8A" w:rsidRDefault="004C50DC" w:rsidP="004C50DC">
      <w:pPr>
        <w:spacing w:before="120" w:after="120"/>
        <w:jc w:val="both"/>
      </w:pPr>
      <w:r w:rsidRPr="00576E8A">
        <w:t xml:space="preserve">L’intérêt de cette question nous porte aussi à joindre les réflexions de Paul Ricœur dans </w:t>
      </w:r>
      <w:r w:rsidRPr="00576E8A">
        <w:rPr>
          <w:i/>
        </w:rPr>
        <w:t xml:space="preserve">La mémoire, l’histoire et l’oubli </w:t>
      </w:r>
      <w:r w:rsidRPr="00576E8A">
        <w:t>à celles de M</w:t>
      </w:r>
      <w:r w:rsidRPr="00576E8A">
        <w:t>i</w:t>
      </w:r>
      <w:r w:rsidRPr="00576E8A">
        <w:t>chel Foucault pour comprendre la dynamique des manipulations de la mémoire « s’intercalant entre la revendication d’identité et les expre</w:t>
      </w:r>
      <w:r w:rsidRPr="00576E8A">
        <w:t>s</w:t>
      </w:r>
      <w:r w:rsidRPr="00576E8A">
        <w:t>sions publiques sous l’influence du phénomène de l’idéologie »</w:t>
      </w:r>
      <w:r>
        <w:t> </w:t>
      </w:r>
      <w:r w:rsidRPr="00576E8A">
        <w:rPr>
          <w:rStyle w:val="Appelnotedebasdep"/>
        </w:rPr>
        <w:footnoteReference w:id="96"/>
      </w:r>
      <w:r w:rsidRPr="00576E8A">
        <w:t>. « Le récit imposé […] et les abus exprès de la mémoire deviennent son in</w:t>
      </w:r>
      <w:r w:rsidRPr="00576E8A">
        <w:t>s</w:t>
      </w:r>
      <w:r w:rsidRPr="00576E8A">
        <w:t>trument privilégié »</w:t>
      </w:r>
      <w:r>
        <w:t> </w:t>
      </w:r>
      <w:r w:rsidRPr="00576E8A">
        <w:rPr>
          <w:rStyle w:val="Appelnotedebasdep"/>
        </w:rPr>
        <w:footnoteReference w:id="97"/>
      </w:r>
      <w:r w:rsidRPr="00576E8A">
        <w:t>. La mémoire autorisée est souvent le fruit de l’histoire officielle, apprise et enseignée au bénéfice de la remémor</w:t>
      </w:r>
      <w:r w:rsidRPr="00576E8A">
        <w:t>a</w:t>
      </w:r>
      <w:r w:rsidRPr="00576E8A">
        <w:t>tion d’événements fondateurs de l’identité commune en tenant compte aussi du contexte et des conditions historiques. Enfin, il convient d’ajouter à cette mémorisation forcée les commémorations conv</w:t>
      </w:r>
      <w:r w:rsidRPr="00576E8A">
        <w:t>e</w:t>
      </w:r>
      <w:r w:rsidRPr="00576E8A">
        <w:t>nues</w:t>
      </w:r>
      <w:r>
        <w:t> </w:t>
      </w:r>
      <w:r w:rsidRPr="00576E8A">
        <w:rPr>
          <w:rStyle w:val="Appelnotedebasdep"/>
        </w:rPr>
        <w:footnoteReference w:id="98"/>
      </w:r>
      <w:r w:rsidRPr="00576E8A">
        <w:t>. Paul Ricœur est troublé par « l’inquiétant spectacle que donne le trop de mémoire ici, le trop d’oubli ailleurs, pour ne rien dire de</w:t>
      </w:r>
      <w:r>
        <w:t xml:space="preserve"> [32]</w:t>
      </w:r>
      <w:r w:rsidRPr="00576E8A">
        <w:t xml:space="preserve"> l’influence des commémorations et des abus de mémoire et d’oubli »</w:t>
      </w:r>
      <w:r>
        <w:t> </w:t>
      </w:r>
      <w:r>
        <w:rPr>
          <w:rStyle w:val="Appelnotedebasdep"/>
        </w:rPr>
        <w:footnoteReference w:id="99"/>
      </w:r>
      <w:r w:rsidRPr="00576E8A">
        <w:t>. Aussi se positionne-t-il : « l’idée d’une politique de la ju</w:t>
      </w:r>
      <w:r w:rsidRPr="00576E8A">
        <w:t>s</w:t>
      </w:r>
      <w:r w:rsidRPr="00576E8A">
        <w:t>te mémoire est à cet égard un de mes thèmes civiques avoués »</w:t>
      </w:r>
      <w:r>
        <w:t> </w:t>
      </w:r>
      <w:r>
        <w:rPr>
          <w:rStyle w:val="Appelnotedebasdep"/>
        </w:rPr>
        <w:footnoteReference w:id="100"/>
      </w:r>
      <w:r w:rsidRPr="00576E8A">
        <w:t>.</w:t>
      </w:r>
    </w:p>
    <w:p w:rsidR="004C50DC" w:rsidRPr="00E8358C" w:rsidRDefault="004C50DC" w:rsidP="004C50DC">
      <w:pPr>
        <w:spacing w:before="120" w:after="120"/>
        <w:jc w:val="both"/>
      </w:pPr>
      <w:r w:rsidRPr="00E8358C">
        <w:t xml:space="preserve">Ces approches permettent d’éclairer la construction du savoir et les pratiques populaires en Haïti. La production des connaissances fut longtemps marquée, jusqu’à </w:t>
      </w:r>
      <w:r w:rsidRPr="00E8358C">
        <w:rPr>
          <w:i/>
        </w:rPr>
        <w:t>Ainsi parla l’oncle</w:t>
      </w:r>
      <w:r>
        <w:t> </w:t>
      </w:r>
      <w:r>
        <w:rPr>
          <w:rStyle w:val="Appelnotedebasdep"/>
        </w:rPr>
        <w:footnoteReference w:id="101"/>
      </w:r>
      <w:r w:rsidRPr="00E8358C">
        <w:t>, par un refus off</w:t>
      </w:r>
      <w:r w:rsidRPr="00E8358C">
        <w:t>i</w:t>
      </w:r>
      <w:r w:rsidRPr="00E8358C">
        <w:t>ciel de la part des descendants d’esclaves, pour la plupart intelle</w:t>
      </w:r>
      <w:r w:rsidRPr="00E8358C">
        <w:t>c</w:t>
      </w:r>
      <w:r w:rsidRPr="00E8358C">
        <w:t>tuels</w:t>
      </w:r>
      <w:r>
        <w:t> </w:t>
      </w:r>
      <w:r>
        <w:rPr>
          <w:rStyle w:val="Appelnotedebasdep"/>
        </w:rPr>
        <w:footnoteReference w:id="102"/>
      </w:r>
      <w:r w:rsidRPr="00E8358C">
        <w:t xml:space="preserve"> et politiques formés surtout en </w:t>
      </w:r>
      <w:r>
        <w:t>France </w:t>
      </w:r>
      <w:r>
        <w:rPr>
          <w:rStyle w:val="Appelnotedebasdep"/>
        </w:rPr>
        <w:footnoteReference w:id="103"/>
      </w:r>
      <w:r w:rsidRPr="00E8358C">
        <w:t>, d’accepter le statut de l’origine africaine ; ils portaient sur celle-ci des jugements moraux, voire ethn</w:t>
      </w:r>
      <w:r w:rsidRPr="00E8358C">
        <w:t>i</w:t>
      </w:r>
      <w:r w:rsidRPr="00E8358C">
        <w:t>cisés, pour se construire une image en dehors de celle de la masse paysanne. On constatait chez eux une révulsion pour la culture afr</w:t>
      </w:r>
      <w:r w:rsidRPr="00E8358C">
        <w:t>i</w:t>
      </w:r>
      <w:r w:rsidRPr="00E8358C">
        <w:t xml:space="preserve">caine. </w:t>
      </w:r>
      <w:r w:rsidRPr="00265E7D">
        <w:t>Leur choix culturel élitaire fut celui de l’adoption d’un ense</w:t>
      </w:r>
      <w:r w:rsidRPr="00265E7D">
        <w:t>i</w:t>
      </w:r>
      <w:r w:rsidRPr="00265E7D">
        <w:t>gnement basé sur la culture française vue comme « suprême réalis</w:t>
      </w:r>
      <w:r w:rsidRPr="00265E7D">
        <w:t>a</w:t>
      </w:r>
      <w:r w:rsidRPr="00265E7D">
        <w:t>tion du monde civilisé, et la maîtrise de sa langue, supérieure à toute autre »</w:t>
      </w:r>
      <w:r>
        <w:t> </w:t>
      </w:r>
      <w:r>
        <w:rPr>
          <w:rStyle w:val="Appelnotedebasdep"/>
        </w:rPr>
        <w:footnoteReference w:id="104"/>
      </w:r>
      <w:r w:rsidRPr="00265E7D">
        <w:t>.</w:t>
      </w:r>
      <w:r w:rsidRPr="00E8358C">
        <w:t xml:space="preserve"> La « mouvance indigéniste »</w:t>
      </w:r>
      <w:r>
        <w:t> </w:t>
      </w:r>
      <w:r>
        <w:rPr>
          <w:rStyle w:val="Appelnotedebasdep"/>
        </w:rPr>
        <w:footnoteReference w:id="105"/>
      </w:r>
      <w:r w:rsidRPr="00E8358C">
        <w:t xml:space="preserve"> allait atténuer ce positionn</w:t>
      </w:r>
      <w:r w:rsidRPr="00E8358C">
        <w:t>e</w:t>
      </w:r>
      <w:r w:rsidRPr="00E8358C">
        <w:t>ment qui avait eu des répercussions sur la transmission des représent</w:t>
      </w:r>
      <w:r w:rsidRPr="00E8358C">
        <w:t>a</w:t>
      </w:r>
      <w:r w:rsidRPr="00E8358C">
        <w:t>tions de l’esclavage. Cette mouvance rend « possible une revaloris</w:t>
      </w:r>
      <w:r w:rsidRPr="00E8358C">
        <w:t>a</w:t>
      </w:r>
      <w:r w:rsidRPr="00E8358C">
        <w:t>tion de la culture populaire, désignée par le vodou »</w:t>
      </w:r>
      <w:r>
        <w:t> </w:t>
      </w:r>
      <w:r>
        <w:rPr>
          <w:rStyle w:val="Appelnotedebasdep"/>
        </w:rPr>
        <w:footnoteReference w:id="106"/>
      </w:r>
      <w:r w:rsidRPr="00E8358C">
        <w:t>.</w:t>
      </w:r>
    </w:p>
    <w:p w:rsidR="004C50DC" w:rsidRDefault="004C50DC" w:rsidP="004C50DC">
      <w:pPr>
        <w:spacing w:before="120" w:after="120"/>
        <w:jc w:val="both"/>
      </w:pPr>
      <w:r>
        <w:t>[33]</w:t>
      </w:r>
    </w:p>
    <w:p w:rsidR="004C50DC" w:rsidRPr="00E8358C" w:rsidRDefault="004C50DC" w:rsidP="004C50DC">
      <w:pPr>
        <w:spacing w:before="120" w:after="120"/>
        <w:jc w:val="both"/>
      </w:pPr>
      <w:r w:rsidRPr="00E8358C">
        <w:t>Bref, « au moment du départ de l’occupant américain en 1934, un regain de nationalisme agite toute la scène littéraire et politique », a écrit Laënnec Hurbon. Dans ce contexte, la « mouvance noiriste » a favorisé plus tard l’intégration dans le programme de l’enseignement supérieur d’un</w:t>
      </w:r>
      <w:r w:rsidRPr="00E8358C">
        <w:rPr>
          <w:i/>
        </w:rPr>
        <w:t xml:space="preserve"> nationalisme noir</w:t>
      </w:r>
      <w:r w:rsidRPr="00E8358C">
        <w:t xml:space="preserve"> axé sur les « races de l’Afrique »</w:t>
      </w:r>
      <w:r w:rsidRPr="00E8358C">
        <w:rPr>
          <w:rStyle w:val="Appelnotedebasdep"/>
        </w:rPr>
        <w:footnoteReference w:id="107"/>
      </w:r>
      <w:r w:rsidRPr="00E8358C">
        <w:t>. Selon Dimitri Béchacq, Lorimer Denis, mentor de François Duvalier, se chargeait de transmettre les valeurs de cette</w:t>
      </w:r>
      <w:r w:rsidRPr="001F7CD8">
        <w:t xml:space="preserve"> nouvelle forme de n</w:t>
      </w:r>
      <w:r w:rsidRPr="001F7CD8">
        <w:t>a</w:t>
      </w:r>
      <w:r w:rsidRPr="001F7CD8">
        <w:t>tionalisme dans la revue Les Griots</w:t>
      </w:r>
      <w:r>
        <w:t> </w:t>
      </w:r>
      <w:r>
        <w:rPr>
          <w:rStyle w:val="Appelnotedebasdep"/>
        </w:rPr>
        <w:footnoteReference w:id="108"/>
      </w:r>
      <w:r w:rsidRPr="001F7CD8">
        <w:t xml:space="preserve">. Justement, Laënnec Hurbon a signalé que « François </w:t>
      </w:r>
      <w:r w:rsidRPr="00E8358C">
        <w:t>Duvalier, médecin de campagne, fera partie des écrivains qui travaillent à faire connaître le vodou comme le lieu le plus authentique de l’haïtianité, et donc de l’affirmation d’une diff</w:t>
      </w:r>
      <w:r w:rsidRPr="00E8358C">
        <w:t>é</w:t>
      </w:r>
      <w:r w:rsidRPr="00E8358C">
        <w:t>rence culturelle »</w:t>
      </w:r>
      <w:r>
        <w:t> </w:t>
      </w:r>
      <w:r>
        <w:rPr>
          <w:rStyle w:val="Appelnotedebasdep"/>
        </w:rPr>
        <w:footnoteReference w:id="109"/>
      </w:r>
      <w:r>
        <w:t>.</w:t>
      </w:r>
    </w:p>
    <w:p w:rsidR="004C50DC" w:rsidRDefault="004C50DC" w:rsidP="004C50DC">
      <w:pPr>
        <w:spacing w:before="120" w:after="120"/>
        <w:jc w:val="both"/>
      </w:pPr>
      <w:bookmarkStart w:id="45" w:name="_Toc406489634"/>
      <w:bookmarkStart w:id="46" w:name="_Toc423347268"/>
      <w:bookmarkStart w:id="47" w:name="_Toc442280446"/>
    </w:p>
    <w:p w:rsidR="004C50DC" w:rsidRPr="00E8358C" w:rsidRDefault="004C50DC" w:rsidP="004C50DC">
      <w:pPr>
        <w:pStyle w:val="a"/>
      </w:pPr>
      <w:r w:rsidRPr="00E8358C">
        <w:t>1.3.2</w:t>
      </w:r>
      <w:r>
        <w:t>.</w:t>
      </w:r>
      <w:r w:rsidRPr="00E8358C">
        <w:t xml:space="preserve"> Postcolonialisme et critiques postcoloniales</w:t>
      </w:r>
      <w:bookmarkEnd w:id="45"/>
      <w:bookmarkEnd w:id="46"/>
      <w:bookmarkEnd w:id="47"/>
    </w:p>
    <w:p w:rsidR="004C50DC" w:rsidRDefault="004C50DC" w:rsidP="004C50DC">
      <w:pPr>
        <w:spacing w:before="120" w:after="120"/>
        <w:jc w:val="both"/>
        <w:rPr>
          <w:lang w:eastAsia="ja-JP"/>
        </w:rPr>
      </w:pPr>
    </w:p>
    <w:p w:rsidR="004C50DC" w:rsidRPr="00E8358C" w:rsidRDefault="004C50DC" w:rsidP="004C50DC">
      <w:pPr>
        <w:spacing w:before="120" w:after="120"/>
        <w:jc w:val="both"/>
        <w:rPr>
          <w:iCs/>
        </w:rPr>
      </w:pPr>
      <w:r w:rsidRPr="00E8358C">
        <w:rPr>
          <w:lang w:eastAsia="ja-JP"/>
        </w:rPr>
        <w:t xml:space="preserve">Le  postcolonialisme dont nous parlons ici ne renvoie pas à l’après-colonialisme (après la période coloniale) comme on le pense souvent. Il est plutôt utilisé dans le sens proposé par le </w:t>
      </w:r>
      <w:r w:rsidRPr="00E8358C">
        <w:t>professeur Mahdi E</w:t>
      </w:r>
      <w:r w:rsidRPr="00E8358C">
        <w:t>l</w:t>
      </w:r>
      <w:r w:rsidRPr="00E8358C">
        <w:t xml:space="preserve">mandjra qui le voit comme </w:t>
      </w:r>
      <w:r w:rsidRPr="00E8358C">
        <w:rPr>
          <w:iCs/>
        </w:rPr>
        <w:t>« le produit d’une fausse décolonisation dont les populations du Sud sont aujourd’hui pleinement conscie</w:t>
      </w:r>
      <w:r w:rsidRPr="00E8358C">
        <w:rPr>
          <w:iCs/>
        </w:rPr>
        <w:t>n</w:t>
      </w:r>
      <w:r w:rsidRPr="00E8358C">
        <w:rPr>
          <w:iCs/>
        </w:rPr>
        <w:t>tes »</w:t>
      </w:r>
      <w:r>
        <w:rPr>
          <w:iCs/>
        </w:rPr>
        <w:t> </w:t>
      </w:r>
      <w:r>
        <w:rPr>
          <w:rStyle w:val="Appelnotedebasdep"/>
          <w:iCs/>
        </w:rPr>
        <w:footnoteReference w:id="110"/>
      </w:r>
      <w:r w:rsidRPr="00E8358C">
        <w:t>,</w:t>
      </w:r>
      <w:r w:rsidRPr="00E8358C">
        <w:rPr>
          <w:iCs/>
        </w:rPr>
        <w:t xml:space="preserve"> et dans le sens de </w:t>
      </w:r>
      <w:r w:rsidRPr="00E8358C">
        <w:t>Homi K. Bhabha qui témoigne « des forces inégales et inégalitaires de représentation culturelle qui sont à l’œuvre dans la contestation de l’autorité politique et sociale au sein de l’ordre mondial moderne »</w:t>
      </w:r>
      <w:r>
        <w:t> </w:t>
      </w:r>
      <w:r w:rsidRPr="00E8358C">
        <w:rPr>
          <w:rStyle w:val="Appelnotedebasdep"/>
        </w:rPr>
        <w:footnoteReference w:id="111"/>
      </w:r>
      <w:r w:rsidRPr="00E8358C">
        <w:t xml:space="preserve">. </w:t>
      </w:r>
      <w:r w:rsidRPr="00E8358C">
        <w:rPr>
          <w:lang w:eastAsia="ja-JP"/>
        </w:rPr>
        <w:t>Certes, les régimes coloniaux institués en Haïti font partie du passé, mais les réalités sociales démontrent qu’Haïti vit encore dans la continuité coloniale. Édouard Glissant a totalement ra</w:t>
      </w:r>
      <w:r w:rsidRPr="00E8358C">
        <w:rPr>
          <w:lang w:eastAsia="ja-JP"/>
        </w:rPr>
        <w:t>i</w:t>
      </w:r>
      <w:r w:rsidRPr="00E8358C">
        <w:rPr>
          <w:lang w:eastAsia="ja-JP"/>
        </w:rPr>
        <w:t>son d’avancer que ce n’est pas parce qu’il y a eu les indépendances et les statuts bâtards comme ceux des Antilles françaises attribués à une « colonisation sans nom » qu’on peut parler de postcolonialisme. C’est vrai, c’est un système colonial paradoxal puisque la Martinique et la Guadeloupe sont intégrées à la métropole. Cependant, le postc</w:t>
      </w:r>
      <w:r w:rsidRPr="00E8358C">
        <w:rPr>
          <w:lang w:eastAsia="ja-JP"/>
        </w:rPr>
        <w:t>o</w:t>
      </w:r>
      <w:r w:rsidRPr="00E8358C">
        <w:rPr>
          <w:lang w:eastAsia="ja-JP"/>
        </w:rPr>
        <w:t>lonialisme nous intéresse pour traiter de la problématique</w:t>
      </w:r>
      <w:r>
        <w:rPr>
          <w:lang w:eastAsia="ja-JP"/>
        </w:rPr>
        <w:t xml:space="preserve"> [34]</w:t>
      </w:r>
      <w:r w:rsidRPr="00E8358C">
        <w:rPr>
          <w:lang w:eastAsia="ja-JP"/>
        </w:rPr>
        <w:t xml:space="preserve"> de la continuité du système colonial dans les pratiques culturelles, polit</w:t>
      </w:r>
      <w:r w:rsidRPr="00E8358C">
        <w:rPr>
          <w:lang w:eastAsia="ja-JP"/>
        </w:rPr>
        <w:t>i</w:t>
      </w:r>
      <w:r w:rsidRPr="00E8358C">
        <w:rPr>
          <w:lang w:eastAsia="ja-JP"/>
        </w:rPr>
        <w:t xml:space="preserve">ques et économiques haïtiennes. L’épistémologie « postcoloniale » permet de déconstruire la pensée coloniale et ses représentations. </w:t>
      </w:r>
      <w:r w:rsidRPr="00E8358C">
        <w:t>S</w:t>
      </w:r>
      <w:r w:rsidRPr="00E8358C">
        <w:t>e</w:t>
      </w:r>
      <w:r w:rsidRPr="00E8358C">
        <w:t xml:space="preserve">lon </w:t>
      </w:r>
      <w:r w:rsidRPr="00E8358C">
        <w:rPr>
          <w:rFonts w:eastAsia="Calibri"/>
          <w:lang w:eastAsia="en-CA"/>
        </w:rPr>
        <w:t>Achille Mbembe, « la pensée postcoloniale est également une pensée du rêve : le rêve d’une nouvelle forme d’humanisme – un h</w:t>
      </w:r>
      <w:r w:rsidRPr="00E8358C">
        <w:rPr>
          <w:rFonts w:eastAsia="Calibri"/>
          <w:lang w:eastAsia="en-CA"/>
        </w:rPr>
        <w:t>u</w:t>
      </w:r>
      <w:r w:rsidRPr="00E8358C">
        <w:rPr>
          <w:rFonts w:eastAsia="Calibri"/>
          <w:lang w:eastAsia="en-CA"/>
        </w:rPr>
        <w:t>manisme critique qui serait fondé avant tout sur le partage de ce qui nous différencie, en deçà des absolus »</w:t>
      </w:r>
      <w:r>
        <w:rPr>
          <w:rFonts w:eastAsia="Calibri"/>
          <w:lang w:eastAsia="en-CA"/>
        </w:rPr>
        <w:t> </w:t>
      </w:r>
      <w:r w:rsidRPr="00E8358C">
        <w:rPr>
          <w:rStyle w:val="Appelnotedebasdep"/>
          <w:rFonts w:eastAsia="Calibri"/>
          <w:lang w:eastAsia="en-CA"/>
        </w:rPr>
        <w:footnoteReference w:id="112"/>
      </w:r>
      <w:r w:rsidRPr="00E8358C">
        <w:rPr>
          <w:rFonts w:eastAsia="Calibri"/>
          <w:lang w:eastAsia="en-CA"/>
        </w:rPr>
        <w:t>.</w:t>
      </w:r>
    </w:p>
    <w:p w:rsidR="004C50DC" w:rsidRPr="00E8358C" w:rsidRDefault="004C50DC" w:rsidP="004C50DC">
      <w:pPr>
        <w:spacing w:before="120" w:after="120"/>
        <w:jc w:val="both"/>
      </w:pPr>
      <w:r w:rsidRPr="00E8358C">
        <w:t xml:space="preserve">La théorie postcoloniale se donne pour objet d’étude le rapport que gardent encore les anciens colonisés avec leur passé perçu à la fois comme histoire et mémoire. Le postcolonialisme s’intéresse à toutes les sociétés et les cultures que la colonisation a grandement affectées. Des théoriciens comme Edward Saïd, Gayatri Chakravorty Spivak, Homi K. Bhabah  l’ont développé dans des institutions universitaires anglophones sous l’appellation de </w:t>
      </w:r>
      <w:r w:rsidRPr="00E8358C">
        <w:rPr>
          <w:i/>
        </w:rPr>
        <w:t>postcolonial studies</w:t>
      </w:r>
      <w:r w:rsidRPr="00E8358C">
        <w:t>. En effet, les auteurs, sous l’influence des travaux de philosophes tels queJacques Derrida, Gilles Deleuze et Michel Foucault et d’essayistes tels qu’Albert Memmi, Frantz Fanon ou Dominique-Octave Mannoni, cherchent à déconstruire les discours occidentaux et ethnocentriques véhiculés par l’histoire, la littérature et les théories esthétiques eur</w:t>
      </w:r>
      <w:r w:rsidRPr="00E8358C">
        <w:t>o</w:t>
      </w:r>
      <w:r w:rsidRPr="00E8358C">
        <w:t>péennes</w:t>
      </w:r>
      <w:r>
        <w:t> </w:t>
      </w:r>
      <w:r w:rsidRPr="00E8358C">
        <w:rPr>
          <w:rStyle w:val="Appelnotedebasdep"/>
        </w:rPr>
        <w:footnoteReference w:id="113"/>
      </w:r>
      <w:r w:rsidRPr="00E8358C">
        <w:t xml:space="preserve">. Dès le départ, les </w:t>
      </w:r>
      <w:r w:rsidRPr="00E8358C">
        <w:rPr>
          <w:i/>
          <w:iCs/>
        </w:rPr>
        <w:t xml:space="preserve">postcolonial studies </w:t>
      </w:r>
      <w:r w:rsidRPr="00E8358C">
        <w:t>se sont donné pour objectif « de décrire et d’analyser les phénomènes d’appropriation ou d’abrogation, de mimétisme ou de résistance, de soumission ou de défi, de rejet ou de greffe qui sont au travail dans les littératures dites du Commonwealth »</w:t>
      </w:r>
      <w:r>
        <w:t> </w:t>
      </w:r>
      <w:r>
        <w:rPr>
          <w:rStyle w:val="Appelnotedebasdep"/>
        </w:rPr>
        <w:footnoteReference w:id="114"/>
      </w:r>
      <w:r w:rsidRPr="00E8358C">
        <w:t>. À travers ces objectifs, ils veulent proposer une nouvelle historiographie en dehors de la pensée occidentale.</w:t>
      </w:r>
    </w:p>
    <w:p w:rsidR="004C50DC" w:rsidRPr="00E8358C" w:rsidRDefault="004C50DC" w:rsidP="004C50DC">
      <w:pPr>
        <w:spacing w:before="120" w:after="120"/>
        <w:jc w:val="both"/>
      </w:pPr>
      <w:r w:rsidRPr="00E8358C">
        <w:t>En se focalisant aujourd’hui sur les groupes dominés et exploités, la critique dite « postcoloniale » prend en compte les contextes hist</w:t>
      </w:r>
      <w:r w:rsidRPr="00E8358C">
        <w:t>o</w:t>
      </w:r>
      <w:r w:rsidRPr="00E8358C">
        <w:t>riques et culturels de la production des connaissances. Ces études postcolonialesveulent être interdisciplinaires (littérature, anthropol</w:t>
      </w:r>
      <w:r w:rsidRPr="00E8358C">
        <w:t>o</w:t>
      </w:r>
      <w:r w:rsidRPr="00E8358C">
        <w:t>gie, histoire, etc.) pour explorer l’impact du pouvoir colonial sur les cultures des</w:t>
      </w:r>
      <w:r>
        <w:t xml:space="preserve"> [35]</w:t>
      </w:r>
      <w:r w:rsidRPr="00E8358C">
        <w:t xml:space="preserve"> colonisés par le passé, et sur la reproduction des r</w:t>
      </w:r>
      <w:r w:rsidRPr="00E8358C">
        <w:t>e</w:t>
      </w:r>
      <w:r w:rsidRPr="00E8358C">
        <w:t>présentations et des pratiques coloniales dans le présent</w:t>
      </w:r>
      <w:r>
        <w:t> </w:t>
      </w:r>
      <w:r w:rsidRPr="00E8358C">
        <w:rPr>
          <w:rStyle w:val="Appelnotedebasdep"/>
        </w:rPr>
        <w:footnoteReference w:id="115"/>
      </w:r>
      <w:r>
        <w:t>.</w:t>
      </w:r>
    </w:p>
    <w:p w:rsidR="004C50DC" w:rsidRPr="00E8358C" w:rsidRDefault="004C50DC" w:rsidP="004C50DC">
      <w:pPr>
        <w:spacing w:before="120" w:after="120"/>
        <w:jc w:val="both"/>
        <w:rPr>
          <w:i/>
          <w:iCs/>
        </w:rPr>
      </w:pPr>
      <w:r w:rsidRPr="00E8358C">
        <w:t>Le postcolonialisme ne se limite pas seulement aux critiques, il p</w:t>
      </w:r>
      <w:r w:rsidRPr="00E8358C">
        <w:t>o</w:t>
      </w:r>
      <w:r w:rsidRPr="00E8358C">
        <w:t>se les jalons pour un examen comparatiste de l’influence et des inc</w:t>
      </w:r>
      <w:r w:rsidRPr="00E8358C">
        <w:t>i</w:t>
      </w:r>
      <w:r w:rsidRPr="00E8358C">
        <w:t>dences de la culture coloniale européenne en particulier sur la produ</w:t>
      </w:r>
      <w:r w:rsidRPr="00E8358C">
        <w:t>c</w:t>
      </w:r>
      <w:r w:rsidRPr="00E8358C">
        <w:t>tion littéraire et historique des auteurs issus des anciennes métropoles et des anciennes colonies. Il ouvre aussi le débat sur la question de l’identité en s’intéressant au problème de sa construction dans les pays anciennement colonisés relativement au système de valeurs fondé sur des idées européennes et occidentales présumées supérieures.</w:t>
      </w:r>
    </w:p>
    <w:p w:rsidR="004C50DC" w:rsidRPr="00E8358C" w:rsidRDefault="004C50DC" w:rsidP="004C50DC">
      <w:pPr>
        <w:spacing w:before="120" w:after="120"/>
        <w:jc w:val="both"/>
      </w:pPr>
      <w:r w:rsidRPr="00E8358C">
        <w:rPr>
          <w:iCs/>
        </w:rPr>
        <w:t xml:space="preserve">Dans </w:t>
      </w:r>
      <w:r w:rsidRPr="00E8358C">
        <w:rPr>
          <w:i/>
          <w:iCs/>
        </w:rPr>
        <w:t xml:space="preserve">Peau noire, masques blancs </w:t>
      </w:r>
      <w:r w:rsidRPr="00E8358C">
        <w:rPr>
          <w:iCs/>
        </w:rPr>
        <w:t xml:space="preserve">et </w:t>
      </w:r>
      <w:r w:rsidRPr="00E8358C">
        <w:rPr>
          <w:i/>
          <w:iCs/>
        </w:rPr>
        <w:t>Les damnés de la terre</w:t>
      </w:r>
      <w:r>
        <w:rPr>
          <w:iCs/>
        </w:rPr>
        <w:t> </w:t>
      </w:r>
      <w:r>
        <w:rPr>
          <w:rStyle w:val="Appelnotedebasdep"/>
          <w:iCs/>
        </w:rPr>
        <w:footnoteReference w:id="116"/>
      </w:r>
      <w:r w:rsidRPr="00E8358C">
        <w:rPr>
          <w:iCs/>
        </w:rPr>
        <w:t xml:space="preserve">, Frantz Fanon </w:t>
      </w:r>
      <w:r w:rsidRPr="00E8358C">
        <w:t>dénonce les conceptions et les représentations dont les descendants d’esclaves ont été longtemps l’objet. Ces ouvrages ont beaucoup contribué au développement du postcolonialisme en tant que théorie critique du discours colonial et de ses corollaires dans les sociétés anciennement colonisées des Caraïbes et de l’Amérique lat</w:t>
      </w:r>
      <w:r w:rsidRPr="00E8358C">
        <w:t>i</w:t>
      </w:r>
      <w:r w:rsidRPr="00E8358C">
        <w:t xml:space="preserve">ne. À cet égard, Frantz Fanon a effectué un travail de déconstruction de l’ordre colonial. </w:t>
      </w:r>
      <w:r w:rsidRPr="00E8358C">
        <w:rPr>
          <w:i/>
          <w:iCs/>
        </w:rPr>
        <w:t xml:space="preserve">L’Orientalisme </w:t>
      </w:r>
      <w:r w:rsidRPr="00E8358C">
        <w:rPr>
          <w:rStyle w:val="apple-converted-space"/>
        </w:rPr>
        <w:t>d’</w:t>
      </w:r>
      <w:r w:rsidRPr="00E8358C">
        <w:t>Edward Saïd est aussi un modèle d’études postcoloniales qui fait une analyse comparatiste critique du discours ambivalent et contradictoire de l’humanisme occidental en opposant la haute culture et la culture populaire</w:t>
      </w:r>
      <w:r>
        <w:t> </w:t>
      </w:r>
      <w:r>
        <w:rPr>
          <w:rStyle w:val="Appelnotedebasdep"/>
        </w:rPr>
        <w:footnoteReference w:id="117"/>
      </w:r>
      <w:r w:rsidRPr="00E8358C">
        <w:t>. Cette critique très engagée dans le poststructuralisme remet donc en question les ra</w:t>
      </w:r>
      <w:r w:rsidRPr="00E8358C">
        <w:t>p</w:t>
      </w:r>
      <w:r w:rsidRPr="00E8358C">
        <w:t>ports « colonisateurs/colonisés » s’établissant autour des traits cult</w:t>
      </w:r>
      <w:r w:rsidRPr="00E8358C">
        <w:t>u</w:t>
      </w:r>
      <w:r w:rsidRPr="00E8358C">
        <w:t>rels légitimés et déterminants (langue, danse, système politique, etc.). Le modèle culturel du colonisateur reste encore la référence dans les anciennes colonies pour les élites dirigeantes.</w:t>
      </w:r>
    </w:p>
    <w:p w:rsidR="004C50DC" w:rsidRPr="00E8358C" w:rsidRDefault="004C50DC" w:rsidP="004C50DC">
      <w:pPr>
        <w:spacing w:before="120" w:after="120"/>
        <w:jc w:val="both"/>
        <w:rPr>
          <w:i/>
          <w:iCs/>
        </w:rPr>
      </w:pPr>
      <w:r w:rsidRPr="00E8358C">
        <w:t>Les réflexions d’Antonio Gramsci sur la notion d’</w:t>
      </w:r>
      <w:r w:rsidRPr="00E8358C">
        <w:rPr>
          <w:i/>
        </w:rPr>
        <w:t>hégémonie</w:t>
      </w:r>
      <w:r w:rsidRPr="00E8358C">
        <w:t xml:space="preserve"> pe</w:t>
      </w:r>
      <w:r w:rsidRPr="00E8358C">
        <w:t>u</w:t>
      </w:r>
      <w:r w:rsidRPr="00E8358C">
        <w:t>vent aussi s’appliquer à notre analyse pour expliquer les rapports qu’entretient la classe dominante issue de la</w:t>
      </w:r>
      <w:r>
        <w:t xml:space="preserve"> [36]</w:t>
      </w:r>
      <w:r w:rsidRPr="00E8358C">
        <w:t xml:space="preserve"> colonisation escl</w:t>
      </w:r>
      <w:r w:rsidRPr="00E8358C">
        <w:t>a</w:t>
      </w:r>
      <w:r w:rsidRPr="00E8358C">
        <w:t xml:space="preserve">vagiste avec la classe moyenne et la classe populaire en Haïti. Cette situation engendre souvent un ensemble de crises sociales, politiques et économiques. </w:t>
      </w:r>
      <w:r w:rsidRPr="00E8358C">
        <w:rPr>
          <w:iCs/>
        </w:rPr>
        <w:t>Pour Gramsci,</w:t>
      </w:r>
    </w:p>
    <w:p w:rsidR="004C50DC" w:rsidRDefault="004C50DC" w:rsidP="004C50DC">
      <w:pPr>
        <w:pStyle w:val="Citation0"/>
      </w:pPr>
    </w:p>
    <w:p w:rsidR="004C50DC" w:rsidRDefault="004C50DC" w:rsidP="004C50DC">
      <w:pPr>
        <w:pStyle w:val="Citation0"/>
      </w:pPr>
      <w:r w:rsidRPr="00E8358C">
        <w:t>le contenu est la crise d’hégémonie de la classe dirigeante, qui se pr</w:t>
      </w:r>
      <w:r w:rsidRPr="00E8358C">
        <w:t>o</w:t>
      </w:r>
      <w:r w:rsidRPr="00E8358C">
        <w:t>duit, ou bien parce que la classe dirigeante a échoué dans une de ses gra</w:t>
      </w:r>
      <w:r w:rsidRPr="00E8358C">
        <w:t>n</w:t>
      </w:r>
      <w:r w:rsidRPr="00E8358C">
        <w:t>des entreprises politiques pour laquelle elle a demandé ou exigé par la fo</w:t>
      </w:r>
      <w:r w:rsidRPr="00E8358C">
        <w:t>r</w:t>
      </w:r>
      <w:r w:rsidRPr="00E8358C">
        <w:t>ce le consentement des grandes masses ou bien parce que de larges masses (su</w:t>
      </w:r>
      <w:r w:rsidRPr="00E8358C">
        <w:t>r</w:t>
      </w:r>
      <w:r w:rsidRPr="00E8358C">
        <w:t>tout de paysans et d’intellectuels petits-bourgeois) sont soudain pa</w:t>
      </w:r>
      <w:r w:rsidRPr="00E8358C">
        <w:t>s</w:t>
      </w:r>
      <w:r w:rsidRPr="00E8358C">
        <w:t>sées de la passivité politique à une certaine activité et qu’elles posent des revend</w:t>
      </w:r>
      <w:r w:rsidRPr="00E8358C">
        <w:t>i</w:t>
      </w:r>
      <w:r w:rsidRPr="00E8358C">
        <w:t>cations qui, dans leur ensemble inorganique, constituent une rév</w:t>
      </w:r>
      <w:r w:rsidRPr="00E8358C">
        <w:t>o</w:t>
      </w:r>
      <w:r w:rsidRPr="00E8358C">
        <w:t>lution. On parle de « crise d’autorité », et c’est précisément cela la crise d’hégémonie, ou crise de l’État dans son ensemble</w:t>
      </w:r>
      <w:r>
        <w:t> </w:t>
      </w:r>
      <w:r w:rsidRPr="00E8358C">
        <w:rPr>
          <w:rStyle w:val="Appelnotedebasdep"/>
        </w:rPr>
        <w:footnoteReference w:id="118"/>
      </w:r>
      <w:r w:rsidRPr="00E8358C">
        <w:t>.</w:t>
      </w:r>
    </w:p>
    <w:p w:rsidR="004C50DC" w:rsidRPr="00E8358C" w:rsidRDefault="004C50DC" w:rsidP="004C50DC">
      <w:pPr>
        <w:pStyle w:val="Citation0"/>
        <w:rPr>
          <w:rStyle w:val="spipnoteref"/>
        </w:rPr>
      </w:pPr>
    </w:p>
    <w:p w:rsidR="004C50DC" w:rsidRPr="00E8358C" w:rsidRDefault="004C50DC" w:rsidP="004C50DC">
      <w:pPr>
        <w:spacing w:before="120" w:after="120"/>
        <w:jc w:val="both"/>
      </w:pPr>
      <w:r w:rsidRPr="00E8358C">
        <w:t>Cette crise d’hégémonie touche les problèmes de crise de direction de la société haïtienne. Les temps sont révolus. La classe dominante, politique et bourgeoise, ne peut plus prévenir cette marche hégémon</w:t>
      </w:r>
      <w:r w:rsidRPr="00E8358C">
        <w:t>i</w:t>
      </w:r>
      <w:r w:rsidRPr="00E8358C">
        <w:t>que malgré une domination vieille de plus de deux siècles. Les explo</w:t>
      </w:r>
      <w:r w:rsidRPr="00E8358C">
        <w:t>i</w:t>
      </w:r>
      <w:r w:rsidRPr="00E8358C">
        <w:t>tés, les dominés ou les opprimés veulent s’exprimer aujourd’hui. A</w:t>
      </w:r>
      <w:r w:rsidRPr="00E8358C">
        <w:t>n</w:t>
      </w:r>
      <w:r w:rsidRPr="00E8358C">
        <w:t>tonio Gramsci nous décrit comment est née la crise hégémonique et comment elle influence les comportements sociaux et politiques des élites dirigeantes.</w:t>
      </w:r>
    </w:p>
    <w:p w:rsidR="004C50DC" w:rsidRDefault="004C50DC" w:rsidP="004C50DC">
      <w:pPr>
        <w:pStyle w:val="Citation0"/>
      </w:pPr>
    </w:p>
    <w:p w:rsidR="004C50DC" w:rsidRPr="00B956E6" w:rsidRDefault="004C50DC" w:rsidP="004C50DC">
      <w:pPr>
        <w:pStyle w:val="Citation0"/>
      </w:pPr>
      <w:r w:rsidRPr="00B956E6">
        <w:t>La crise crée des situations immédiates dangereuses, parce que les diff</w:t>
      </w:r>
      <w:r w:rsidRPr="00B956E6">
        <w:t>é</w:t>
      </w:r>
      <w:r w:rsidRPr="00B956E6">
        <w:t>rentes couches de la population ne possèdent pas la même capacité de s’orienter rapidement et de se réorganiser avec le même rythme. La classe dirigeante traditionnelle, qui a un personnel nombreux et entraîné, change d’hommes et de programmes et récupère le contrôle qui était en train de lui échapper avec plus de célérité que ne peuvent le faire les classes suba</w:t>
      </w:r>
      <w:r w:rsidRPr="00B956E6">
        <w:t>l</w:t>
      </w:r>
      <w:r w:rsidRPr="00B956E6">
        <w:t>ternes ; elle fera s’il le faut des sacrifices, elle s’exposera à un avenir ob</w:t>
      </w:r>
      <w:r w:rsidRPr="00B956E6">
        <w:t>s</w:t>
      </w:r>
      <w:r w:rsidRPr="00B956E6">
        <w:t>cur chargé de promesses démagogiques, mais elle maintient le pouvoir, le renforce pour le moment et s’en sert pour écraser l’adversaire</w:t>
      </w:r>
      <w:r>
        <w:t> </w:t>
      </w:r>
      <w:r>
        <w:rPr>
          <w:rStyle w:val="Appelnotedebasdep"/>
        </w:rPr>
        <w:footnoteReference w:id="119"/>
      </w:r>
      <w:r w:rsidRPr="00B956E6">
        <w:t>.</w:t>
      </w:r>
    </w:p>
    <w:p w:rsidR="004C50DC" w:rsidRPr="00E8358C" w:rsidRDefault="004C50DC" w:rsidP="004C50DC">
      <w:pPr>
        <w:pStyle w:val="Citation0"/>
      </w:pPr>
    </w:p>
    <w:p w:rsidR="004C50DC" w:rsidRPr="00E8358C" w:rsidRDefault="004C50DC" w:rsidP="004C50DC">
      <w:pPr>
        <w:spacing w:before="120" w:after="120"/>
        <w:jc w:val="both"/>
      </w:pPr>
      <w:r w:rsidRPr="00E8358C">
        <w:t>Sous ce jour, les élites dirigeantes veulent défendre à tout prix leur position de domination et posent toujours des actions politiques pour la conserver. Ce comportement entraîne aussi la société haïtienne dans une « crise » permanente qui a débuté au lendemain même de la pr</w:t>
      </w:r>
      <w:r w:rsidRPr="00E8358C">
        <w:t>o</w:t>
      </w:r>
      <w:r w:rsidRPr="00E8358C">
        <w:t>clamation de l’Indépendance en 1804. Donc la théorie sur l’hégémonie développée par Gramsci nous fournit des outils pour ét</w:t>
      </w:r>
      <w:r w:rsidRPr="00E8358C">
        <w:t>u</w:t>
      </w:r>
      <w:r w:rsidRPr="00E8358C">
        <w:t>dier, aujourd’hui, la masse populaire haïtienne s’engageant dans une lutte contre l’hégémonie des élites dirigeantes qui ne peut être anal</w:t>
      </w:r>
      <w:r w:rsidRPr="00E8358C">
        <w:t>y</w:t>
      </w:r>
      <w:r w:rsidRPr="00E8358C">
        <w:t xml:space="preserve">sée en dehors de la réalité coloniale esclavagiste. Aussi faut-il noter que les </w:t>
      </w:r>
      <w:r w:rsidRPr="00E8358C">
        <w:rPr>
          <w:i/>
        </w:rPr>
        <w:t>subaltern studies,</w:t>
      </w:r>
      <w:r w:rsidRPr="00E8358C">
        <w:t xml:space="preserve"> en agençant les critiques post-marxistes, poststructuralistes et textuelles,</w:t>
      </w:r>
      <w:r>
        <w:t xml:space="preserve"> [37]</w:t>
      </w:r>
      <w:r w:rsidRPr="00E8358C">
        <w:t xml:space="preserve"> représentent le postcolonialisme avant-coureur dans le monde anglo-saxon</w:t>
      </w:r>
      <w:r>
        <w:t> </w:t>
      </w:r>
      <w:r w:rsidRPr="00E8358C">
        <w:rPr>
          <w:rStyle w:val="Appelnotedebasdep"/>
        </w:rPr>
        <w:footnoteReference w:id="120"/>
      </w:r>
      <w:r w:rsidRPr="00E8358C">
        <w:t xml:space="preserve">. </w:t>
      </w:r>
      <w:r w:rsidRPr="00E8358C">
        <w:rPr>
          <w:bCs/>
        </w:rPr>
        <w:t>L’objectif des historiens subalternistes est de produire une histoire qui restaure la parole du peuple des « subalternes » et témoigne de sa culture politique aut</w:t>
      </w:r>
      <w:r w:rsidRPr="00E8358C">
        <w:rPr>
          <w:bCs/>
        </w:rPr>
        <w:t>o</w:t>
      </w:r>
      <w:r w:rsidRPr="00E8358C">
        <w:rPr>
          <w:bCs/>
        </w:rPr>
        <w:t>nome, non « pré-politique » ou arriérée, mais différente de celle de l’élite</w:t>
      </w:r>
      <w:r>
        <w:rPr>
          <w:bCs/>
        </w:rPr>
        <w:t> </w:t>
      </w:r>
      <w:r w:rsidRPr="00E8358C">
        <w:rPr>
          <w:rStyle w:val="Appelnotedebasdep"/>
          <w:bCs/>
        </w:rPr>
        <w:footnoteReference w:id="121"/>
      </w:r>
      <w:r w:rsidRPr="00E8358C">
        <w:rPr>
          <w:bCs/>
        </w:rPr>
        <w:t xml:space="preserve">. </w:t>
      </w:r>
    </w:p>
    <w:p w:rsidR="004C50DC" w:rsidRPr="00E8358C" w:rsidRDefault="004C50DC" w:rsidP="004C50DC">
      <w:pPr>
        <w:spacing w:before="120" w:after="120"/>
        <w:jc w:val="both"/>
        <w:rPr>
          <w:rFonts w:eastAsia="Calibri"/>
          <w:lang w:eastAsia="en-CA"/>
        </w:rPr>
      </w:pPr>
      <w:r w:rsidRPr="00E8358C">
        <w:rPr>
          <w:rFonts w:eastAsia="Calibri"/>
          <w:lang w:eastAsia="en-CA"/>
        </w:rPr>
        <w:t xml:space="preserve">Certes, les </w:t>
      </w:r>
      <w:r w:rsidRPr="00E8358C">
        <w:rPr>
          <w:rFonts w:eastAsia="Calibri"/>
          <w:i/>
          <w:iCs/>
          <w:lang w:eastAsia="en-CA"/>
        </w:rPr>
        <w:t>postcolonial studies</w:t>
      </w:r>
      <w:r w:rsidRPr="00E8358C">
        <w:rPr>
          <w:rFonts w:eastAsia="Calibri"/>
          <w:lang w:eastAsia="en-CA"/>
        </w:rPr>
        <w:t xml:space="preserve"> renforcent les démarches scientif</w:t>
      </w:r>
      <w:r w:rsidRPr="00E8358C">
        <w:rPr>
          <w:rFonts w:eastAsia="Calibri"/>
          <w:lang w:eastAsia="en-CA"/>
        </w:rPr>
        <w:t>i</w:t>
      </w:r>
      <w:r w:rsidRPr="00E8358C">
        <w:rPr>
          <w:rFonts w:eastAsia="Calibri"/>
          <w:lang w:eastAsia="en-CA"/>
        </w:rPr>
        <w:t>ques sur l’esclavage transatlantique et sa mémoire, notamment dans les sociétés des Caraïbes</w:t>
      </w:r>
      <w:r>
        <w:rPr>
          <w:rFonts w:eastAsia="Calibri"/>
          <w:lang w:eastAsia="en-CA"/>
        </w:rPr>
        <w:t> </w:t>
      </w:r>
      <w:r>
        <w:rPr>
          <w:rStyle w:val="Appelnotedebasdep"/>
          <w:rFonts w:eastAsia="Calibri"/>
          <w:lang w:eastAsia="en-CA"/>
        </w:rPr>
        <w:footnoteReference w:id="122"/>
      </w:r>
      <w:r w:rsidRPr="00E8358C">
        <w:rPr>
          <w:rFonts w:eastAsia="Calibri"/>
          <w:lang w:eastAsia="en-CA"/>
        </w:rPr>
        <w:t xml:space="preserve">. Toutefois, des critiques </w:t>
      </w:r>
      <w:r w:rsidRPr="00E8358C">
        <w:rPr>
          <w:lang w:eastAsia="ja-JP"/>
        </w:rPr>
        <w:t>à visée épistém</w:t>
      </w:r>
      <w:r w:rsidRPr="00E8358C">
        <w:rPr>
          <w:lang w:eastAsia="ja-JP"/>
        </w:rPr>
        <w:t>o</w:t>
      </w:r>
      <w:r w:rsidRPr="00E8358C">
        <w:rPr>
          <w:lang w:eastAsia="ja-JP"/>
        </w:rPr>
        <w:t>logique</w:t>
      </w:r>
      <w:r w:rsidRPr="00E8358C">
        <w:rPr>
          <w:rFonts w:eastAsia="Calibri"/>
          <w:lang w:eastAsia="en-CA"/>
        </w:rPr>
        <w:t xml:space="preserve"> ont été formulées contre ce courant de pensée compte tenu des contradictions relevées dans la matérialisation du rêve postcolonial. </w:t>
      </w:r>
      <w:r w:rsidRPr="00E8358C">
        <w:t>Achille Mbembe a reconnu que « la pensée postcoloniale est égal</w:t>
      </w:r>
      <w:r w:rsidRPr="00E8358C">
        <w:t>e</w:t>
      </w:r>
      <w:r w:rsidRPr="00E8358C">
        <w:t>ment une pensée du rêve : le rêve d’une nouvelle forme d’humanisme – un humanisme critique qui serait fondé avant tout sur le partage de ce qui nous différencie, en deçà des absolus »</w:t>
      </w:r>
      <w:r>
        <w:t> </w:t>
      </w:r>
      <w:r>
        <w:rPr>
          <w:rStyle w:val="Appelnotedebasdep"/>
        </w:rPr>
        <w:footnoteReference w:id="123"/>
      </w:r>
      <w:r w:rsidRPr="00E8358C">
        <w:t xml:space="preserve">. </w:t>
      </w:r>
      <w:r w:rsidRPr="00E8358C">
        <w:rPr>
          <w:rFonts w:eastAsia="Calibri"/>
          <w:lang w:eastAsia="en-CA"/>
        </w:rPr>
        <w:t>Les critiques portent également sur la construction d’une « culture diasporique pure » qui pourrait conduire à une forme d’idéologie « ethnocentrique »</w:t>
      </w:r>
      <w:r>
        <w:rPr>
          <w:rFonts w:eastAsia="Calibri"/>
          <w:lang w:eastAsia="en-CA"/>
        </w:rPr>
        <w:t> </w:t>
      </w:r>
      <w:r>
        <w:rPr>
          <w:rStyle w:val="Appelnotedebasdep"/>
          <w:rFonts w:eastAsia="Calibri"/>
          <w:lang w:eastAsia="en-CA"/>
        </w:rPr>
        <w:footnoteReference w:id="124"/>
      </w:r>
      <w:r w:rsidRPr="00E8358C">
        <w:rPr>
          <w:rFonts w:eastAsia="Calibri"/>
          <w:lang w:eastAsia="en-CA"/>
        </w:rPr>
        <w:t>. J</w:t>
      </w:r>
      <w:r w:rsidRPr="00E8358C">
        <w:rPr>
          <w:rFonts w:eastAsia="Calibri"/>
          <w:lang w:eastAsia="en-CA"/>
        </w:rPr>
        <w:t>a</w:t>
      </w:r>
      <w:r w:rsidRPr="00E8358C">
        <w:rPr>
          <w:rFonts w:eastAsia="Calibri"/>
          <w:lang w:eastAsia="en-CA"/>
        </w:rPr>
        <w:t>mes Clifford a compris l’enjeu d’une telle position critique. Ainsi, il opp</w:t>
      </w:r>
      <w:r w:rsidRPr="00E8358C">
        <w:rPr>
          <w:rFonts w:eastAsia="Calibri"/>
          <w:lang w:eastAsia="en-CA"/>
        </w:rPr>
        <w:t>o</w:t>
      </w:r>
      <w:r w:rsidRPr="00E8358C">
        <w:rPr>
          <w:rFonts w:eastAsia="Calibri"/>
          <w:lang w:eastAsia="en-CA"/>
        </w:rPr>
        <w:t>se à « l’afrocentrisme »</w:t>
      </w:r>
      <w:r>
        <w:rPr>
          <w:rFonts w:eastAsia="Calibri"/>
          <w:lang w:eastAsia="en-CA"/>
        </w:rPr>
        <w:t> </w:t>
      </w:r>
      <w:r>
        <w:rPr>
          <w:rStyle w:val="Appelnotedebasdep"/>
          <w:rFonts w:eastAsia="Calibri"/>
          <w:lang w:eastAsia="en-CA"/>
        </w:rPr>
        <w:footnoteReference w:id="125"/>
      </w:r>
      <w:r w:rsidRPr="00E8358C">
        <w:rPr>
          <w:rFonts w:eastAsia="Calibri"/>
          <w:lang w:eastAsia="en-CA"/>
        </w:rPr>
        <w:t xml:space="preserve"> une hybridité noire atlantique, affi</w:t>
      </w:r>
      <w:r w:rsidRPr="00E8358C">
        <w:rPr>
          <w:rFonts w:eastAsia="Calibri"/>
          <w:lang w:eastAsia="en-CA"/>
        </w:rPr>
        <w:t>r</w:t>
      </w:r>
      <w:r w:rsidRPr="00E8358C">
        <w:rPr>
          <w:rFonts w:eastAsia="Calibri"/>
          <w:lang w:eastAsia="en-CA"/>
        </w:rPr>
        <w:t>mant que « quelles que soient leurs idéologies de pureté, les formes cult</w:t>
      </w:r>
      <w:r w:rsidRPr="00E8358C">
        <w:rPr>
          <w:rFonts w:eastAsia="Calibri"/>
          <w:lang w:eastAsia="en-CA"/>
        </w:rPr>
        <w:t>u</w:t>
      </w:r>
      <w:r w:rsidRPr="00E8358C">
        <w:rPr>
          <w:rFonts w:eastAsia="Calibri"/>
          <w:lang w:eastAsia="en-CA"/>
        </w:rPr>
        <w:t>relles diasporiques ne peuvent jamais en pratique être nationali</w:t>
      </w:r>
      <w:r w:rsidRPr="00E8358C">
        <w:rPr>
          <w:rFonts w:eastAsia="Calibri"/>
          <w:lang w:eastAsia="en-CA"/>
        </w:rPr>
        <w:t>s</w:t>
      </w:r>
      <w:r w:rsidRPr="00E8358C">
        <w:rPr>
          <w:rFonts w:eastAsia="Calibri"/>
          <w:lang w:eastAsia="en-CA"/>
        </w:rPr>
        <w:t>tes »</w:t>
      </w:r>
      <w:r>
        <w:rPr>
          <w:rFonts w:eastAsia="Calibri"/>
          <w:lang w:eastAsia="en-CA"/>
        </w:rPr>
        <w:t> </w:t>
      </w:r>
      <w:r w:rsidRPr="00E8358C">
        <w:rPr>
          <w:rStyle w:val="Appelnotedebasdep"/>
          <w:rFonts w:eastAsia="Calibri"/>
          <w:lang w:eastAsia="en-CA"/>
        </w:rPr>
        <w:footnoteReference w:id="126"/>
      </w:r>
      <w:r w:rsidRPr="00E8358C">
        <w:rPr>
          <w:rFonts w:eastAsia="Calibri"/>
          <w:lang w:eastAsia="en-CA"/>
        </w:rPr>
        <w:t>.</w:t>
      </w:r>
    </w:p>
    <w:p w:rsidR="004C50DC" w:rsidRPr="00E8358C" w:rsidRDefault="004C50DC" w:rsidP="004C50DC">
      <w:pPr>
        <w:spacing w:before="120" w:after="120"/>
        <w:jc w:val="both"/>
      </w:pPr>
      <w:r w:rsidRPr="00E8358C">
        <w:t>Au-delà des critiques, la théorie postcoloniale nous aide à saisir la démarche mémorielle liée à l’esclavage en Haïti, car il s’agit pour nous d’analyser les relations, les différentes expériences et la place accordée à la mémoire de l’esclavage dans l’histoire, dans la littérat</w:t>
      </w:r>
      <w:r w:rsidRPr="00E8358C">
        <w:t>u</w:t>
      </w:r>
      <w:r w:rsidRPr="00E8358C">
        <w:t>re et dans la culture haïtiennes comme priorités intellectuelles, polit</w:t>
      </w:r>
      <w:r w:rsidRPr="00E8358C">
        <w:t>i</w:t>
      </w:r>
      <w:r w:rsidRPr="00E8358C">
        <w:t xml:space="preserve">ques et collectives. </w:t>
      </w:r>
    </w:p>
    <w:p w:rsidR="004C50DC" w:rsidRDefault="004C50DC" w:rsidP="004C50DC">
      <w:pPr>
        <w:spacing w:before="120" w:after="120"/>
        <w:jc w:val="both"/>
      </w:pPr>
      <w:bookmarkStart w:id="48" w:name="_Toc406489635"/>
      <w:bookmarkStart w:id="49" w:name="_Toc423347269"/>
      <w:bookmarkStart w:id="50" w:name="_Toc442280447"/>
      <w:r>
        <w:br w:type="page"/>
        <w:t>[38]</w:t>
      </w:r>
    </w:p>
    <w:p w:rsidR="004C50DC" w:rsidRDefault="004C50DC" w:rsidP="004C50DC">
      <w:pPr>
        <w:spacing w:before="120" w:after="120"/>
        <w:jc w:val="both"/>
      </w:pPr>
    </w:p>
    <w:p w:rsidR="004C50DC" w:rsidRPr="00E8358C" w:rsidRDefault="004C50DC" w:rsidP="004C50DC">
      <w:pPr>
        <w:pStyle w:val="a"/>
      </w:pPr>
      <w:r w:rsidRPr="00E8358C">
        <w:t>1.3.3</w:t>
      </w:r>
      <w:r>
        <w:t>.</w:t>
      </w:r>
      <w:r w:rsidRPr="00E8358C">
        <w:t xml:space="preserve"> Approches théoriques sur les rapports </w:t>
      </w:r>
      <w:r>
        <w:br/>
      </w:r>
      <w:r w:rsidRPr="00E8358C">
        <w:t>entre la mémoire et la culture matérielle</w:t>
      </w:r>
      <w:bookmarkEnd w:id="48"/>
      <w:bookmarkEnd w:id="49"/>
      <w:bookmarkEnd w:id="50"/>
    </w:p>
    <w:p w:rsidR="004C50DC" w:rsidRDefault="004C50DC" w:rsidP="004C50DC">
      <w:pPr>
        <w:spacing w:before="120" w:after="120"/>
        <w:jc w:val="both"/>
      </w:pPr>
    </w:p>
    <w:p w:rsidR="004C50DC" w:rsidRPr="00E8358C" w:rsidRDefault="004C50DC" w:rsidP="004C50DC">
      <w:pPr>
        <w:spacing w:before="120" w:after="120"/>
        <w:jc w:val="both"/>
      </w:pPr>
      <w:r w:rsidRPr="00E8358C">
        <w:t>Cette volonté de réfléchir aux enjeux de la patrimonialisation des mémoires de l’esclavage nous porte à faire le lien entre le discours et l’objet matériel, entre la matérialité de l’objet et l’immatérialité de ses significations. Les objets ou lieux concrets tels que les vestiges des habitations coloniales et des fortifications doivent nous permettre de dégager de nouveaux discours sur les mémoires de l’esclavage en Ha</w:t>
      </w:r>
      <w:r w:rsidRPr="00E8358C">
        <w:t>ï</w:t>
      </w:r>
      <w:r w:rsidRPr="00E8358C">
        <w:t>ti. Nous recourons, de ce fait, aux travaux qui traitent de la patrim</w:t>
      </w:r>
      <w:r w:rsidRPr="00E8358C">
        <w:t>o</w:t>
      </w:r>
      <w:r w:rsidRPr="00E8358C">
        <w:t xml:space="preserve">nialisation des objets et surtout des rapports entre la mémoire et la culture matérielle. </w:t>
      </w:r>
    </w:p>
    <w:p w:rsidR="004C50DC" w:rsidRDefault="004C50DC" w:rsidP="004C50DC">
      <w:pPr>
        <w:spacing w:before="120" w:after="120"/>
        <w:jc w:val="both"/>
      </w:pPr>
      <w:r w:rsidRPr="00E8358C">
        <w:t>Aujourd’hui, on comprend que toute recherche qui fait un tant soit peu référence à la culture matérielle invite le chercheur à se ressourcer dans les immenses travaux qui ont marqué tout le XX</w:t>
      </w:r>
      <w:r w:rsidRPr="00E8358C">
        <w:rPr>
          <w:vertAlign w:val="superscript"/>
        </w:rPr>
        <w:t>e</w:t>
      </w:r>
      <w:r w:rsidRPr="00E8358C">
        <w:t xml:space="preserve"> siècle et se perpétuent dans les publications d’auteurs tels que Christopher Tiller, Daniel Miller ou Michael Rowlands. Les discours portent sur l’existence,  l’utilisation, le symbolisme et la présence des objets dans un espace social. Ils ne sont plus abordés seulement comme des objets matériels et concrets perceptibles par la vue et le toucher. Ils devie</w:t>
      </w:r>
      <w:r w:rsidRPr="00E8358C">
        <w:t>n</w:t>
      </w:r>
      <w:r w:rsidRPr="00E8358C">
        <w:t>nent de véritables sujets d’étude qui charrient un discours et « présentent une valeur de remémorisation »</w:t>
      </w:r>
      <w:r>
        <w:t> </w:t>
      </w:r>
      <w:r>
        <w:rPr>
          <w:rStyle w:val="Appelnotedebasdep"/>
        </w:rPr>
        <w:footnoteReference w:id="127"/>
      </w:r>
      <w:r w:rsidRPr="00E8358C">
        <w:t>. Cette remémorisation est à la fois historique</w:t>
      </w:r>
      <w:r>
        <w:t> </w:t>
      </w:r>
      <w:r w:rsidRPr="00E8358C">
        <w:rPr>
          <w:rStyle w:val="Appelnotedebasdep"/>
        </w:rPr>
        <w:footnoteReference w:id="128"/>
      </w:r>
      <w:r w:rsidRPr="00E8358C">
        <w:t xml:space="preserve"> et « représentative du temps écoulé »</w:t>
      </w:r>
      <w:r>
        <w:t> </w:t>
      </w:r>
      <w:r w:rsidRPr="00E8358C">
        <w:rPr>
          <w:rStyle w:val="Appelnotedebasdep"/>
        </w:rPr>
        <w:footnoteReference w:id="129"/>
      </w:r>
      <w:r w:rsidRPr="00E8358C">
        <w:t>. Les études sur la culture matérielle considèrent la matérialité de leur app</w:t>
      </w:r>
      <w:r w:rsidRPr="00E8358C">
        <w:t>a</w:t>
      </w:r>
      <w:r w:rsidRPr="00E8358C">
        <w:t>rence et l’immatérialité de leur signification pour construire leur di</w:t>
      </w:r>
      <w:r w:rsidRPr="00E8358C">
        <w:t>s</w:t>
      </w:r>
      <w:r w:rsidRPr="00E8358C">
        <w:t>cours</w:t>
      </w:r>
      <w:r>
        <w:t> </w:t>
      </w:r>
      <w:r w:rsidRPr="00E8358C">
        <w:rPr>
          <w:rStyle w:val="Appelnotedebasdep"/>
        </w:rPr>
        <w:footnoteReference w:id="130"/>
      </w:r>
      <w:r w:rsidRPr="00E8358C">
        <w:t>. L’approche sémiologique</w:t>
      </w:r>
      <w:r>
        <w:t> </w:t>
      </w:r>
      <w:r w:rsidRPr="00E8358C">
        <w:rPr>
          <w:rStyle w:val="Appelnotedebasdep"/>
        </w:rPr>
        <w:footnoteReference w:id="131"/>
      </w:r>
      <w:r w:rsidRPr="00E8358C">
        <w:t xml:space="preserve"> veut que la culture matérielle soit étudiée comme un système de communication, et « l’objet comme un signe constitué d’un signifiant et d’un signifié »</w:t>
      </w:r>
      <w:r>
        <w:t> </w:t>
      </w:r>
      <w:r>
        <w:rPr>
          <w:rStyle w:val="Appelnotedebasdep"/>
        </w:rPr>
        <w:footnoteReference w:id="132"/>
      </w:r>
      <w:r w:rsidRPr="00E8358C">
        <w:t>.</w:t>
      </w:r>
    </w:p>
    <w:p w:rsidR="004C50DC" w:rsidRPr="00E8358C" w:rsidRDefault="004C50DC" w:rsidP="004C50DC">
      <w:pPr>
        <w:spacing w:before="120" w:after="120"/>
        <w:jc w:val="both"/>
      </w:pPr>
      <w:r>
        <w:t>[39]</w:t>
      </w:r>
    </w:p>
    <w:p w:rsidR="004C50DC" w:rsidRPr="00E8358C" w:rsidRDefault="004C50DC" w:rsidP="004C50DC">
      <w:pPr>
        <w:spacing w:before="120" w:after="120"/>
        <w:jc w:val="both"/>
      </w:pPr>
      <w:r w:rsidRPr="00E8358C">
        <w:t>Les travaux de l’archéologie processuelle (</w:t>
      </w:r>
      <w:r w:rsidRPr="00E8358C">
        <w:rPr>
          <w:i/>
        </w:rPr>
        <w:t>New archaeology</w:t>
      </w:r>
      <w:r w:rsidRPr="00E8358C">
        <w:t>) ont beaucoup influencé les nouvelles réflexions sur les objets en dévelo</w:t>
      </w:r>
      <w:r w:rsidRPr="00E8358C">
        <w:t>p</w:t>
      </w:r>
      <w:r w:rsidRPr="00E8358C">
        <w:t>pant les rapports de cause à effet entre l’organisation sociale et l’architecture. Daniel Miller estime nécessaire de montrer comment les objets que fabriquent les individus les construisent en retour [« </w:t>
      </w:r>
      <w:r w:rsidRPr="00E8358C">
        <w:rPr>
          <w:i/>
        </w:rPr>
        <w:t>We need to show how the things that people make, make the people »</w:t>
      </w:r>
      <w:r w:rsidRPr="00E8358C">
        <w:t>]</w:t>
      </w:r>
      <w:r>
        <w:t> </w:t>
      </w:r>
      <w:r w:rsidRPr="00E8358C">
        <w:rPr>
          <w:rStyle w:val="Appelnotedebasdep"/>
        </w:rPr>
        <w:footnoteReference w:id="133"/>
      </w:r>
      <w:r w:rsidRPr="00E8358C">
        <w:t>. Plus loin, il explique comment les objets ont cette capacité d’influencer la vision sociale et sont des arguments déterminants du comportement humain et de l’identité [« </w:t>
      </w:r>
      <w:r w:rsidRPr="00E8358C">
        <w:rPr>
          <w:i/>
        </w:rPr>
        <w:t>This somewhat unexpected capacity of objects to fade out of focus and remain peripheral to our vision and yet determinant of our behavior and identity had another important result »</w:t>
      </w:r>
      <w:r w:rsidRPr="00E8358C">
        <w:t>]</w:t>
      </w:r>
      <w:r>
        <w:t> </w:t>
      </w:r>
      <w:r w:rsidRPr="00E8358C">
        <w:rPr>
          <w:rStyle w:val="Appelnotedebasdep"/>
        </w:rPr>
        <w:footnoteReference w:id="134"/>
      </w:r>
      <w:r w:rsidRPr="00E8358C">
        <w:rPr>
          <w:i/>
        </w:rPr>
        <w:t xml:space="preserve">. </w:t>
      </w:r>
      <w:r w:rsidRPr="00E8358C">
        <w:t>Les objets peuvent aussi montrer l’existence d’une communauté ou d’un individu</w:t>
      </w:r>
      <w:r>
        <w:t> </w:t>
      </w:r>
      <w:r w:rsidRPr="00E8358C">
        <w:rPr>
          <w:rStyle w:val="Appelnotedebasdep"/>
        </w:rPr>
        <w:footnoteReference w:id="135"/>
      </w:r>
      <w:r w:rsidRPr="00E8358C">
        <w:t xml:space="preserve"> et jouent un rôle essentiel dans la reproduction sociale</w:t>
      </w:r>
      <w:r>
        <w:t> </w:t>
      </w:r>
      <w:r w:rsidRPr="00E8358C">
        <w:rPr>
          <w:rStyle w:val="Appelnotedebasdep"/>
        </w:rPr>
        <w:footnoteReference w:id="136"/>
      </w:r>
      <w:r w:rsidRPr="00E8358C">
        <w:t xml:space="preserve">. </w:t>
      </w:r>
    </w:p>
    <w:p w:rsidR="004C50DC" w:rsidRPr="00A32AC6" w:rsidRDefault="004C50DC" w:rsidP="004C50DC">
      <w:pPr>
        <w:spacing w:before="120" w:after="120"/>
        <w:jc w:val="both"/>
      </w:pPr>
      <w:r w:rsidRPr="00E8358C">
        <w:t>Dans la même veine, Christopher Tilley se sert de la relation bina</w:t>
      </w:r>
      <w:r w:rsidRPr="00E8358C">
        <w:t>i</w:t>
      </w:r>
      <w:r w:rsidRPr="00E8358C">
        <w:t>re « individu/objet » pour expliquer dans quelle mesure les individus créent, fabriquent et utilisent les objets, et dans quelle mesure ceux-ci peuvent les façonner et les structurer en retour</w:t>
      </w:r>
      <w:r>
        <w:t> </w:t>
      </w:r>
      <w:r w:rsidRPr="00E8358C">
        <w:rPr>
          <w:rStyle w:val="Appelnotedebasdep"/>
        </w:rPr>
        <w:footnoteReference w:id="137"/>
      </w:r>
      <w:r w:rsidRPr="00E8358C">
        <w:t xml:space="preserve">. Objets et individus sont donc indissociables. </w:t>
      </w:r>
      <w:r w:rsidRPr="00E8358C">
        <w:rPr>
          <w:i/>
        </w:rPr>
        <w:t>« The objects are people and people are o</w:t>
      </w:r>
      <w:r w:rsidRPr="00E8358C">
        <w:rPr>
          <w:i/>
        </w:rPr>
        <w:t>b</w:t>
      </w:r>
      <w:r w:rsidRPr="00E8358C">
        <w:rPr>
          <w:i/>
        </w:rPr>
        <w:t>jects »</w:t>
      </w:r>
      <w:r>
        <w:t> </w:t>
      </w:r>
      <w:r w:rsidRPr="00E8358C">
        <w:rPr>
          <w:rStyle w:val="Appelnotedebasdep"/>
          <w:i/>
        </w:rPr>
        <w:footnoteReference w:id="138"/>
      </w:r>
      <w:r w:rsidRPr="00E8358C">
        <w:rPr>
          <w:i/>
        </w:rPr>
        <w:t>.</w:t>
      </w:r>
      <w:r w:rsidRPr="00E8358C">
        <w:t xml:space="preserve"> L’environnement social et l’instruction sont donc indispe</w:t>
      </w:r>
      <w:r w:rsidRPr="00E8358C">
        <w:t>n</w:t>
      </w:r>
      <w:r w:rsidRPr="00E8358C">
        <w:t>sables pour comprendre et pour interpréter l’interdépendance commun</w:t>
      </w:r>
      <w:r w:rsidRPr="00E8358C">
        <w:t>i</w:t>
      </w:r>
      <w:r w:rsidRPr="00E8358C">
        <w:t xml:space="preserve">cationnelle entre les sujets et les objets. C’est dans cette perspective que Michel Foucault affirme que </w:t>
      </w:r>
      <w:r w:rsidRPr="00E8358C">
        <w:rPr>
          <w:rStyle w:val="A0"/>
        </w:rPr>
        <w:t>« </w:t>
      </w:r>
      <w:r w:rsidRPr="00E8358C">
        <w:t xml:space="preserve">si par pensée on entend l’acte qui pose, </w:t>
      </w:r>
      <w:r w:rsidRPr="00A32AC6">
        <w:t>dans leurs diverses relations possibles, un sujet et un objet, une histoire critique de la pensée serait une analyse des conditions dans lesquelles sont formées ou modifiées certaines relations de sujet à o</w:t>
      </w:r>
      <w:r w:rsidRPr="00A32AC6">
        <w:t>b</w:t>
      </w:r>
      <w:r w:rsidRPr="00A32AC6">
        <w:t>jet, dans la mesure où celles-ci sont constitutives d’un savoir poss</w:t>
      </w:r>
      <w:r w:rsidRPr="00A32AC6">
        <w:t>i</w:t>
      </w:r>
      <w:r w:rsidRPr="00A32AC6">
        <w:t>ble »</w:t>
      </w:r>
      <w:r>
        <w:t> </w:t>
      </w:r>
      <w:r>
        <w:rPr>
          <w:rStyle w:val="Appelnotedebasdep"/>
        </w:rPr>
        <w:footnoteReference w:id="139"/>
      </w:r>
      <w:r w:rsidRPr="00A32AC6">
        <w:t xml:space="preserve">. </w:t>
      </w:r>
    </w:p>
    <w:p w:rsidR="004C50DC" w:rsidRPr="00E8358C" w:rsidRDefault="004C50DC" w:rsidP="004C50DC">
      <w:pPr>
        <w:spacing w:before="120" w:after="120"/>
        <w:jc w:val="both"/>
      </w:pPr>
      <w:r w:rsidRPr="00E8358C">
        <w:t xml:space="preserve">Pour un examen de cette dialectique </w:t>
      </w:r>
      <w:r w:rsidRPr="00A32AC6">
        <w:t>discours/objets,</w:t>
      </w:r>
      <w:r w:rsidRPr="00E8358C">
        <w:t xml:space="preserve"> nous voulons montrer comment les</w:t>
      </w:r>
      <w:r>
        <w:t xml:space="preserve"> [40]</w:t>
      </w:r>
      <w:r w:rsidRPr="00E8358C">
        <w:t xml:space="preserve"> vestiges des habitations coloniales et des fortifications, et les objets exposés dans l’espace public peuvent « combler pleinement la sensibilité de l’homme »</w:t>
      </w:r>
      <w:r>
        <w:t> </w:t>
      </w:r>
      <w:r w:rsidRPr="00E8358C">
        <w:rPr>
          <w:rStyle w:val="Appelnotedebasdep"/>
        </w:rPr>
        <w:footnoteReference w:id="140"/>
      </w:r>
      <w:r w:rsidRPr="00E8358C">
        <w:t xml:space="preserve"> haïtien et l’intégrer dans ses rapports mémoriels avec l’esclavage. Les contextes polit</w:t>
      </w:r>
      <w:r w:rsidRPr="00E8358C">
        <w:t>i</w:t>
      </w:r>
      <w:r w:rsidRPr="00E8358C">
        <w:t>ques et sociaux ont toujours favorisé l’élaboration d’un discours pop</w:t>
      </w:r>
      <w:r w:rsidRPr="00E8358C">
        <w:t>u</w:t>
      </w:r>
      <w:r w:rsidRPr="00E8358C">
        <w:t>laire pouvant se focaliser sur les objets. En ce sens, la continuité de la mémoire, qu’elle soit glorieuse ou douloureuse, véhicule la v</w:t>
      </w:r>
      <w:r w:rsidRPr="00E8358C">
        <w:t>a</w:t>
      </w:r>
      <w:r w:rsidRPr="00E8358C">
        <w:t>leur des lieux qui doivent à leur tour garantir la pertinence de la m</w:t>
      </w:r>
      <w:r w:rsidRPr="00E8358C">
        <w:t>é</w:t>
      </w:r>
      <w:r w:rsidRPr="00E8358C">
        <w:t>moire. Dans cette perspective de patrimonialisation, il nous importe de r</w:t>
      </w:r>
      <w:r w:rsidRPr="00E8358C">
        <w:t>e</w:t>
      </w:r>
      <w:r w:rsidRPr="00E8358C">
        <w:t>constituer un discours sur ces objets en lien avec l’esclavage à partir des données collectées pour comprendre ou faire comprendre, en passant par la médiation de la recherche documentaire et de la r</w:t>
      </w:r>
      <w:r w:rsidRPr="00E8358C">
        <w:t>e</w:t>
      </w:r>
      <w:r w:rsidRPr="00E8358C">
        <w:t>présent</w:t>
      </w:r>
      <w:r w:rsidRPr="00E8358C">
        <w:t>a</w:t>
      </w:r>
      <w:r w:rsidRPr="00E8358C">
        <w:t xml:space="preserve">tion collective. </w:t>
      </w:r>
    </w:p>
    <w:p w:rsidR="004C50DC" w:rsidRPr="00792DC7" w:rsidRDefault="004C50DC" w:rsidP="004C50DC">
      <w:pPr>
        <w:spacing w:before="120" w:after="120"/>
        <w:jc w:val="both"/>
      </w:pPr>
      <w:r w:rsidRPr="00792DC7">
        <w:t>Les approches théoriques utilisées dans notre recherche contr</w:t>
      </w:r>
      <w:r w:rsidRPr="00792DC7">
        <w:t>i</w:t>
      </w:r>
      <w:r w:rsidRPr="00792DC7">
        <w:t>buent dans un premier temps à forger notre analyse du discours sur les objets et sur le symbolisme des représentations. Nous les situons alors dans leur contexte et dans leur époque pour saisir à fond l’évolution du discours sur les mémoires de l’esclavage dans une perspective à la fois synchronique et diachronique en Haïti. En second lieu, nous sommes allé au-delà de l’étude des objets pour atteindre les pratiques et les récits oraux, car tout ce qui a été vu ou vécu est appelé à disp</w:t>
      </w:r>
      <w:r w:rsidRPr="00792DC7">
        <w:t>a</w:t>
      </w:r>
      <w:r w:rsidRPr="00792DC7">
        <w:t xml:space="preserve">raître ou à se modifier dans les mémoires et ne se transmet plus jamais à l’identique au fur et à mesure que les générations se succèdent et que les sociétés évoluent. </w:t>
      </w:r>
    </w:p>
    <w:p w:rsidR="004C50DC" w:rsidRPr="00E8358C" w:rsidRDefault="004C50DC" w:rsidP="004C50DC">
      <w:pPr>
        <w:spacing w:before="120" w:after="120"/>
        <w:jc w:val="both"/>
        <w:rPr>
          <w:shd w:val="clear" w:color="auto" w:fill="FFFFFF"/>
        </w:rPr>
      </w:pPr>
    </w:p>
    <w:p w:rsidR="004C50DC" w:rsidRPr="00E8358C" w:rsidRDefault="004C50DC" w:rsidP="004C50DC">
      <w:pPr>
        <w:pStyle w:val="planche"/>
      </w:pPr>
      <w:bookmarkStart w:id="51" w:name="_Toc406486078"/>
      <w:bookmarkStart w:id="52" w:name="_Toc406489636"/>
      <w:bookmarkStart w:id="53" w:name="_Toc423347270"/>
      <w:bookmarkStart w:id="54" w:name="_Toc442280448"/>
      <w:bookmarkStart w:id="55" w:name="Memoire_chap_I_4"/>
      <w:r w:rsidRPr="00E8358C">
        <w:t>1.4</w:t>
      </w:r>
      <w:r>
        <w:t>.</w:t>
      </w:r>
      <w:r w:rsidRPr="00E8358C">
        <w:t xml:space="preserve"> Sources et méthodologie</w:t>
      </w:r>
      <w:bookmarkEnd w:id="51"/>
      <w:bookmarkEnd w:id="52"/>
      <w:bookmarkEnd w:id="53"/>
      <w:bookmarkEnd w:id="54"/>
    </w:p>
    <w:bookmarkEnd w:id="55"/>
    <w:p w:rsidR="004C50DC" w:rsidRPr="00E8358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576E8A">
        <w:t xml:space="preserve">Les diverses sources et la méthodologie employée constituent les éléments de fondation de notre thèse en rapport avec les objectifs fixés. </w:t>
      </w:r>
    </w:p>
    <w:p w:rsidR="004C50DC" w:rsidRPr="00576E8A" w:rsidRDefault="004C50DC" w:rsidP="004C50DC">
      <w:pPr>
        <w:spacing w:before="120" w:after="120"/>
        <w:jc w:val="both"/>
      </w:pPr>
    </w:p>
    <w:p w:rsidR="004C50DC" w:rsidRPr="00E8358C" w:rsidRDefault="004C50DC" w:rsidP="004C50DC">
      <w:pPr>
        <w:pStyle w:val="a"/>
      </w:pPr>
      <w:bookmarkStart w:id="56" w:name="_Toc406489637"/>
      <w:bookmarkStart w:id="57" w:name="_Toc423347271"/>
      <w:bookmarkStart w:id="58" w:name="_Toc442280449"/>
      <w:r w:rsidRPr="00E8358C">
        <w:t>1.4.1</w:t>
      </w:r>
      <w:r>
        <w:t>.</w:t>
      </w:r>
      <w:r w:rsidRPr="00E8358C">
        <w:t xml:space="preserve"> Présentation critique des sources</w:t>
      </w:r>
      <w:bookmarkEnd w:id="56"/>
      <w:bookmarkEnd w:id="57"/>
      <w:bookmarkEnd w:id="58"/>
    </w:p>
    <w:p w:rsidR="004C50DC" w:rsidRDefault="004C50DC" w:rsidP="004C50DC">
      <w:pPr>
        <w:spacing w:before="120" w:after="120"/>
        <w:jc w:val="both"/>
      </w:pPr>
    </w:p>
    <w:p w:rsidR="004C50DC" w:rsidRDefault="004C50DC" w:rsidP="004C50DC">
      <w:pPr>
        <w:spacing w:before="120" w:after="120"/>
        <w:jc w:val="both"/>
      </w:pPr>
      <w:r w:rsidRPr="00E8358C">
        <w:t>Pour mener à bien notre recherche, nous avons recouru à des sou</w:t>
      </w:r>
      <w:r w:rsidRPr="00E8358C">
        <w:t>r</w:t>
      </w:r>
      <w:r w:rsidRPr="00E8358C">
        <w:t>ces écrites, orales, audiovisuelles et iconographiques. Celles-ci nous ont permis d’identifier les diverses mémoires de l’esclavage véhic</w:t>
      </w:r>
      <w:r w:rsidRPr="00E8358C">
        <w:t>u</w:t>
      </w:r>
      <w:r w:rsidRPr="00E8358C">
        <w:t>lées en Haïti afin de mieux faire ressortir les enjeux dont elles témo</w:t>
      </w:r>
      <w:r w:rsidRPr="00E8358C">
        <w:t>i</w:t>
      </w:r>
      <w:r w:rsidRPr="00E8358C">
        <w:t>gnent.</w:t>
      </w:r>
    </w:p>
    <w:p w:rsidR="004C50DC" w:rsidRDefault="004C50DC" w:rsidP="004C50DC">
      <w:pPr>
        <w:spacing w:before="120" w:after="120"/>
        <w:jc w:val="both"/>
      </w:pPr>
      <w:r>
        <w:t>[41]</w:t>
      </w:r>
    </w:p>
    <w:p w:rsidR="004C50DC" w:rsidRPr="00E8358C" w:rsidRDefault="004C50DC" w:rsidP="004C50DC">
      <w:pPr>
        <w:spacing w:before="120" w:after="120"/>
        <w:jc w:val="both"/>
      </w:pPr>
    </w:p>
    <w:p w:rsidR="004C50DC" w:rsidRPr="00576E8A" w:rsidRDefault="004C50DC" w:rsidP="004C50DC">
      <w:pPr>
        <w:pStyle w:val="b"/>
      </w:pPr>
      <w:bookmarkStart w:id="59" w:name="_Toc406486079"/>
      <w:bookmarkStart w:id="60" w:name="_Toc406487558"/>
      <w:bookmarkStart w:id="61" w:name="_Toc406489638"/>
      <w:bookmarkStart w:id="62" w:name="_Toc423347272"/>
      <w:bookmarkStart w:id="63" w:name="_Toc442280450"/>
      <w:r w:rsidRPr="00576E8A">
        <w:t>Sources écrites</w:t>
      </w:r>
      <w:bookmarkEnd w:id="59"/>
      <w:bookmarkEnd w:id="60"/>
      <w:bookmarkEnd w:id="61"/>
      <w:bookmarkEnd w:id="62"/>
      <w:bookmarkEnd w:id="63"/>
    </w:p>
    <w:p w:rsidR="004C50DC" w:rsidRDefault="004C50DC" w:rsidP="004C50DC">
      <w:pPr>
        <w:spacing w:before="120" w:after="120"/>
        <w:jc w:val="both"/>
      </w:pPr>
    </w:p>
    <w:p w:rsidR="004C50DC" w:rsidRPr="00E8358C" w:rsidRDefault="004C50DC" w:rsidP="004C50DC">
      <w:pPr>
        <w:spacing w:before="120" w:after="120"/>
        <w:jc w:val="both"/>
      </w:pPr>
      <w:r w:rsidRPr="00E8358C">
        <w:t>Les sources écrites sont constituées par la production des historiens et par des manuels scolaires. Dans les manuels, nous avons examiné comment la mémoire de l’esclavage est traitée et enseignée au niveau fondamental et secondaire. N</w:t>
      </w:r>
      <w:r w:rsidRPr="00E8358C">
        <w:rPr>
          <w:bCs/>
        </w:rPr>
        <w:t>ous nous sommes basé aussi sur certains travaux d’écrivains, notamment des romanciers, poètes et auteurs ha</w:t>
      </w:r>
      <w:r w:rsidRPr="00E8358C">
        <w:rPr>
          <w:bCs/>
        </w:rPr>
        <w:t>ï</w:t>
      </w:r>
      <w:r w:rsidRPr="00E8358C">
        <w:rPr>
          <w:bCs/>
        </w:rPr>
        <w:t xml:space="preserve">tiens qui ont déjà réfléchi sur les survivances de l’esclavage dans la société haïtienne. </w:t>
      </w:r>
      <w:r w:rsidRPr="00E8358C">
        <w:t>Les résultats issus des travaux universitaires comme les mémoires de maîtrise, les thèses, les ouvrages et les articles scie</w:t>
      </w:r>
      <w:r w:rsidRPr="00E8358C">
        <w:t>n</w:t>
      </w:r>
      <w:r w:rsidRPr="00E8358C">
        <w:t>tifiques sur la mémoire de l’esclavage en Haïti nous ont aidé égal</w:t>
      </w:r>
      <w:r w:rsidRPr="00E8358C">
        <w:t>e</w:t>
      </w:r>
      <w:r w:rsidRPr="00E8358C">
        <w:t xml:space="preserve">ment à construire notre analyse. </w:t>
      </w:r>
    </w:p>
    <w:p w:rsidR="004C50DC" w:rsidRDefault="004C50DC" w:rsidP="004C50DC">
      <w:pPr>
        <w:spacing w:before="120" w:after="120"/>
        <w:jc w:val="both"/>
      </w:pPr>
      <w:r w:rsidRPr="00E8358C">
        <w:t>Ont été incontournables les ouvrages publiés par des auteurs étra</w:t>
      </w:r>
      <w:r w:rsidRPr="00E8358C">
        <w:t>n</w:t>
      </w:r>
      <w:r w:rsidRPr="00E8358C">
        <w:t>gers évoquant la problématique de la mémoire de l’esclavage en gén</w:t>
      </w:r>
      <w:r w:rsidRPr="00E8358C">
        <w:t>é</w:t>
      </w:r>
      <w:r w:rsidRPr="00E8358C">
        <w:t>ral et particulièrement en Haïti.  Les textes littéraires  sont commentés comme expression originale de la mémoirede la société étant donné que les réponses à certains questionnements se trouvent souvent « en premier lieu enlittérature qui est une tentative de reconquête du pa</w:t>
      </w:r>
      <w:r w:rsidRPr="00E8358C">
        <w:t>s</w:t>
      </w:r>
      <w:r w:rsidRPr="00E8358C">
        <w:t>sé »</w:t>
      </w:r>
      <w:r>
        <w:t> </w:t>
      </w:r>
      <w:r w:rsidRPr="00E8358C">
        <w:rPr>
          <w:rStyle w:val="Appelnotedebasdep"/>
        </w:rPr>
        <w:footnoteReference w:id="141"/>
      </w:r>
      <w:r w:rsidRPr="00E8358C">
        <w:t>. À ceux-là s’ajoutent les monographies sur les habitations col</w:t>
      </w:r>
      <w:r w:rsidRPr="00E8358C">
        <w:t>o</w:t>
      </w:r>
      <w:r w:rsidRPr="00E8358C">
        <w:t>niales et les fortifications qui nous dressent le portrait de leur stru</w:t>
      </w:r>
      <w:r w:rsidRPr="00E8358C">
        <w:t>c</w:t>
      </w:r>
      <w:r w:rsidRPr="00E8358C">
        <w:t>ture et de leur organisation. Les sources écrites, comme les articles scient</w:t>
      </w:r>
      <w:r w:rsidRPr="00E8358C">
        <w:t>i</w:t>
      </w:r>
      <w:r w:rsidRPr="00E8358C">
        <w:t>fiques et les livres numériques diffusés sur la toile, ont été aussi util</w:t>
      </w:r>
      <w:r w:rsidRPr="00E8358C">
        <w:t>i</w:t>
      </w:r>
      <w:r w:rsidRPr="00E8358C">
        <w:t>sées. L’examen des documents permet de cerner les orientations idé</w:t>
      </w:r>
      <w:r w:rsidRPr="00E8358C">
        <w:t>o</w:t>
      </w:r>
      <w:r w:rsidRPr="00E8358C">
        <w:t>logiques des publications haïtiennes. Toutefois, il leur manque les données des enquêtes de terrain qui doivent les compléter pour faire le lien avec le présent. Il faut aujourd’hui une relecture ethnologique et patrimoniale qui place la mémoire de l’esclavage dans le contexte du présent et du vécu des Haïtiens. Par ailleurs, les articles présentent souvent une conception de la mémoire collective de l’esclavage à plus d’un titre, mais les auteurs font peu intervenir les citoyens haïtiens qui sont les principaux détenteurs de cette mémoire, et sur qui des proje</w:t>
      </w:r>
      <w:r w:rsidRPr="00E8358C">
        <w:t>c</w:t>
      </w:r>
      <w:r w:rsidRPr="00E8358C">
        <w:t>tions mémorielles sont réalisées. Notre thèse, en conciliant les écrits et les enquêtes de terrain, tente de combler ce vide.</w:t>
      </w:r>
    </w:p>
    <w:p w:rsidR="004C50DC" w:rsidRPr="00E8358C" w:rsidRDefault="004C50DC" w:rsidP="004C50DC">
      <w:pPr>
        <w:spacing w:before="120" w:after="120"/>
        <w:jc w:val="both"/>
      </w:pPr>
      <w:r>
        <w:t>[42]</w:t>
      </w:r>
    </w:p>
    <w:p w:rsidR="004C50DC" w:rsidRPr="00E8358C" w:rsidRDefault="004C50DC" w:rsidP="004C50DC">
      <w:pPr>
        <w:spacing w:before="120" w:after="120"/>
        <w:jc w:val="both"/>
      </w:pPr>
      <w:r w:rsidRPr="00E8358C">
        <w:t>L’accès aux sources écrites se révèle souvent un véritable combat en Haïti. Cette recherche vient l’illustrer une fois de plus. Certains documents se trouvent dans des centres de documentation et d’archives. Nous avons été tour à tour en Haïti, en France et au Can</w:t>
      </w:r>
      <w:r w:rsidRPr="00E8358C">
        <w:t>a</w:t>
      </w:r>
      <w:r w:rsidRPr="00E8358C">
        <w:t>da dans des bibliothèques et des archives. Malgré les efforts de rep</w:t>
      </w:r>
      <w:r w:rsidRPr="00E8358C">
        <w:t>é</w:t>
      </w:r>
      <w:r w:rsidRPr="00E8358C">
        <w:t>rage, nous sommes conscient que nous n’avons pas pu consulter de nombreux documents. En Haïti, une partie du corpus documentaire écrit se trouve à la Bibliothèque nationale d’Haïti, d’autres à la Bibli</w:t>
      </w:r>
      <w:r w:rsidRPr="00E8358C">
        <w:t>o</w:t>
      </w:r>
      <w:r w:rsidRPr="00E8358C">
        <w:t>thèque haïtienne des Pères du Saint-Esprit (BHPSE) et à la Biblioth</w:t>
      </w:r>
      <w:r w:rsidRPr="00E8358C">
        <w:t>è</w:t>
      </w:r>
      <w:r w:rsidRPr="00E8358C">
        <w:t>que haïtienne des Frères de l’instruction chrétienne</w:t>
      </w:r>
      <w:r>
        <w:t xml:space="preserve"> </w:t>
      </w:r>
      <w:r w:rsidRPr="00E8358C">
        <w:t>(BHFIC), reco</w:t>
      </w:r>
      <w:r w:rsidRPr="00E8358C">
        <w:t>n</w:t>
      </w:r>
      <w:r w:rsidRPr="00E8358C">
        <w:t>nues comme les plus importantes institutions de conservation du p</w:t>
      </w:r>
      <w:r w:rsidRPr="00E8358C">
        <w:t>a</w:t>
      </w:r>
      <w:r w:rsidRPr="00E8358C">
        <w:t>trimoine écrit haïtien. Les deux dernières ont été à peu près détruites par le séisme du 12 janvier 2010, et la consultation des documents récupérés est devenue ardue. Cette situation a rendu encore plus diff</w:t>
      </w:r>
      <w:r w:rsidRPr="00E8358C">
        <w:t>i</w:t>
      </w:r>
      <w:r w:rsidRPr="00E8358C">
        <w:t xml:space="preserve">cile notre tâche. </w:t>
      </w:r>
    </w:p>
    <w:p w:rsidR="004C50DC" w:rsidRDefault="004C50DC" w:rsidP="004C50DC">
      <w:pPr>
        <w:spacing w:before="120" w:after="120"/>
        <w:jc w:val="both"/>
      </w:pPr>
      <w:r w:rsidRPr="00E8358C">
        <w:t>Bien que certains écrivains et historiens nous aient ouvert, à notre demande, les portes de leurs bibliothèques privées, d’autres centres de documentation restent en revanche toujours inaccessibles. Toutefois, les informations que nous avons pu recueillir nous ont été</w:t>
      </w:r>
      <w:r>
        <w:t xml:space="preserve"> </w:t>
      </w:r>
      <w:r w:rsidRPr="00E8358C">
        <w:t>très utiles pour réaliser nos analyses. Nous avons lu les textes en ayant pour boussole les paradigmes qui guident notre recherche. Les données écrites sont combinées aux données orales pour énoncer les contenus des mémoires véhiculées autour de l’esclavage. La valeur historique et mémorielle des sources écrites a permis de saisir les idées partagées par les Haïtiens. En effet, les textes sont des objets saisissables et des outils de compréhension de l’Autre en ethnologie. Le corpus consulté est un véritable terrain d’analyse pour apporter un éclairage sur la mémoire collective haïtienne en rapport avec le passé colonial escl</w:t>
      </w:r>
      <w:r w:rsidRPr="00E8358C">
        <w:t>a</w:t>
      </w:r>
      <w:r w:rsidRPr="00E8358C">
        <w:t xml:space="preserve">vagiste. </w:t>
      </w:r>
    </w:p>
    <w:p w:rsidR="004C50DC" w:rsidRPr="00E8358C" w:rsidRDefault="004C50DC" w:rsidP="004C50DC">
      <w:pPr>
        <w:spacing w:before="120" w:after="120"/>
        <w:jc w:val="both"/>
      </w:pPr>
    </w:p>
    <w:p w:rsidR="004C50DC" w:rsidRPr="00576E8A" w:rsidRDefault="004C50DC" w:rsidP="004C50DC">
      <w:pPr>
        <w:pStyle w:val="b"/>
      </w:pPr>
      <w:bookmarkStart w:id="64" w:name="_Toc406486080"/>
      <w:bookmarkStart w:id="65" w:name="_Toc406487559"/>
      <w:bookmarkStart w:id="66" w:name="_Toc406489639"/>
      <w:bookmarkStart w:id="67" w:name="_Toc423347273"/>
      <w:bookmarkStart w:id="68" w:name="_Toc442280451"/>
      <w:r w:rsidRPr="00576E8A">
        <w:t>Sources orales</w:t>
      </w:r>
      <w:bookmarkEnd w:id="64"/>
      <w:bookmarkEnd w:id="65"/>
      <w:bookmarkEnd w:id="66"/>
      <w:bookmarkEnd w:id="67"/>
      <w:bookmarkEnd w:id="68"/>
    </w:p>
    <w:p w:rsidR="004C50DC" w:rsidRDefault="004C50DC" w:rsidP="004C50DC">
      <w:pPr>
        <w:spacing w:before="120" w:after="120"/>
        <w:jc w:val="both"/>
      </w:pPr>
    </w:p>
    <w:p w:rsidR="004C50DC" w:rsidRPr="00E8358C" w:rsidRDefault="004C50DC" w:rsidP="004C50DC">
      <w:pPr>
        <w:spacing w:before="120" w:after="120"/>
        <w:jc w:val="both"/>
      </w:pPr>
      <w:r w:rsidRPr="00E8358C">
        <w:t>Les sources orales représentent la principale source de notre r</w:t>
      </w:r>
      <w:r w:rsidRPr="00E8358C">
        <w:t>e</w:t>
      </w:r>
      <w:r w:rsidRPr="00E8358C">
        <w:t>cherche dans la mesure où la mémoire de l’esclavage est encore une mémoire vivante, transmise surtout par la parole et les pratiques soci</w:t>
      </w:r>
      <w:r w:rsidRPr="00E8358C">
        <w:t>a</w:t>
      </w:r>
      <w:r w:rsidRPr="00E8358C">
        <w:t>les et culturelles, et beaucoup moins par l’écrit. Notre corpus repose donc principalement sur des enquêtes ethnologiques. Jean Copans avance que</w:t>
      </w:r>
      <w:r>
        <w:t xml:space="preserve"> [43]</w:t>
      </w:r>
      <w:r w:rsidRPr="00E8358C">
        <w:t xml:space="preserve"> « l’ethnologie personnifie par excellence la culture de l’enquête de terrain »</w:t>
      </w:r>
      <w:r>
        <w:t> </w:t>
      </w:r>
      <w:r w:rsidRPr="00E8358C">
        <w:rPr>
          <w:rStyle w:val="Appelnotedebasdep"/>
        </w:rPr>
        <w:footnoteReference w:id="142"/>
      </w:r>
      <w:r w:rsidRPr="00E8358C">
        <w:t>. Le terrain opère comme un sujet promoteur de la discipline et forme « l’expression d’une autorité ethnograph</w:t>
      </w:r>
      <w:r w:rsidRPr="00E8358C">
        <w:t>i</w:t>
      </w:r>
      <w:r w:rsidRPr="00E8358C">
        <w:t>que »</w:t>
      </w:r>
      <w:r>
        <w:t> </w:t>
      </w:r>
      <w:r w:rsidRPr="00E8358C">
        <w:rPr>
          <w:rStyle w:val="Appelnotedebasdep"/>
        </w:rPr>
        <w:footnoteReference w:id="143"/>
      </w:r>
      <w:r w:rsidRPr="00E8358C">
        <w:t>. À ce titre, l’enquête orale constitue la principale méthode de constit</w:t>
      </w:r>
      <w:r w:rsidRPr="00E8358C">
        <w:t>u</w:t>
      </w:r>
      <w:r w:rsidRPr="00E8358C">
        <w:t>tion des sources pour l’ethnologue</w:t>
      </w:r>
      <w:r>
        <w:t> </w:t>
      </w:r>
      <w:r w:rsidRPr="00E8358C">
        <w:rPr>
          <w:rStyle w:val="Appelnotedebasdep"/>
        </w:rPr>
        <w:footnoteReference w:id="144"/>
      </w:r>
      <w:r w:rsidRPr="00E8358C">
        <w:t xml:space="preserve"> et </w:t>
      </w:r>
      <w:r w:rsidRPr="00E8358C">
        <w:rPr>
          <w:u w:color="000000"/>
        </w:rPr>
        <w:t>l’instrument de co</w:t>
      </w:r>
      <w:r w:rsidRPr="00E8358C">
        <w:rPr>
          <w:u w:color="000000"/>
        </w:rPr>
        <w:t>l</w:t>
      </w:r>
      <w:r w:rsidRPr="00E8358C">
        <w:rPr>
          <w:u w:color="000000"/>
        </w:rPr>
        <w:t>lecte le plus utilisé en sciences sociales</w:t>
      </w:r>
      <w:r>
        <w:rPr>
          <w:u w:color="000000"/>
        </w:rPr>
        <w:t> </w:t>
      </w:r>
      <w:r w:rsidRPr="00E8358C">
        <w:rPr>
          <w:rStyle w:val="Appelnotedebasdep"/>
          <w:u w:color="000000"/>
        </w:rPr>
        <w:footnoteReference w:id="145"/>
      </w:r>
      <w:r w:rsidRPr="00E8358C">
        <w:rPr>
          <w:u w:color="000000"/>
        </w:rPr>
        <w:t xml:space="preserve">. </w:t>
      </w:r>
      <w:r w:rsidRPr="00E8358C">
        <w:t>Les sources orales offrent une possibilité de combler le vide dans les écrits historiques, et aident à reconstituer la mémoire telle que vécue par les populations elles-mêmes</w:t>
      </w:r>
      <w:r>
        <w:t> </w:t>
      </w:r>
      <w:r w:rsidRPr="00E8358C">
        <w:rPr>
          <w:rStyle w:val="Appelnotedebasdep"/>
        </w:rPr>
        <w:footnoteReference w:id="146"/>
      </w:r>
      <w:r w:rsidRPr="00E8358C">
        <w:t>. Elles charrient des renseignements inédits sur la population étudiée.</w:t>
      </w:r>
    </w:p>
    <w:p w:rsidR="004C50DC" w:rsidRPr="00E8358C" w:rsidRDefault="004C50DC" w:rsidP="004C50DC">
      <w:pPr>
        <w:spacing w:before="120" w:after="120"/>
        <w:jc w:val="both"/>
      </w:pPr>
      <w:r w:rsidRPr="00E8358C">
        <w:t>Nous avons opté pour la méthode d’enquête directe en « mode i</w:t>
      </w:r>
      <w:r w:rsidRPr="00E8358C">
        <w:t>n</w:t>
      </w:r>
      <w:r w:rsidRPr="00E8358C">
        <w:t>tensif individuel »</w:t>
      </w:r>
      <w:r>
        <w:t> </w:t>
      </w:r>
      <w:r w:rsidRPr="00E8358C">
        <w:rPr>
          <w:rStyle w:val="Appelnotedebasdep"/>
        </w:rPr>
        <w:footnoteReference w:id="147"/>
      </w:r>
      <w:r w:rsidRPr="00E8358C">
        <w:t xml:space="preserve"> en utilisant la technique de l’entretien « semi-directif »</w:t>
      </w:r>
      <w:r>
        <w:t> </w:t>
      </w:r>
      <w:r>
        <w:rPr>
          <w:rStyle w:val="Appelnotedebasdep"/>
        </w:rPr>
        <w:footnoteReference w:id="148"/>
      </w:r>
      <w:r w:rsidRPr="00E8358C">
        <w:t xml:space="preserve"> d’une durée moyenne de quatre-vingt-dix minutes. Cette stratégie nous a permis </w:t>
      </w:r>
      <w:r w:rsidRPr="00792DC7">
        <w:t xml:space="preserve">de centrer le discours des informateurs autour des thèmes définis au préalable et consignés dans un schéma d’entrevue. </w:t>
      </w:r>
      <w:r w:rsidRPr="00E8358C">
        <w:t xml:space="preserve">Les répondants n’étaient pas tenus de répondre à toutes nos questions. D’autres interrogations survenaient au cours de l’entretien. Dans certains cas, nous avons été amené à adapter les </w:t>
      </w:r>
      <w:r w:rsidRPr="00E8358C">
        <w:rPr>
          <w:rFonts w:eastAsia="Calibri"/>
        </w:rPr>
        <w:t>questions en fonction du degré d’alphabétisation des personnes inte</w:t>
      </w:r>
      <w:r w:rsidRPr="00E8358C">
        <w:rPr>
          <w:rFonts w:eastAsia="Calibri"/>
        </w:rPr>
        <w:t>r</w:t>
      </w:r>
      <w:r w:rsidRPr="00E8358C">
        <w:rPr>
          <w:rFonts w:eastAsia="Calibri"/>
        </w:rPr>
        <w:t xml:space="preserve">rogées. </w:t>
      </w:r>
    </w:p>
    <w:p w:rsidR="004C50DC" w:rsidRPr="00E8358C" w:rsidRDefault="004C50DC" w:rsidP="004C50DC">
      <w:pPr>
        <w:spacing w:before="120" w:after="120"/>
        <w:jc w:val="both"/>
      </w:pPr>
      <w:r w:rsidRPr="00E8358C">
        <w:t>La langue employée dans un schéma d’entrevue peut compliquer une enquête orale.  Nous avons veillé aux termes utilisés qui cassent souvent le fil et la dynamique de l’entretien et du discours soutenu par le participant. Pour pallier ce handicap, notre guide d’entrevue et le protocole d’entente ont été élaborés en créole et en français pour fac</w:t>
      </w:r>
      <w:r w:rsidRPr="00E8358C">
        <w:t>i</w:t>
      </w:r>
      <w:r w:rsidRPr="00E8358C">
        <w:t>liter la</w:t>
      </w:r>
      <w:r>
        <w:t xml:space="preserve"> [44]</w:t>
      </w:r>
      <w:r w:rsidRPr="00E8358C">
        <w:t xml:space="preserve"> compréhension de l’informateur qui ne parle et ne co</w:t>
      </w:r>
      <w:r w:rsidRPr="00E8358C">
        <w:t>m</w:t>
      </w:r>
      <w:r w:rsidRPr="00E8358C">
        <w:t xml:space="preserve">prend pas le français. </w:t>
      </w:r>
      <w:r w:rsidRPr="00E8358C">
        <w:rPr>
          <w:rFonts w:eastAsia="Calibri"/>
          <w:lang w:eastAsia="en-CA"/>
        </w:rPr>
        <w:t>Toutes n</w:t>
      </w:r>
      <w:r w:rsidRPr="00E8358C">
        <w:t>os questions ont été ouvertes de mani</w:t>
      </w:r>
      <w:r w:rsidRPr="00E8358C">
        <w:t>è</w:t>
      </w:r>
      <w:r w:rsidRPr="00E8358C">
        <w:t>re à éviter que</w:t>
      </w:r>
      <w:r>
        <w:t xml:space="preserve"> </w:t>
      </w:r>
      <w:r w:rsidRPr="00E8358C">
        <w:t xml:space="preserve">l’interviewé se contente d’acquiescer d’un geste ou de les réfuter. L’expérience de l’Autre, c’est-à-dire le vécu quotidien de certains participants à l’enquête, a servi aussi de terrain critique pour notre recherche. </w:t>
      </w:r>
    </w:p>
    <w:p w:rsidR="004C50DC" w:rsidRPr="00E8358C" w:rsidRDefault="004C50DC" w:rsidP="004C50DC">
      <w:pPr>
        <w:spacing w:before="120" w:after="120"/>
        <w:jc w:val="both"/>
        <w:rPr>
          <w:u w:color="000000"/>
        </w:rPr>
      </w:pPr>
      <w:r w:rsidRPr="00E8358C">
        <w:t>Au départ, nous avons testé le guide d’entrevue avant de réaliser l’enquête proprement dite afin de l’améliorer en fonction des préo</w:t>
      </w:r>
      <w:r w:rsidRPr="00E8358C">
        <w:t>c</w:t>
      </w:r>
      <w:r w:rsidRPr="00E8358C">
        <w:t xml:space="preserve">cupations de l’étude et de la réalité du milieu. Ce test avait permis de vérifier que les sous-thèmes étaient compréhensibles et adaptés aux objectifs de notre recherche. Lors de </w:t>
      </w:r>
      <w:r w:rsidRPr="00E8358C">
        <w:rPr>
          <w:u w:color="000000"/>
        </w:rPr>
        <w:t>cette phase exploratoire, les pr</w:t>
      </w:r>
      <w:r w:rsidRPr="00E8358C">
        <w:rPr>
          <w:u w:color="000000"/>
        </w:rPr>
        <w:t>e</w:t>
      </w:r>
      <w:r w:rsidRPr="00E8358C">
        <w:rPr>
          <w:u w:color="000000"/>
        </w:rPr>
        <w:t>miers entretiens nous ont servi à baliser le terrain pour être plus sûr de la question étudiée, car « la vraie question émerge parfois en cours de réalisation du projet »</w:t>
      </w:r>
      <w:r>
        <w:rPr>
          <w:u w:color="000000"/>
        </w:rPr>
        <w:t> </w:t>
      </w:r>
      <w:r w:rsidRPr="00E8358C">
        <w:rPr>
          <w:rStyle w:val="Appelnotedebasdep"/>
          <w:u w:color="000000"/>
        </w:rPr>
        <w:footnoteReference w:id="149"/>
      </w:r>
      <w:r w:rsidRPr="00E8358C">
        <w:rPr>
          <w:u w:color="000000"/>
        </w:rPr>
        <w:t>. Les résultats ont été des plus convaincants. Les participants ont montré dès le début leur intérêt pour le sujet et nous ont inspiré d’autres questions.</w:t>
      </w:r>
    </w:p>
    <w:p w:rsidR="004C50DC" w:rsidRPr="00E8358C" w:rsidRDefault="004C50DC" w:rsidP="004C50DC">
      <w:pPr>
        <w:spacing w:before="120" w:after="120"/>
        <w:jc w:val="both"/>
      </w:pPr>
      <w:r w:rsidRPr="00E8358C">
        <w:t>Nous avons réalisé soixante-et-onze entrevues auprès d’informateurs des deux sexes et des extraits sont cités pour rendre compte de la dimension plurielle des mémoires et de l’importance des débats. Nous nous sommes efforcé de varier les milieux socioprofe</w:t>
      </w:r>
      <w:r w:rsidRPr="00E8358C">
        <w:t>s</w:t>
      </w:r>
      <w:r w:rsidRPr="00E8358C">
        <w:t>sionnels des informateurs en choisissant au moins un participant r</w:t>
      </w:r>
      <w:r w:rsidRPr="00E8358C">
        <w:t>e</w:t>
      </w:r>
      <w:r w:rsidRPr="00E8358C">
        <w:t>présentatif pour chaque groupe afin d’éviter d’avoir une seule vision ou une seule lecture des mémoires de l’esclavage. Dans une ethnol</w:t>
      </w:r>
      <w:r w:rsidRPr="00E8358C">
        <w:t>o</w:t>
      </w:r>
      <w:r w:rsidRPr="00E8358C">
        <w:t>gie qui se veut scientifique, il est important de laisser parler et d’entendre d’autres informateurs. Ainsi, nous avons pu interroger des informateurs étrangers sur des pratiques de remémoration de l’esclavage transatlantique. Cette démarche nous a permis de mieux situer le cas du peuple haïtien dans le concert des mémoires des pe</w:t>
      </w:r>
      <w:r w:rsidRPr="00E8358C">
        <w:t>u</w:t>
      </w:r>
      <w:r w:rsidRPr="00E8358C">
        <w:t xml:space="preserve">ples concernés par cette ignominie. </w:t>
      </w:r>
    </w:p>
    <w:p w:rsidR="004C50DC" w:rsidRPr="00E8358C" w:rsidRDefault="004C50DC" w:rsidP="004C50DC">
      <w:pPr>
        <w:spacing w:before="120" w:after="120"/>
        <w:jc w:val="both"/>
        <w:rPr>
          <w:lang w:eastAsia="ja-JP"/>
        </w:rPr>
      </w:pPr>
      <w:r w:rsidRPr="00E8358C">
        <w:t>Un code de référence est donné à chaque participant suivant le nom que nous lui attribuons et la date de l’entretien. L’objectif des différents entretiens est, entre autres, de déterminer les rapports m</w:t>
      </w:r>
      <w:r w:rsidRPr="00E8358C">
        <w:t>é</w:t>
      </w:r>
      <w:r w:rsidRPr="00E8358C">
        <w:t>moriels que ces informateurs développent avec le passé colonial e</w:t>
      </w:r>
      <w:r w:rsidRPr="00E8358C">
        <w:t>s</w:t>
      </w:r>
      <w:r w:rsidRPr="00E8358C">
        <w:t>clavagiste, leur perception des habitations coloniales et des fortific</w:t>
      </w:r>
      <w:r w:rsidRPr="00E8358C">
        <w:t>a</w:t>
      </w:r>
      <w:r w:rsidRPr="00E8358C">
        <w:t>tions comme des</w:t>
      </w:r>
      <w:r>
        <w:t xml:space="preserve"> [45]</w:t>
      </w:r>
      <w:r w:rsidRPr="00E8358C">
        <w:t xml:space="preserve"> « lieux où la mémoire s’incarne »</w:t>
      </w:r>
      <w:r>
        <w:t> </w:t>
      </w:r>
      <w:r w:rsidRPr="00E8358C">
        <w:rPr>
          <w:rStyle w:val="Appelnotedebasdep"/>
        </w:rPr>
        <w:footnoteReference w:id="150"/>
      </w:r>
      <w:r w:rsidRPr="00E8358C">
        <w:t xml:space="preserve"> et les e</w:t>
      </w:r>
      <w:r w:rsidRPr="00E8358C">
        <w:t>n</w:t>
      </w:r>
      <w:r w:rsidRPr="00E8358C">
        <w:t xml:space="preserve">jeux de la patrimonialisation. Nous n’étions pas </w:t>
      </w:r>
      <w:r w:rsidRPr="00E8358C">
        <w:rPr>
          <w:lang w:eastAsia="ja-JP"/>
        </w:rPr>
        <w:t>allé extorquer des témo</w:t>
      </w:r>
      <w:r w:rsidRPr="00E8358C">
        <w:rPr>
          <w:lang w:eastAsia="ja-JP"/>
        </w:rPr>
        <w:t>i</w:t>
      </w:r>
      <w:r w:rsidRPr="00E8358C">
        <w:rPr>
          <w:lang w:eastAsia="ja-JP"/>
        </w:rPr>
        <w:t>gnages à nos interlocuteurs.</w:t>
      </w:r>
      <w:r w:rsidRPr="00E8358C">
        <w:rPr>
          <w:rFonts w:eastAsia="Calibri"/>
        </w:rPr>
        <w:t xml:space="preserve"> Un protocole d’entente, par souci d’éthique, était présenté à chaque informateur participant, et signé par lui, pour l’utilisation et la vulgarisation des résultats des enquêtes. Nous avons promis de rev</w:t>
      </w:r>
      <w:r w:rsidRPr="00E8358C">
        <w:rPr>
          <w:lang w:eastAsia="ja-JP"/>
        </w:rPr>
        <w:t xml:space="preserve">enir à la fin de la recherche pour présenter et partager les résultats. </w:t>
      </w:r>
    </w:p>
    <w:p w:rsidR="004C50DC" w:rsidRPr="00E8358C" w:rsidRDefault="004C50DC" w:rsidP="004C50DC">
      <w:pPr>
        <w:spacing w:before="120" w:after="120"/>
        <w:jc w:val="both"/>
        <w:rPr>
          <w:rFonts w:eastAsia="Calibri"/>
          <w:lang w:eastAsia="en-CA"/>
        </w:rPr>
      </w:pPr>
      <w:r w:rsidRPr="00E8358C">
        <w:rPr>
          <w:rFonts w:eastAsia="Calibri"/>
          <w:lang w:eastAsia="en-CA"/>
        </w:rPr>
        <w:t>Pour expliquer le refoulement de la mémoire,</w:t>
      </w:r>
      <w:r>
        <w:rPr>
          <w:rFonts w:eastAsia="Calibri"/>
          <w:lang w:eastAsia="en-CA"/>
        </w:rPr>
        <w:t xml:space="preserve"> </w:t>
      </w:r>
      <w:r w:rsidRPr="00E8358C">
        <w:rPr>
          <w:rFonts w:eastAsia="Calibri"/>
          <w:lang w:eastAsia="en-CA"/>
        </w:rPr>
        <w:t>Joël Candau estime que « dans le rapport qu’elle entretient avec le passé, la mémoire h</w:t>
      </w:r>
      <w:r w:rsidRPr="00E8358C">
        <w:rPr>
          <w:rFonts w:eastAsia="Calibri"/>
          <w:lang w:eastAsia="en-CA"/>
        </w:rPr>
        <w:t>u</w:t>
      </w:r>
      <w:r w:rsidRPr="00E8358C">
        <w:rPr>
          <w:rFonts w:eastAsia="Calibri"/>
          <w:lang w:eastAsia="en-CA"/>
        </w:rPr>
        <w:t>maine est toujours conflictuelle, partagée voire déchirée entre un adret et un ubac : elle est faite d’adhésions et de rejets, de consentements et de refoulements, d’ouvertures et de fermetures, d’acceptations et de renoncements, de lumière et d’ombre ou, plus simplement, de souv</w:t>
      </w:r>
      <w:r w:rsidRPr="00E8358C">
        <w:rPr>
          <w:rFonts w:eastAsia="Calibri"/>
          <w:lang w:eastAsia="en-CA"/>
        </w:rPr>
        <w:t>e</w:t>
      </w:r>
      <w:r w:rsidRPr="00E8358C">
        <w:rPr>
          <w:rFonts w:eastAsia="Calibri"/>
          <w:lang w:eastAsia="en-CA"/>
        </w:rPr>
        <w:t>nirs et d’oublis »</w:t>
      </w:r>
      <w:r>
        <w:rPr>
          <w:rFonts w:eastAsia="Calibri"/>
          <w:lang w:eastAsia="en-CA"/>
        </w:rPr>
        <w:t> </w:t>
      </w:r>
      <w:r w:rsidRPr="00E8358C">
        <w:rPr>
          <w:rStyle w:val="Appelnotedebasdep"/>
          <w:rFonts w:eastAsia="Calibri"/>
          <w:lang w:eastAsia="en-CA"/>
        </w:rPr>
        <w:footnoteReference w:id="151"/>
      </w:r>
      <w:r w:rsidRPr="00E8358C">
        <w:rPr>
          <w:rFonts w:eastAsia="Calibri"/>
          <w:lang w:eastAsia="en-CA"/>
        </w:rPr>
        <w:t>. Cette approche peut s’appliquer à la réalité de n</w:t>
      </w:r>
      <w:r w:rsidRPr="00E8358C">
        <w:rPr>
          <w:rFonts w:eastAsia="Calibri"/>
          <w:lang w:eastAsia="en-CA"/>
        </w:rPr>
        <w:t>o</w:t>
      </w:r>
      <w:r w:rsidRPr="00E8358C">
        <w:rPr>
          <w:rFonts w:eastAsia="Calibri"/>
          <w:lang w:eastAsia="en-CA"/>
        </w:rPr>
        <w:t>tre terrain qui présente une mémoire plurielle. Chaque participant a sa propre mémoire de l’esclavage suivant ses expériences et les v</w:t>
      </w:r>
      <w:r w:rsidRPr="00E8358C">
        <w:rPr>
          <w:rFonts w:eastAsia="Calibri"/>
          <w:lang w:eastAsia="en-CA"/>
        </w:rPr>
        <w:t>a</w:t>
      </w:r>
      <w:r w:rsidRPr="00E8358C">
        <w:rPr>
          <w:rFonts w:eastAsia="Calibri"/>
          <w:lang w:eastAsia="en-CA"/>
        </w:rPr>
        <w:t>leurs de sa catégorie sociale et professionnelle. Par exemple, la lecture m</w:t>
      </w:r>
      <w:r w:rsidRPr="00E8358C">
        <w:rPr>
          <w:rFonts w:eastAsia="Calibri"/>
          <w:lang w:eastAsia="en-CA"/>
        </w:rPr>
        <w:t>é</w:t>
      </w:r>
      <w:r w:rsidRPr="00E8358C">
        <w:rPr>
          <w:rFonts w:eastAsia="Calibri"/>
          <w:lang w:eastAsia="en-CA"/>
        </w:rPr>
        <w:t>morielle de l’esclavage du paysan de Kenscoff, attaché à la terre et condamné à lutter pour sa survie, fait le lien avec le mépris des élites dirigeantes. Le professeur d’histoire à Port-au-Prince, dans une d</w:t>
      </w:r>
      <w:r w:rsidRPr="00E8358C">
        <w:rPr>
          <w:rFonts w:eastAsia="Calibri"/>
          <w:lang w:eastAsia="en-CA"/>
        </w:rPr>
        <w:t>é</w:t>
      </w:r>
      <w:r w:rsidRPr="00E8358C">
        <w:rPr>
          <w:rFonts w:eastAsia="Calibri"/>
          <w:lang w:eastAsia="en-CA"/>
        </w:rPr>
        <w:t>marche cartésienne, interprète ou cherche à comprendre la société et les contextes historiques et politiques pour exposer sa mémoire de l’esclavage.</w:t>
      </w:r>
    </w:p>
    <w:p w:rsidR="004C50DC" w:rsidRPr="00E8358C" w:rsidRDefault="004C50DC" w:rsidP="004C50DC">
      <w:pPr>
        <w:spacing w:before="120" w:after="120"/>
        <w:jc w:val="both"/>
        <w:rPr>
          <w:rFonts w:eastAsia="Calibri"/>
          <w:iCs/>
          <w:lang w:eastAsia="en-CA"/>
        </w:rPr>
      </w:pPr>
      <w:r w:rsidRPr="00E8358C">
        <w:rPr>
          <w:rFonts w:eastAsia="Calibri"/>
          <w:iCs/>
          <w:lang w:eastAsia="en-CA"/>
        </w:rPr>
        <w:t>En Haïti, nous sommes en face d’un discours sur l’esclavage a</w:t>
      </w:r>
      <w:r w:rsidRPr="00E8358C">
        <w:rPr>
          <w:rFonts w:eastAsia="Calibri"/>
          <w:iCs/>
          <w:lang w:eastAsia="en-CA"/>
        </w:rPr>
        <w:t>u</w:t>
      </w:r>
      <w:r w:rsidRPr="00E8358C">
        <w:rPr>
          <w:rFonts w:eastAsia="Calibri"/>
          <w:iCs/>
          <w:lang w:eastAsia="en-CA"/>
        </w:rPr>
        <w:t>quel tous les membres de la population ne s’identifient pas individue</w:t>
      </w:r>
      <w:r w:rsidRPr="00E8358C">
        <w:rPr>
          <w:rFonts w:eastAsia="Calibri"/>
          <w:iCs/>
          <w:lang w:eastAsia="en-CA"/>
        </w:rPr>
        <w:t>l</w:t>
      </w:r>
      <w:r w:rsidRPr="00E8358C">
        <w:rPr>
          <w:rFonts w:eastAsia="Calibri"/>
          <w:iCs/>
          <w:lang w:eastAsia="en-CA"/>
        </w:rPr>
        <w:t>lement ou collectivement. Malgré cette situation, il ne nous a pas été difficile de recruter les participants. N</w:t>
      </w:r>
      <w:r w:rsidRPr="00E8358C">
        <w:rPr>
          <w:rFonts w:eastAsia="Calibri"/>
          <w:lang w:eastAsia="en-CA"/>
        </w:rPr>
        <w:t xml:space="preserve">ous avons pu rencontrer </w:t>
      </w:r>
      <w:r w:rsidRPr="00E8358C">
        <w:rPr>
          <w:lang w:eastAsia="ja-JP"/>
        </w:rPr>
        <w:t>des i</w:t>
      </w:r>
      <w:r w:rsidRPr="00E8358C">
        <w:rPr>
          <w:lang w:eastAsia="ja-JP"/>
        </w:rPr>
        <w:t>n</w:t>
      </w:r>
      <w:r w:rsidRPr="00E8358C">
        <w:rPr>
          <w:lang w:eastAsia="ja-JP"/>
        </w:rPr>
        <w:t xml:space="preserve">terlocuteurs intéressés parce que c’était leur histoire, leur mémoire. Il fallait la découvrir. La mémoire de l’esclavage a été trop longtemps affectée par les silences. </w:t>
      </w:r>
      <w:r w:rsidRPr="00E8358C">
        <w:rPr>
          <w:rFonts w:eastAsia="Calibri"/>
          <w:iCs/>
          <w:lang w:eastAsia="en-CA"/>
        </w:rPr>
        <w:t>Le contexte social et politique</w:t>
      </w:r>
      <w:r w:rsidRPr="00E8358C">
        <w:rPr>
          <w:rStyle w:val="Appelnotedebasdep"/>
          <w:rFonts w:eastAsia="Calibri"/>
          <w:iCs/>
          <w:lang w:eastAsia="en-CA"/>
        </w:rPr>
        <w:footnoteReference w:id="152"/>
      </w:r>
      <w:r w:rsidRPr="00E8358C">
        <w:rPr>
          <w:rFonts w:eastAsia="Calibri"/>
          <w:iCs/>
          <w:lang w:eastAsia="en-CA"/>
        </w:rPr>
        <w:t xml:space="preserve"> est favor</w:t>
      </w:r>
      <w:r w:rsidRPr="00E8358C">
        <w:rPr>
          <w:rFonts w:eastAsia="Calibri"/>
          <w:iCs/>
          <w:lang w:eastAsia="en-CA"/>
        </w:rPr>
        <w:t>a</w:t>
      </w:r>
      <w:r w:rsidRPr="00E8358C">
        <w:rPr>
          <w:rFonts w:eastAsia="Calibri"/>
          <w:iCs/>
          <w:lang w:eastAsia="en-CA"/>
        </w:rPr>
        <w:t>ble à une telle recherche. Quelques-uns des informateurs ont cherché à contourner certaines de nos questions en les ramenant sur un plan plus politique. Ils pensaient que notre travail consistait à dénoncer les pr</w:t>
      </w:r>
      <w:r w:rsidRPr="00E8358C">
        <w:rPr>
          <w:rFonts w:eastAsia="Calibri"/>
          <w:iCs/>
          <w:lang w:eastAsia="en-CA"/>
        </w:rPr>
        <w:t>a</w:t>
      </w:r>
      <w:r w:rsidRPr="00E8358C">
        <w:rPr>
          <w:rFonts w:eastAsia="Calibri"/>
          <w:iCs/>
          <w:lang w:eastAsia="en-CA"/>
        </w:rPr>
        <w:t>tiques du gouvernement en place</w:t>
      </w:r>
      <w:r>
        <w:rPr>
          <w:rFonts w:eastAsia="Calibri"/>
          <w:iCs/>
          <w:lang w:eastAsia="en-CA"/>
        </w:rPr>
        <w:t xml:space="preserve"> [46]</w:t>
      </w:r>
      <w:r w:rsidRPr="00E8358C">
        <w:rPr>
          <w:rFonts w:eastAsia="Calibri"/>
          <w:iCs/>
          <w:lang w:eastAsia="en-CA"/>
        </w:rPr>
        <w:t xml:space="preserve"> qu’ils veulent rendre respons</w:t>
      </w:r>
      <w:r w:rsidRPr="00E8358C">
        <w:rPr>
          <w:rFonts w:eastAsia="Calibri"/>
          <w:iCs/>
          <w:lang w:eastAsia="en-CA"/>
        </w:rPr>
        <w:t>a</w:t>
      </w:r>
      <w:r w:rsidRPr="00E8358C">
        <w:rPr>
          <w:rFonts w:eastAsia="Calibri"/>
          <w:iCs/>
          <w:lang w:eastAsia="en-CA"/>
        </w:rPr>
        <w:t>ble de tous les maux d’Haïti. D’autres écartaient certaines questions, arguant qu’ils étaient des acteurs directs des institutions étatiques chargées de faire le travail de mémoire ; ils ne souhaitaient donc pas les critiquer. C’est un sujet sensible. Les intérêts sectoriels et indiv</w:t>
      </w:r>
      <w:r w:rsidRPr="00E8358C">
        <w:rPr>
          <w:rFonts w:eastAsia="Calibri"/>
          <w:iCs/>
          <w:lang w:eastAsia="en-CA"/>
        </w:rPr>
        <w:t>i</w:t>
      </w:r>
      <w:r w:rsidRPr="00E8358C">
        <w:rPr>
          <w:rFonts w:eastAsia="Calibri"/>
          <w:iCs/>
          <w:lang w:eastAsia="en-CA"/>
        </w:rPr>
        <w:t xml:space="preserve">duels ont eu dans ces cas la préséance. </w:t>
      </w:r>
    </w:p>
    <w:p w:rsidR="004C50DC" w:rsidRPr="00E8358C" w:rsidRDefault="004C50DC" w:rsidP="004C50DC">
      <w:pPr>
        <w:spacing w:before="120" w:after="120"/>
        <w:jc w:val="both"/>
        <w:rPr>
          <w:rFonts w:eastAsia="Calibri"/>
          <w:lang w:eastAsia="en-CA"/>
        </w:rPr>
      </w:pPr>
      <w:r w:rsidRPr="00E8358C">
        <w:t xml:space="preserve">D’autres raisons expliquent le refus de certaines personnes, issues surtout des milieux dits populaires à Port-au-Prince, de participer à notre enquête. Ces intervenants récalcitrants croyaient souvent que nous </w:t>
      </w:r>
      <w:r w:rsidRPr="00E8358C">
        <w:rPr>
          <w:rFonts w:eastAsia="Calibri"/>
          <w:lang w:eastAsia="en-CA"/>
        </w:rPr>
        <w:t>disposions de moyens financiers importants que nous ne vo</w:t>
      </w:r>
      <w:r w:rsidRPr="00E8358C">
        <w:rPr>
          <w:rFonts w:eastAsia="Calibri"/>
          <w:lang w:eastAsia="en-CA"/>
        </w:rPr>
        <w:t>u</w:t>
      </w:r>
      <w:r w:rsidRPr="00E8358C">
        <w:rPr>
          <w:rFonts w:eastAsia="Calibri"/>
          <w:lang w:eastAsia="en-CA"/>
        </w:rPr>
        <w:t>lions pas partager</w:t>
      </w:r>
      <w:r>
        <w:rPr>
          <w:rFonts w:eastAsia="Calibri"/>
          <w:lang w:eastAsia="en-CA"/>
        </w:rPr>
        <w:t> </w:t>
      </w:r>
      <w:r w:rsidRPr="00E8358C">
        <w:rPr>
          <w:rStyle w:val="Appelnotedebasdep"/>
          <w:rFonts w:eastAsia="Calibri"/>
          <w:lang w:eastAsia="en-CA"/>
        </w:rPr>
        <w:footnoteReference w:id="153"/>
      </w:r>
      <w:r w:rsidRPr="00E8358C">
        <w:rPr>
          <w:rFonts w:eastAsia="Calibri"/>
          <w:lang w:eastAsia="en-CA"/>
        </w:rPr>
        <w:t> </w:t>
      </w:r>
      <w:r w:rsidRPr="00E8358C">
        <w:t>; cette réticence provenait de leurs expériences par le passé avec certaines organisations non gouvernementales (ONG) qui leur offrent de l’argent en échange de leur participation aux e</w:t>
      </w:r>
      <w:r w:rsidRPr="00E8358C">
        <w:t>n</w:t>
      </w:r>
      <w:r w:rsidRPr="00E8358C">
        <w:t>quêtes. Dans ce cas, n</w:t>
      </w:r>
      <w:r w:rsidRPr="00E8358C">
        <w:rPr>
          <w:rFonts w:eastAsia="Calibri"/>
          <w:iCs/>
          <w:lang w:eastAsia="en-CA"/>
        </w:rPr>
        <w:t>ous avions pris soin au début de préciser aux participants informateurs qu’il s’agissait d’une recherche unive</w:t>
      </w:r>
      <w:r w:rsidRPr="00E8358C">
        <w:rPr>
          <w:rFonts w:eastAsia="Calibri"/>
          <w:iCs/>
          <w:lang w:eastAsia="en-CA"/>
        </w:rPr>
        <w:t>r</w:t>
      </w:r>
      <w:r w:rsidRPr="00E8358C">
        <w:rPr>
          <w:rFonts w:eastAsia="Calibri"/>
          <w:iCs/>
          <w:lang w:eastAsia="en-CA"/>
        </w:rPr>
        <w:t xml:space="preserve">sitaire et que nous ne représentions aucune ONG. Certains d’entre eux ont finalement accepté d’y prendre part. </w:t>
      </w:r>
      <w:r w:rsidRPr="00E8358C">
        <w:t xml:space="preserve">En tant qu’ethnologue, nous avons tenu à nous </w:t>
      </w:r>
      <w:r w:rsidRPr="00E8358C">
        <w:rPr>
          <w:rFonts w:eastAsia="Calibri"/>
          <w:lang w:eastAsia="en-CA"/>
        </w:rPr>
        <w:t xml:space="preserve">adapter au milieu, à l’environnement et au temps. Nous avons compris que </w:t>
      </w:r>
      <w:r w:rsidRPr="00E8358C">
        <w:t>sur le plan de la méthode, l</w:t>
      </w:r>
      <w:r w:rsidRPr="00E8358C">
        <w:rPr>
          <w:rFonts w:eastAsia="Calibri"/>
          <w:lang w:eastAsia="en-CA"/>
        </w:rPr>
        <w:t>es entretiens et les observations doivent être traités comme « des terrains de négociations en effervescence continue, comme des espaces inscrits aussi bien dans l’histoire des acteurs sociaux que dans la temporalité qui lie l’observateur à ce qu’il enregistre »</w:t>
      </w:r>
      <w:r>
        <w:rPr>
          <w:rFonts w:eastAsia="Calibri"/>
          <w:lang w:eastAsia="en-CA"/>
        </w:rPr>
        <w:t> </w:t>
      </w:r>
      <w:r w:rsidRPr="00E8358C">
        <w:rPr>
          <w:rStyle w:val="Appelnotedebasdep"/>
          <w:rFonts w:eastAsia="Calibri"/>
          <w:lang w:eastAsia="en-CA"/>
        </w:rPr>
        <w:footnoteReference w:id="154"/>
      </w:r>
      <w:r w:rsidRPr="00E8358C">
        <w:rPr>
          <w:rFonts w:eastAsia="Calibri"/>
          <w:lang w:eastAsia="en-CA"/>
        </w:rPr>
        <w:t xml:space="preserve">. </w:t>
      </w:r>
    </w:p>
    <w:p w:rsidR="004C50DC" w:rsidRPr="00E8358C" w:rsidRDefault="004C50DC" w:rsidP="004C50DC">
      <w:pPr>
        <w:spacing w:before="120" w:after="120"/>
        <w:jc w:val="both"/>
        <w:rPr>
          <w:rFonts w:eastAsia="Calibri"/>
          <w:iCs/>
          <w:lang w:eastAsia="en-CA"/>
        </w:rPr>
      </w:pPr>
      <w:r w:rsidRPr="00E8358C">
        <w:rPr>
          <w:rFonts w:eastAsia="Calibri"/>
          <w:iCs/>
          <w:lang w:eastAsia="en-CA"/>
        </w:rPr>
        <w:t xml:space="preserve">Pour rassurer quelques informateurs, des </w:t>
      </w:r>
      <w:r w:rsidRPr="00E8358C">
        <w:t>entretiens ont été réalisés en présence d’un autre membre de la famille ou d’un facilitateur pour créer un univers rassurant</w:t>
      </w:r>
      <w:r w:rsidRPr="00E8358C">
        <w:rPr>
          <w:rFonts w:eastAsia="Calibri"/>
          <w:iCs/>
          <w:lang w:eastAsia="en-CA"/>
        </w:rPr>
        <w:t xml:space="preserve">. </w:t>
      </w:r>
      <w:r w:rsidRPr="00E8358C">
        <w:t xml:space="preserve">Un séjour renouvelé dans leur communauté était aussi l’occasion de convaincre certaines personnes de prendre part à notre enquête. Mais nous avons privilégié les entretiens en tête-à-tête avec les participants. Cette façon de faire, tout en étant centrée sur la personne interrogée, garantit une étude objective de l’ensemble des questions qui nous intéressent. </w:t>
      </w:r>
      <w:r w:rsidRPr="00E8358C">
        <w:rPr>
          <w:rFonts w:eastAsia="Calibri"/>
          <w:iCs/>
          <w:lang w:eastAsia="en-CA"/>
        </w:rPr>
        <w:t>Ainsi, sur le plan qualitatif, nous avons recueilli plus d’informations qui nous permettent de réfléchir sur la raison de la non-opérationnalisation de la notion de « descendants d’esclaves » dans la société haïtienne à un moment où, à travers le monde, des groupes d’individus, en vertu de cette desce</w:t>
      </w:r>
      <w:r w:rsidRPr="00E8358C">
        <w:rPr>
          <w:rFonts w:eastAsia="Calibri"/>
          <w:iCs/>
          <w:lang w:eastAsia="en-CA"/>
        </w:rPr>
        <w:t>n</w:t>
      </w:r>
      <w:r w:rsidRPr="00E8358C">
        <w:rPr>
          <w:rFonts w:eastAsia="Calibri"/>
          <w:iCs/>
          <w:lang w:eastAsia="en-CA"/>
        </w:rPr>
        <w:t xml:space="preserve">dance et de l’exploitation de leurs ancêtres, exigent publiquement des </w:t>
      </w:r>
      <w:r>
        <w:rPr>
          <w:rFonts w:eastAsia="Calibri"/>
          <w:iCs/>
          <w:lang w:eastAsia="en-CA"/>
        </w:rPr>
        <w:t xml:space="preserve">[47] </w:t>
      </w:r>
      <w:r w:rsidRPr="00E8358C">
        <w:rPr>
          <w:rFonts w:eastAsia="Calibri"/>
          <w:iCs/>
          <w:lang w:eastAsia="en-CA"/>
        </w:rPr>
        <w:t>réparations et revendiquent leur citoyenneté</w:t>
      </w:r>
      <w:r>
        <w:rPr>
          <w:rFonts w:eastAsia="Calibri"/>
          <w:iCs/>
          <w:lang w:eastAsia="en-CA"/>
        </w:rPr>
        <w:t> </w:t>
      </w:r>
      <w:r>
        <w:rPr>
          <w:rStyle w:val="Appelnotedebasdep"/>
          <w:rFonts w:eastAsia="Calibri"/>
          <w:iCs/>
          <w:lang w:eastAsia="en-CA"/>
        </w:rPr>
        <w:footnoteReference w:id="155"/>
      </w:r>
      <w:r>
        <w:rPr>
          <w:rFonts w:eastAsia="Calibri"/>
          <w:iCs/>
          <w:lang w:eastAsia="en-CA"/>
        </w:rPr>
        <w:t>.</w:t>
      </w:r>
    </w:p>
    <w:p w:rsidR="004C50DC" w:rsidRPr="00E8358C" w:rsidRDefault="004C50DC" w:rsidP="004C50DC">
      <w:pPr>
        <w:spacing w:before="120" w:after="120"/>
        <w:jc w:val="both"/>
        <w:rPr>
          <w:rFonts w:eastAsia="Calibri"/>
          <w:lang w:eastAsia="en-CA"/>
        </w:rPr>
      </w:pPr>
      <w:r w:rsidRPr="00E8358C">
        <w:rPr>
          <w:rFonts w:eastAsia="Calibri"/>
          <w:lang w:eastAsia="en-CA"/>
        </w:rPr>
        <w:t>Deux des entrevues ont été rendues possibles grâce au médium « Skype », compte tenu de l’éloignement des participants-informateurs.</w:t>
      </w:r>
      <w:r>
        <w:rPr>
          <w:rFonts w:eastAsia="Calibri"/>
          <w:lang w:eastAsia="en-CA"/>
        </w:rPr>
        <w:t xml:space="preserve"> </w:t>
      </w:r>
      <w:r w:rsidRPr="00E8358C">
        <w:rPr>
          <w:rFonts w:eastAsia="Calibri"/>
          <w:lang w:eastAsia="en-CA"/>
        </w:rPr>
        <w:t>Ce type de face-à-face n’est pas toujours recommandé lors des enquêtes ethnologiques, mais cette façon de faire nous a am</w:t>
      </w:r>
      <w:r w:rsidRPr="00E8358C">
        <w:rPr>
          <w:rFonts w:eastAsia="Calibri"/>
          <w:lang w:eastAsia="en-CA"/>
        </w:rPr>
        <w:t>e</w:t>
      </w:r>
      <w:r w:rsidRPr="00E8358C">
        <w:rPr>
          <w:rFonts w:eastAsia="Calibri"/>
          <w:lang w:eastAsia="en-CA"/>
        </w:rPr>
        <w:t>né à réfléchir au rôle des logiciels de visioconférence dans l’enquête ethnologique aujourd’hui. C’est une nouvelle technologie qui peut permettre de résoudre les problèmes dus à l’absence de certains i</w:t>
      </w:r>
      <w:r w:rsidRPr="00E8358C">
        <w:rPr>
          <w:rFonts w:eastAsia="Calibri"/>
          <w:lang w:eastAsia="en-CA"/>
        </w:rPr>
        <w:t>n</w:t>
      </w:r>
      <w:r w:rsidRPr="00E8358C">
        <w:rPr>
          <w:rFonts w:eastAsia="Calibri"/>
          <w:lang w:eastAsia="en-CA"/>
        </w:rPr>
        <w:t>formateurs. Les deux entrevues ainsi réalisées nous ont été proposées par les participants eux-mêmes, qui voulaient à tout prix prendre part à l’enquête. Aujourd’hui, cette technologie de communication nous a permis de recueillir des avis de participants indispensables à une an</w:t>
      </w:r>
      <w:r w:rsidRPr="00E8358C">
        <w:rPr>
          <w:rFonts w:eastAsia="Calibri"/>
          <w:lang w:eastAsia="en-CA"/>
        </w:rPr>
        <w:t>a</w:t>
      </w:r>
      <w:r w:rsidRPr="00E8358C">
        <w:rPr>
          <w:rFonts w:eastAsia="Calibri"/>
          <w:lang w:eastAsia="en-CA"/>
        </w:rPr>
        <w:t>lyse critique de la mémoire de l’esclavage en Haïti. Les résultats ont été concluants. Nous en avons fait bon usage.</w:t>
      </w:r>
    </w:p>
    <w:p w:rsidR="004C50DC" w:rsidRDefault="004C50DC" w:rsidP="004C50DC">
      <w:pPr>
        <w:spacing w:before="120" w:after="120"/>
        <w:jc w:val="both"/>
      </w:pPr>
      <w:r w:rsidRPr="00E8358C">
        <w:t>Les proverbes en rapport avec le passé colonial et d’autres él</w:t>
      </w:r>
      <w:r w:rsidRPr="00E8358C">
        <w:t>é</w:t>
      </w:r>
      <w:r w:rsidRPr="00E8358C">
        <w:t>ments de l’oraliture</w:t>
      </w:r>
      <w:r>
        <w:t> </w:t>
      </w:r>
      <w:r>
        <w:rPr>
          <w:rStyle w:val="Appelnotedebasdep"/>
        </w:rPr>
        <w:footnoteReference w:id="156"/>
      </w:r>
      <w:r>
        <w:t xml:space="preserve"> </w:t>
      </w:r>
      <w:r w:rsidRPr="00E8358C">
        <w:t>ont été également importants pour nous. Ce sont des sources orales porteuses des mémoires, du sens et de l’expérience quotidienne, des rêves, des idéaux et de la philosophie des Haïtiens. Selon Ernest Mirville, le concept d’oraliture est « l’ensemble des cré</w:t>
      </w:r>
      <w:r w:rsidRPr="00E8358C">
        <w:t>a</w:t>
      </w:r>
      <w:r w:rsidRPr="00E8358C">
        <w:t>tions non écrites et orales d’une époque ou d’une communauté, dans le domaine de la philosophie, de l’imagination, de la technique, acc</w:t>
      </w:r>
      <w:r w:rsidRPr="00E8358C">
        <w:t>u</w:t>
      </w:r>
      <w:r w:rsidRPr="00E8358C">
        <w:t>sant une certaine valeur quant à la forme ou au fond »</w:t>
      </w:r>
      <w:r>
        <w:t> </w:t>
      </w:r>
      <w:r w:rsidRPr="00E8358C">
        <w:rPr>
          <w:rStyle w:val="Appelnotedebasdep"/>
        </w:rPr>
        <w:footnoteReference w:id="157"/>
      </w:r>
      <w:r w:rsidRPr="00E8358C">
        <w:t>. L’auteur di</w:t>
      </w:r>
      <w:r w:rsidRPr="00E8358C">
        <w:t>s</w:t>
      </w:r>
      <w:r w:rsidRPr="00E8358C">
        <w:t>tinguait une oraliture populaire d’une oraliture savante ou d’élite</w:t>
      </w:r>
      <w:r>
        <w:t> </w:t>
      </w:r>
      <w:r>
        <w:rPr>
          <w:rStyle w:val="Appelnotedebasdep"/>
        </w:rPr>
        <w:footnoteReference w:id="158"/>
      </w:r>
      <w:r w:rsidRPr="00E8358C">
        <w:t xml:space="preserve">. </w:t>
      </w:r>
    </w:p>
    <w:p w:rsidR="004C50DC" w:rsidRDefault="004C50DC" w:rsidP="004C50DC">
      <w:pPr>
        <w:spacing w:before="120" w:after="120"/>
        <w:jc w:val="both"/>
      </w:pPr>
      <w:r>
        <w:t>[48]</w:t>
      </w:r>
    </w:p>
    <w:p w:rsidR="004C50DC" w:rsidRPr="00E8358C" w:rsidRDefault="004C50DC" w:rsidP="004C50DC">
      <w:pPr>
        <w:spacing w:before="120" w:after="120"/>
        <w:jc w:val="both"/>
      </w:pPr>
    </w:p>
    <w:p w:rsidR="004C50DC" w:rsidRPr="00576E8A" w:rsidRDefault="004C50DC" w:rsidP="004C50DC">
      <w:pPr>
        <w:pStyle w:val="b"/>
      </w:pPr>
      <w:bookmarkStart w:id="69" w:name="_Toc406486081"/>
      <w:bookmarkStart w:id="70" w:name="_Toc406487560"/>
      <w:bookmarkStart w:id="71" w:name="_Toc406489640"/>
      <w:bookmarkStart w:id="72" w:name="_Toc423347274"/>
      <w:bookmarkStart w:id="73" w:name="_Toc442280452"/>
      <w:r w:rsidRPr="00576E8A">
        <w:t>Sources audiovisuelles</w:t>
      </w:r>
      <w:bookmarkEnd w:id="69"/>
      <w:bookmarkEnd w:id="70"/>
      <w:bookmarkEnd w:id="71"/>
      <w:bookmarkEnd w:id="72"/>
      <w:bookmarkEnd w:id="73"/>
    </w:p>
    <w:p w:rsidR="004C50DC" w:rsidRDefault="004C50DC" w:rsidP="004C50DC">
      <w:pPr>
        <w:spacing w:before="120" w:after="120"/>
        <w:jc w:val="both"/>
      </w:pPr>
    </w:p>
    <w:p w:rsidR="004C50DC" w:rsidRPr="00E8358C" w:rsidRDefault="004C50DC" w:rsidP="004C50DC">
      <w:pPr>
        <w:spacing w:before="120" w:after="120"/>
        <w:jc w:val="both"/>
        <w:rPr>
          <w:lang w:eastAsia="en-CA"/>
        </w:rPr>
      </w:pPr>
      <w:r w:rsidRPr="00E8358C">
        <w:t>Un intérêt particulier est également donné aux sources audiovisue</w:t>
      </w:r>
      <w:r w:rsidRPr="00E8358C">
        <w:t>l</w:t>
      </w:r>
      <w:r w:rsidRPr="00E8358C">
        <w:t>les. Ainsi, des chants, des méringues</w:t>
      </w:r>
      <w:r>
        <w:t> </w:t>
      </w:r>
      <w:r w:rsidRPr="00E8358C">
        <w:rPr>
          <w:rStyle w:val="Appelnotedebasdep"/>
        </w:rPr>
        <w:footnoteReference w:id="159"/>
      </w:r>
      <w:r w:rsidRPr="00E8358C">
        <w:t xml:space="preserve"> et des vidéos de défilés carn</w:t>
      </w:r>
      <w:r w:rsidRPr="00E8358C">
        <w:t>a</w:t>
      </w:r>
      <w:r w:rsidRPr="00E8358C">
        <w:t>valesques permettant de traiter de la mémoire de l’esclavage et des lieux de mémoire en Haïti ont été analysés. Nous nous sommes int</w:t>
      </w:r>
      <w:r w:rsidRPr="00E8358C">
        <w:t>é</w:t>
      </w:r>
      <w:r w:rsidRPr="00E8358C">
        <w:t>ressé aux documentaires et aux films ethnographiques</w:t>
      </w:r>
      <w:r>
        <w:t> </w:t>
      </w:r>
      <w:r w:rsidRPr="00E8358C">
        <w:rPr>
          <w:rStyle w:val="Appelnotedebasdep"/>
        </w:rPr>
        <w:footnoteReference w:id="160"/>
      </w:r>
      <w:r w:rsidRPr="00E8358C">
        <w:t xml:space="preserve"> sur </w:t>
      </w:r>
      <w:r w:rsidRPr="00E8358C">
        <w:rPr>
          <w:lang w:eastAsia="en-CA"/>
        </w:rPr>
        <w:t>des év</w:t>
      </w:r>
      <w:r w:rsidRPr="00E8358C">
        <w:rPr>
          <w:lang w:eastAsia="en-CA"/>
        </w:rPr>
        <w:t>é</w:t>
      </w:r>
      <w:r w:rsidRPr="00E8358C">
        <w:rPr>
          <w:lang w:eastAsia="en-CA"/>
        </w:rPr>
        <w:t>nements tels que la commémoration de l’indépendance et les manife</w:t>
      </w:r>
      <w:r w:rsidRPr="00E8358C">
        <w:rPr>
          <w:lang w:eastAsia="en-CA"/>
        </w:rPr>
        <w:t>s</w:t>
      </w:r>
      <w:r w:rsidRPr="00E8358C">
        <w:rPr>
          <w:lang w:eastAsia="en-CA"/>
        </w:rPr>
        <w:t>tations culturelles en rapport avec le passé colonial (</w:t>
      </w:r>
      <w:r w:rsidRPr="00E8358C">
        <w:rPr>
          <w:i/>
          <w:lang w:eastAsia="en-CA"/>
        </w:rPr>
        <w:t>rara</w:t>
      </w:r>
      <w:r w:rsidRPr="00E8358C">
        <w:rPr>
          <w:lang w:eastAsia="en-CA"/>
        </w:rPr>
        <w:t>, cérémonies de vodou) en Haïti. Les extraits des discours officiels, les films réal</w:t>
      </w:r>
      <w:r w:rsidRPr="00E8358C">
        <w:rPr>
          <w:lang w:eastAsia="en-CA"/>
        </w:rPr>
        <w:t>i</w:t>
      </w:r>
      <w:r w:rsidRPr="00E8358C">
        <w:rPr>
          <w:lang w:eastAsia="en-CA"/>
        </w:rPr>
        <w:t>sés sur Toussaint Louverture, les fiches de patrimoine immatériel ha</w:t>
      </w:r>
      <w:r w:rsidRPr="00E8358C">
        <w:rPr>
          <w:lang w:eastAsia="en-CA"/>
        </w:rPr>
        <w:t>ï</w:t>
      </w:r>
      <w:r w:rsidRPr="00E8358C">
        <w:rPr>
          <w:lang w:eastAsia="en-CA"/>
        </w:rPr>
        <w:t xml:space="preserve">tien, les vidéos et les albums de groupes musicaux constituent, entre autres, les principales sources audiovisuelles. </w:t>
      </w:r>
    </w:p>
    <w:p w:rsidR="004C50DC" w:rsidRPr="00E8358C" w:rsidRDefault="004C50DC" w:rsidP="004C50DC">
      <w:pPr>
        <w:spacing w:before="120" w:after="120"/>
        <w:jc w:val="both"/>
        <w:rPr>
          <w:lang w:eastAsia="en-CA"/>
        </w:rPr>
      </w:pPr>
      <w:r w:rsidRPr="00E8358C">
        <w:t>André Leroi-Gourhan a expliqué comment l’ethnologie a beaucoup filmé les manifestations culturelles et a été amenée à formuler les premiers principes épistémologiques pour organiser une progre</w:t>
      </w:r>
      <w:r w:rsidRPr="00E8358C">
        <w:t>s</w:t>
      </w:r>
      <w:r w:rsidRPr="00E8358C">
        <w:t>sion</w:t>
      </w:r>
      <w:r>
        <w:t> </w:t>
      </w:r>
      <w:r>
        <w:rPr>
          <w:rStyle w:val="Appelnotedebasdep"/>
        </w:rPr>
        <w:footnoteReference w:id="161"/>
      </w:r>
      <w:r w:rsidRPr="00E8358C">
        <w:t xml:space="preserve">. </w:t>
      </w:r>
      <w:r w:rsidRPr="002038AC">
        <w:t>Jean Rouch, réalisateur et ethnologue français, dans ses r</w:t>
      </w:r>
      <w:r w:rsidRPr="002038AC">
        <w:t>e</w:t>
      </w:r>
      <w:r w:rsidRPr="002038AC">
        <w:t>cherches sur les coutumes de peuples africains tels que les Dogons, utilise bea</w:t>
      </w:r>
      <w:r w:rsidRPr="002038AC">
        <w:t>u</w:t>
      </w:r>
      <w:r w:rsidRPr="002038AC">
        <w:t>coup les films ethnologiques</w:t>
      </w:r>
      <w:r>
        <w:t> </w:t>
      </w:r>
      <w:r>
        <w:rPr>
          <w:rStyle w:val="Appelnotedebasdep"/>
        </w:rPr>
        <w:footnoteReference w:id="162"/>
      </w:r>
      <w:r w:rsidRPr="002038AC">
        <w:t xml:space="preserve">. </w:t>
      </w:r>
      <w:r w:rsidRPr="00E8358C">
        <w:t>Les sources de type audiovisuel fo</w:t>
      </w:r>
      <w:r w:rsidRPr="00E8358C">
        <w:t>r</w:t>
      </w:r>
      <w:r w:rsidRPr="00E8358C">
        <w:t>ment donc un support vivant de la transmission et de l’analyse des mémoires de l’esclavage. Parti de</w:t>
      </w:r>
      <w:r>
        <w:t xml:space="preserve"> [49]</w:t>
      </w:r>
      <w:r w:rsidRPr="00E8358C">
        <w:t xml:space="preserve"> ce patrimoine documentaire, nous sommes arrivé à établir des liens avec les mémo</w:t>
      </w:r>
      <w:r w:rsidRPr="00E8358C">
        <w:t>i</w:t>
      </w:r>
      <w:r w:rsidRPr="00E8358C">
        <w:t>res de l’esclavage aujourd’hui dans la société haïtienne en les écoutant et en analysant des extraits qui sont ensuite confrontés aux sources écrites et aux témoignages des participants. Cette stratégie de recherche pe</w:t>
      </w:r>
      <w:r w:rsidRPr="00E8358C">
        <w:t>r</w:t>
      </w:r>
      <w:r w:rsidRPr="00E8358C">
        <w:t>met de pallier les aspects subjectifs et fictifs que recouvrent certaines sources</w:t>
      </w:r>
      <w:r w:rsidRPr="00E8358C">
        <w:rPr>
          <w:lang w:eastAsia="en-CA"/>
        </w:rPr>
        <w:t xml:space="preserve"> audiovisuelles. Ce faisant, le risque de se confiner dans l’imaginaire ou dans le spirituel, ou encore de prendre pour vér</w:t>
      </w:r>
      <w:r w:rsidRPr="00E8358C">
        <w:rPr>
          <w:lang w:eastAsia="en-CA"/>
        </w:rPr>
        <w:t>i</w:t>
      </w:r>
      <w:r w:rsidRPr="00E8358C">
        <w:rPr>
          <w:lang w:eastAsia="en-CA"/>
        </w:rPr>
        <w:t xml:space="preserve">té la position d’un groupe musical ou d’un réalisateur, est atténué. </w:t>
      </w:r>
    </w:p>
    <w:p w:rsidR="004C50DC" w:rsidRPr="00E8358C" w:rsidRDefault="004C50DC" w:rsidP="004C50DC">
      <w:pPr>
        <w:spacing w:before="120" w:after="120"/>
        <w:jc w:val="both"/>
        <w:rPr>
          <w:lang w:eastAsia="en-CA"/>
        </w:rPr>
      </w:pPr>
      <w:r w:rsidRPr="00E8358C">
        <w:t>La consultation des sources audiovisuelles nous a permis de saisir des pratiques sociales et culturelles et des traces fixées dans la mémo</w:t>
      </w:r>
      <w:r w:rsidRPr="00E8358C">
        <w:t>i</w:t>
      </w:r>
      <w:r w:rsidRPr="00E8358C">
        <w:t>re collective haïtienne. La diversité des sources audiovisuelles disp</w:t>
      </w:r>
      <w:r w:rsidRPr="00E8358C">
        <w:t>o</w:t>
      </w:r>
      <w:r w:rsidRPr="00E8358C">
        <w:t>nibles est importante pour notre recherche qui porte sur les études p</w:t>
      </w:r>
      <w:r w:rsidRPr="00E8358C">
        <w:t>a</w:t>
      </w:r>
      <w:r w:rsidRPr="00E8358C">
        <w:t>trimoniales et ethnologiques. Des images et des paroles ont été isolées et commentées</w:t>
      </w:r>
      <w:r>
        <w:t> </w:t>
      </w:r>
      <w:r>
        <w:rPr>
          <w:rStyle w:val="Appelnotedebasdep"/>
        </w:rPr>
        <w:footnoteReference w:id="163"/>
      </w:r>
      <w:r w:rsidRPr="00E8358C">
        <w:t>. Les chants et les méringues constituent souvent un canal de dénonciation et un exercice de liberté d’expression pour les citoyens face aux élites dans la mesure où ils mettent en lumière ce qui est « étouffé au niveau de l’écriture »</w:t>
      </w:r>
      <w:r>
        <w:t> </w:t>
      </w:r>
      <w:r w:rsidRPr="00E8358C">
        <w:rPr>
          <w:rStyle w:val="Appelnotedebasdep"/>
        </w:rPr>
        <w:footnoteReference w:id="164"/>
      </w:r>
      <w:r w:rsidRPr="00E8358C">
        <w:t>. Notre appartenance à la société observée a aussi facilité le décryptage, car les codes et les i</w:t>
      </w:r>
      <w:r w:rsidRPr="00E8358C">
        <w:t>n</w:t>
      </w:r>
      <w:r w:rsidRPr="00E8358C">
        <w:t xml:space="preserve">terdits sont importants pour la compréhension des silences. </w:t>
      </w:r>
    </w:p>
    <w:p w:rsidR="004C50DC" w:rsidRDefault="004C50DC" w:rsidP="004C50DC">
      <w:pPr>
        <w:spacing w:before="120" w:after="120"/>
        <w:jc w:val="both"/>
      </w:pPr>
      <w:r w:rsidRPr="00E8358C">
        <w:t>Aujourd’hui, les sources audiovisuelles sont plus accessibles avec le développement du numérique et de l’Internet. Elles contribuent à la diffusion des connaissances</w:t>
      </w:r>
      <w:r w:rsidRPr="00792DC7">
        <w:t xml:space="preserve"> et permettent de saisir le présent. Elles constituent donc un outil privilégié pour tout chercheur qui veut réal</w:t>
      </w:r>
      <w:r w:rsidRPr="00792DC7">
        <w:t>i</w:t>
      </w:r>
      <w:r w:rsidRPr="00792DC7">
        <w:t>ser une recherche sur la mémoire de l’esclavage en Haïti</w:t>
      </w:r>
      <w:r w:rsidRPr="00E8358C">
        <w:t xml:space="preserve">. Notons que les crises politiques qui se sont succédé depuis 1986 ont entraîné la destruction de nombreux supports numériques. Comme le souligne Maximilien Laroche, « ces destructions ne visent point tant à punir les auteurs de crimes politiques qu’à permettre au peuple de se défouler enfin de toutes les frustrations accumulées au temps de la tyrannie. De la sorte, bourreaux et victimes, une fois la tempête passée, peuvent se remettre à se côtoyer, à redevenir </w:t>
      </w:r>
      <w:r>
        <w:t xml:space="preserve">[50] </w:t>
      </w:r>
      <w:r w:rsidRPr="00E8358C">
        <w:t>familiers et presque amis. Le tyran d’hier deviendra l’ami de demain, une fois qu’on aura pris soin d’effacer toutes traces de ses actes »</w:t>
      </w:r>
      <w:r>
        <w:t> </w:t>
      </w:r>
      <w:r w:rsidRPr="00E8358C">
        <w:rPr>
          <w:rStyle w:val="Appelnotedebasdep"/>
        </w:rPr>
        <w:footnoteReference w:id="165"/>
      </w:r>
      <w:r w:rsidRPr="00E8358C">
        <w:t xml:space="preserve">. </w:t>
      </w:r>
    </w:p>
    <w:p w:rsidR="004C50DC" w:rsidRPr="00E8358C" w:rsidRDefault="004C50DC" w:rsidP="004C50DC">
      <w:pPr>
        <w:spacing w:before="120" w:after="120"/>
        <w:jc w:val="both"/>
      </w:pPr>
    </w:p>
    <w:p w:rsidR="004C50DC" w:rsidRPr="00874799" w:rsidRDefault="004C50DC" w:rsidP="004C50DC">
      <w:pPr>
        <w:pStyle w:val="b"/>
      </w:pPr>
      <w:bookmarkStart w:id="74" w:name="_Toc406486082"/>
      <w:bookmarkStart w:id="75" w:name="_Toc406487561"/>
      <w:bookmarkStart w:id="76" w:name="_Toc406489641"/>
      <w:bookmarkStart w:id="77" w:name="_Toc423347275"/>
      <w:bookmarkStart w:id="78" w:name="_Toc442280453"/>
      <w:r w:rsidRPr="00874799">
        <w:t>Sources iconographiques</w:t>
      </w:r>
      <w:bookmarkEnd w:id="74"/>
      <w:bookmarkEnd w:id="75"/>
      <w:bookmarkEnd w:id="76"/>
      <w:bookmarkEnd w:id="77"/>
      <w:bookmarkEnd w:id="78"/>
    </w:p>
    <w:p w:rsidR="004C50DC" w:rsidRDefault="004C50DC" w:rsidP="004C50DC">
      <w:pPr>
        <w:spacing w:before="120" w:after="120"/>
        <w:jc w:val="both"/>
      </w:pPr>
    </w:p>
    <w:p w:rsidR="004C50DC" w:rsidRPr="00E8358C" w:rsidRDefault="004C50DC" w:rsidP="004C50DC">
      <w:pPr>
        <w:spacing w:before="120" w:after="120"/>
        <w:jc w:val="both"/>
      </w:pPr>
      <w:r w:rsidRPr="00E8358C">
        <w:t>Les sources iconographiques sont utilisées de plus en plus a</w:t>
      </w:r>
      <w:r w:rsidRPr="00E8358C">
        <w:t>u</w:t>
      </w:r>
      <w:r w:rsidRPr="00E8358C">
        <w:t xml:space="preserve">jourd’hui par les ethnologues. Dans le cadre de cette thèse, des œuvres picturales, des sculptures, des plaques commémoratives, </w:t>
      </w:r>
      <w:r w:rsidRPr="00E8358C">
        <w:rPr>
          <w:bCs/>
        </w:rPr>
        <w:t>d</w:t>
      </w:r>
      <w:r w:rsidRPr="00E8358C">
        <w:t xml:space="preserve">es objets exposés dans les musées haïtiens et ailleurs ont été pris en compte. Les photographies que nous avons réalisées nous-mêmes et celles d’autres photographes sont aussi utilisées comme illustration, ou sont venues en renfort des observations et analyses. Les photographies sont mises en relief pour une description des lieux et des pratiques. Nous avons été témoin de la fabrication du tambour </w:t>
      </w:r>
      <w:r w:rsidRPr="00E8358C">
        <w:rPr>
          <w:i/>
        </w:rPr>
        <w:t>marengwen</w:t>
      </w:r>
      <w:r w:rsidRPr="00E8358C">
        <w:t xml:space="preserve"> qui relève de l’ingéniosité et de la détermination des esclaves pour se créer leur propre culture. L’état critique de conservation des monuments qui soutiennent le sentiment de fierté haïtienne passée, présente et future, comme les forts, a aussi retenu notre attention. Ce constat nous porte à questionner les relations qu’entretiennent les discours avec la réalité dans cette société.</w:t>
      </w:r>
    </w:p>
    <w:p w:rsidR="004C50DC" w:rsidRDefault="004C50DC" w:rsidP="004C50DC">
      <w:pPr>
        <w:spacing w:before="120" w:after="120"/>
        <w:jc w:val="both"/>
      </w:pPr>
      <w:r w:rsidRPr="00E8358C">
        <w:t>Joël Candau remarque qu’il y a eu des « périodes historiques pr</w:t>
      </w:r>
      <w:r w:rsidRPr="00E8358C">
        <w:t>o</w:t>
      </w:r>
      <w:r w:rsidRPr="00E8358C">
        <w:t>pices en toute société à la mise en question de la mémoire par l’art »</w:t>
      </w:r>
      <w:r>
        <w:t> </w:t>
      </w:r>
      <w:r w:rsidRPr="00E8358C">
        <w:rPr>
          <w:rStyle w:val="Appelnotedebasdep"/>
        </w:rPr>
        <w:footnoteReference w:id="166"/>
      </w:r>
      <w:r w:rsidRPr="00E8358C">
        <w:t>. C’est le cas en Haïti : à côté des travaux universitaires, hi</w:t>
      </w:r>
      <w:r w:rsidRPr="00E8358C">
        <w:t>s</w:t>
      </w:r>
      <w:r w:rsidRPr="00E8358C">
        <w:t>toriques et littéraires, les œuvres des artistes</w:t>
      </w:r>
      <w:r>
        <w:t> </w:t>
      </w:r>
      <w:r w:rsidRPr="00E8358C">
        <w:rPr>
          <w:rStyle w:val="Appelnotedebasdep"/>
        </w:rPr>
        <w:footnoteReference w:id="167"/>
      </w:r>
      <w:r w:rsidRPr="00E8358C">
        <w:t xml:space="preserve"> nous ont aidé à explorer les m</w:t>
      </w:r>
      <w:r w:rsidRPr="00E8358C">
        <w:t>é</w:t>
      </w:r>
      <w:r w:rsidRPr="00E8358C">
        <w:t>moires partagées et à apprécier le continuum ou la rupture a</w:t>
      </w:r>
      <w:r w:rsidRPr="00E8358C">
        <w:t>u</w:t>
      </w:r>
      <w:r w:rsidRPr="00E8358C">
        <w:t>jourd’hui. Les propos de Maximilien Laroche en disent long : « à première vue, les Haïtiens oublient leur passé plus qu’ils ne se so</w:t>
      </w:r>
      <w:r w:rsidRPr="00E8358C">
        <w:t>u</w:t>
      </w:r>
      <w:r w:rsidRPr="00E8358C">
        <w:t>viennent. Pourtant leur conscience baigne dans les souvenirs »</w:t>
      </w:r>
      <w:r>
        <w:t> </w:t>
      </w:r>
      <w:r w:rsidRPr="00E8358C">
        <w:rPr>
          <w:rStyle w:val="Appelnotedebasdep"/>
        </w:rPr>
        <w:footnoteReference w:id="168"/>
      </w:r>
      <w:r w:rsidRPr="00E8358C">
        <w:t>. Ce</w:t>
      </w:r>
      <w:r w:rsidRPr="00E8358C">
        <w:t>r</w:t>
      </w:r>
      <w:r w:rsidRPr="00E8358C">
        <w:t>tes, nous n’ignorons pas les faiblesses des sources iconograph</w:t>
      </w:r>
      <w:r w:rsidRPr="00E8358C">
        <w:t>i</w:t>
      </w:r>
      <w:r w:rsidRPr="00E8358C">
        <w:t>ques telles que les gravures et les sculptures qui sont souvent porte</w:t>
      </w:r>
      <w:r w:rsidRPr="00E8358C">
        <w:t>u</w:t>
      </w:r>
      <w:r w:rsidRPr="00E8358C">
        <w:t>ses de messages inspirés par la fiction ou instrumentalisés.</w:t>
      </w:r>
    </w:p>
    <w:p w:rsidR="004C50DC" w:rsidRPr="00E8358C" w:rsidRDefault="004C50DC" w:rsidP="004C50DC">
      <w:pPr>
        <w:spacing w:before="120" w:after="120"/>
        <w:jc w:val="both"/>
      </w:pPr>
      <w:r>
        <w:t>[51]</w:t>
      </w:r>
    </w:p>
    <w:p w:rsidR="004C50DC" w:rsidRPr="00E8358C" w:rsidRDefault="004C50DC" w:rsidP="004C50DC">
      <w:pPr>
        <w:spacing w:before="120" w:after="120"/>
        <w:jc w:val="both"/>
      </w:pPr>
      <w:r w:rsidRPr="00E8358C">
        <w:t>Yves Bergeron soutient que les musées « participent à la constru</w:t>
      </w:r>
      <w:r w:rsidRPr="00E8358C">
        <w:t>c</w:t>
      </w:r>
      <w:r w:rsidRPr="00E8358C">
        <w:t>tion de la mémoire en sélectionnant les objets ou en matérialisant les idéologies »</w:t>
      </w:r>
      <w:r>
        <w:t> </w:t>
      </w:r>
      <w:r w:rsidRPr="00E8358C">
        <w:rPr>
          <w:rStyle w:val="Appelnotedebasdep"/>
        </w:rPr>
        <w:footnoteReference w:id="169"/>
      </w:r>
      <w:r w:rsidRPr="00E8358C">
        <w:t>. Dans certains pays (Haïti, France, etc.) très marqués par la mémoire de l’esclavage transatlantique, les musées d’histoire, à d</w:t>
      </w:r>
      <w:r w:rsidRPr="00E8358C">
        <w:t>é</w:t>
      </w:r>
      <w:r w:rsidRPr="00E8358C">
        <w:t>faut de musée sur l’esclavage, réservent généralement des salles d’expositions temporaires et permanentes, et reçoivent aussi des exp</w:t>
      </w:r>
      <w:r w:rsidRPr="00E8358C">
        <w:t>o</w:t>
      </w:r>
      <w:r w:rsidRPr="00E8358C">
        <w:t xml:space="preserve">sitions itinérantes sur le passé colonial.  Dans le cadre de notre terrain, les objets exposés dans quelques musées en Haïti et en France ont été pris en compte. </w:t>
      </w:r>
    </w:p>
    <w:p w:rsidR="004C50DC" w:rsidRPr="00E8358C" w:rsidRDefault="004C50DC" w:rsidP="004C50DC">
      <w:pPr>
        <w:spacing w:before="120" w:after="120"/>
        <w:jc w:val="both"/>
      </w:pPr>
      <w:r w:rsidRPr="00E8358C">
        <w:t>En effet, en nous questionnant sur la place du musée dans la transmission de la mémoire de l’esclavage en Haïti, nous avons été amené à visiter les musées (MUPANAH, Parc historique de la canne à sucre, Musée colonial Ogier-Fombrun, Musée d’Aquitaine à Bo</w:t>
      </w:r>
      <w:r w:rsidRPr="00E8358C">
        <w:t>r</w:t>
      </w:r>
      <w:r w:rsidRPr="00E8358C">
        <w:t>deaux, etc.) pour mieux situer notre analyse critique. De juin à août 2013, nous avons été accueilli au musée d’Aquitaine de Bordeaux pour un séjour de recherche. Les rencontres avec les commissaires (Christian Block et François Hubert) de l’exposition permanente « Bordeaux, le commerce atlantique et l’esclavage » ont été des plus profitables pour nous. Ils nous ont ouvert leur centre de document</w:t>
      </w:r>
      <w:r w:rsidRPr="00E8358C">
        <w:t>a</w:t>
      </w:r>
      <w:r w:rsidRPr="00E8358C">
        <w:t xml:space="preserve">tion et nous ont facilité la consultation des Archives municipales et départementales de Bordeaux qui possèdent une part importante de la documentation historique sur la traite et l’esclavage transatlantique. Nous avons pu aussi interroger des visiteurs africains ou français, dont nous voulions recueillir les opinions. </w:t>
      </w:r>
    </w:p>
    <w:p w:rsidR="004C50DC" w:rsidRPr="00E8358C" w:rsidRDefault="004C50DC" w:rsidP="004C50DC">
      <w:pPr>
        <w:spacing w:before="120" w:after="120"/>
        <w:jc w:val="both"/>
      </w:pPr>
      <w:r w:rsidRPr="00E8358C">
        <w:t>En Haïti, nous avons effectué plusieurs visites consécutives, de septembre à décembre 2013, respectivement au MUPANAH, au M</w:t>
      </w:r>
      <w:r w:rsidRPr="00E8358C">
        <w:t>u</w:t>
      </w:r>
      <w:r w:rsidRPr="00E8358C">
        <w:t>sée du Parc historique de la canne à sucre et au Musée colonial Ogier-Fombrun. Les principales salles d’expositions de ces musées sont consacrées à l’histoire d’Haïti en commençant par l’histoire des pr</w:t>
      </w:r>
      <w:r w:rsidRPr="00E8358C">
        <w:t>e</w:t>
      </w:r>
      <w:r w:rsidRPr="00E8358C">
        <w:t>miers habitants de l’île d’Ayiti (les Amérindiens), la période coloniale espagnole et la colonisation française. L’objectif des visites dans les musées était double : il s’agissait d’une part de nous pencher de m</w:t>
      </w:r>
      <w:r w:rsidRPr="00E8358C">
        <w:t>a</w:t>
      </w:r>
      <w:r w:rsidRPr="00E8358C">
        <w:t>nière critique sur les expositions dans leur ensemble et sur l’esclavage. D’autre part,</w:t>
      </w:r>
      <w:r>
        <w:t xml:space="preserve"> [52]</w:t>
      </w:r>
      <w:r w:rsidRPr="00E8358C">
        <w:t xml:space="preserve"> nous nous sommes entretenu avec des visiteurs pour évaluer la réception des messages ou leur avis sur la démarche entreprise et les dispositifs pour le transmettre. Les visiteurs interrogés se montraient ouverts à répondre à nos questions. Nous n’avons pas eu trop de difficultés à les convaincre de prendre part à l’enquête. Cette étude critique nous a permis de mieux conceptualiser les messages et les valeurs qu’ils expriment. Elle nous a également aidé à éviter une vision trop parcellaire de la mémoire de l’esclavage. </w:t>
      </w:r>
    </w:p>
    <w:p w:rsidR="004C50DC" w:rsidRDefault="004C50DC" w:rsidP="004C50DC">
      <w:pPr>
        <w:spacing w:before="120" w:after="120"/>
        <w:jc w:val="both"/>
      </w:pPr>
      <w:bookmarkStart w:id="79" w:name="_Toc406489642"/>
      <w:bookmarkStart w:id="80" w:name="_Toc423347276"/>
      <w:bookmarkStart w:id="81" w:name="_Toc442280454"/>
    </w:p>
    <w:p w:rsidR="004C50DC" w:rsidRPr="00E8358C" w:rsidRDefault="004C50DC" w:rsidP="004C50DC">
      <w:pPr>
        <w:pStyle w:val="a"/>
      </w:pPr>
      <w:r w:rsidRPr="00E8358C">
        <w:t>1.4.2</w:t>
      </w:r>
      <w:r>
        <w:t>.</w:t>
      </w:r>
      <w:r w:rsidRPr="00E8358C">
        <w:t xml:space="preserve"> Description raisonnée des méthodes d’analyse</w:t>
      </w:r>
      <w:bookmarkEnd w:id="79"/>
      <w:bookmarkEnd w:id="80"/>
      <w:bookmarkEnd w:id="81"/>
      <w:r w:rsidRPr="00E8358C">
        <w:t> </w:t>
      </w:r>
    </w:p>
    <w:p w:rsidR="004C50DC" w:rsidRDefault="004C50DC" w:rsidP="004C50DC">
      <w:pPr>
        <w:spacing w:before="120" w:after="120"/>
        <w:jc w:val="both"/>
        <w:rPr>
          <w:lang w:eastAsia="en-CA"/>
        </w:rPr>
      </w:pPr>
    </w:p>
    <w:p w:rsidR="004C50DC" w:rsidRPr="00E8358C" w:rsidRDefault="004C50DC" w:rsidP="004C50DC">
      <w:pPr>
        <w:spacing w:before="120" w:after="120"/>
        <w:jc w:val="both"/>
        <w:rPr>
          <w:lang w:eastAsia="en-CA"/>
        </w:rPr>
      </w:pPr>
      <w:r w:rsidRPr="00E8358C">
        <w:rPr>
          <w:lang w:eastAsia="en-CA"/>
        </w:rPr>
        <w:t>L</w:t>
      </w:r>
      <w:r w:rsidRPr="00E8358C">
        <w:t xml:space="preserve">’observation participante nous aide à compléter les informations recueillies lors de l’enquête orale </w:t>
      </w:r>
      <w:r w:rsidRPr="00E8358C">
        <w:rPr>
          <w:lang w:eastAsia="en-CA"/>
        </w:rPr>
        <w:t>en utilisant l</w:t>
      </w:r>
      <w:r w:rsidRPr="00E8358C">
        <w:t>e vécu partagé par des citoyens haïtiens dans des événements culturels ou commémoratifs</w:t>
      </w:r>
      <w:r w:rsidRPr="00E8358C">
        <w:rPr>
          <w:lang w:eastAsia="en-CA"/>
        </w:rPr>
        <w:t>. Cette technique a permis une meilleure saisie des réalités et du niveau d’appropriation des pratiques culturelles perçues comme éléments identitaires haïtiens. Elle a servi aussi à écarter les données que les participants peuvent inventer pour satisfaire notre curiosité sur leur passé, leur présent et leurs traditions en les comparant avec les points de vue exprimés antérieurement dans les ouvrages ou lors de préc</w:t>
      </w:r>
      <w:r w:rsidRPr="00E8358C">
        <w:rPr>
          <w:lang w:eastAsia="en-CA"/>
        </w:rPr>
        <w:t>é</w:t>
      </w:r>
      <w:r w:rsidRPr="00E8358C">
        <w:rPr>
          <w:lang w:eastAsia="en-CA"/>
        </w:rPr>
        <w:t>dents témoignages. L’observation participante nous convie à relativ</w:t>
      </w:r>
      <w:r w:rsidRPr="00E8358C">
        <w:rPr>
          <w:lang w:eastAsia="en-CA"/>
        </w:rPr>
        <w:t>i</w:t>
      </w:r>
      <w:r w:rsidRPr="00E8358C">
        <w:rPr>
          <w:lang w:eastAsia="en-CA"/>
        </w:rPr>
        <w:t>ser toute construction ou déclaration que certains informateurs fou</w:t>
      </w:r>
      <w:r w:rsidRPr="00E8358C">
        <w:rPr>
          <w:lang w:eastAsia="en-CA"/>
        </w:rPr>
        <w:t>r</w:t>
      </w:r>
      <w:r w:rsidRPr="00E8358C">
        <w:rPr>
          <w:lang w:eastAsia="en-CA"/>
        </w:rPr>
        <w:t xml:space="preserve">nissent pour attirer la clientèle touristique. Elle évite également de nous heurter à un mur de réponses formelles. </w:t>
      </w:r>
    </w:p>
    <w:p w:rsidR="004C50DC" w:rsidRPr="00E8358C" w:rsidRDefault="004C50DC" w:rsidP="004C50DC">
      <w:pPr>
        <w:spacing w:before="120" w:after="120"/>
        <w:jc w:val="both"/>
        <w:rPr>
          <w:rFonts w:eastAsia="Calibri"/>
        </w:rPr>
      </w:pPr>
      <w:r w:rsidRPr="00E8358C">
        <w:t>Nous avons participé à des cérémonies commémoratives de dates et de lieux ayant rapport avec le passé colonial pour bien situer le contexte et obtenir sur le vif les réactions des participants. Des notes ont été prises et consignées dans notre carnet de terrain.</w:t>
      </w:r>
      <w:r>
        <w:t xml:space="preserve"> </w:t>
      </w:r>
      <w:r w:rsidRPr="00E8358C">
        <w:t>Ainsi, le 18 mai 2013, nous avons pris part aux cérémonies de la Fête du drapeau à l’Arcahaie, et le 18 novembre 2013, nous étions au Cap-Haïtien pour la commémoration de la bataille de Vertières. Le 1</w:t>
      </w:r>
      <w:r w:rsidRPr="00E8358C">
        <w:rPr>
          <w:vertAlign w:val="superscript"/>
        </w:rPr>
        <w:t>er</w:t>
      </w:r>
      <w:r w:rsidRPr="00E8358C">
        <w:t xml:space="preserve"> janvier 2014 a été pour nous l’occasion d’observer les festivités commémoratives aux Gonaïves qui ont marqué le 210</w:t>
      </w:r>
      <w:r w:rsidRPr="00E8358C">
        <w:rPr>
          <w:vertAlign w:val="superscript"/>
        </w:rPr>
        <w:t>e</w:t>
      </w:r>
      <w:r w:rsidRPr="00E8358C">
        <w:t xml:space="preserve"> anniversaire de l’Indépendance ha</w:t>
      </w:r>
      <w:r w:rsidRPr="00E8358C">
        <w:t>ï</w:t>
      </w:r>
      <w:r w:rsidRPr="00E8358C">
        <w:t>tienne. Les participants avec lesquels nous nous sommes entretenu ont pour la plupart accepté de partager leur point de vue avec nous, d’autres ont refusé. Par exemple, une dame nous a demandé à Verti</w:t>
      </w:r>
      <w:r w:rsidRPr="00E8358C">
        <w:t>è</w:t>
      </w:r>
      <w:r w:rsidRPr="00E8358C">
        <w:t>res : « pourquoi c’est dans cette circonstance et à cette date précise que vous voulez recueillir mes avis ? Êtes-vous payé par un organi</w:t>
      </w:r>
      <w:r w:rsidRPr="00E8358C">
        <w:t>s</w:t>
      </w:r>
      <w:r w:rsidRPr="00E8358C">
        <w:t>me non gouvernemental ? Travaillez-vous pour une ambassade ? » On remarque également une</w:t>
      </w:r>
      <w:r>
        <w:t xml:space="preserve"> [53]</w:t>
      </w:r>
      <w:r w:rsidRPr="00E8358C">
        <w:t xml:space="preserve"> certaine incrédulité dans le comport</w:t>
      </w:r>
      <w:r w:rsidRPr="00E8358C">
        <w:t>e</w:t>
      </w:r>
      <w:r w:rsidRPr="00E8358C">
        <w:t>ment de ces participants qui ne veulent surtout pas donner leur op</w:t>
      </w:r>
      <w:r w:rsidRPr="00E8358C">
        <w:t>i</w:t>
      </w:r>
      <w:r w:rsidRPr="00E8358C">
        <w:t xml:space="preserve">nion sur le sujet sensible de la mémoire de l’esclavage en Haïti. </w:t>
      </w:r>
    </w:p>
    <w:p w:rsidR="004C50DC" w:rsidRPr="00E8358C" w:rsidRDefault="004C50DC" w:rsidP="004C50DC">
      <w:pPr>
        <w:spacing w:before="120" w:after="120"/>
        <w:jc w:val="both"/>
      </w:pPr>
      <w:r w:rsidRPr="00E8358C">
        <w:rPr>
          <w:rFonts w:eastAsia="Calibri"/>
        </w:rPr>
        <w:t xml:space="preserve">En faisant de l’observation participante, nous nous efforçons </w:t>
      </w:r>
      <w:r w:rsidRPr="00792DC7">
        <w:t>d’écarter le piège de « l’invention de l’Autre », où « l’écriture de</w:t>
      </w:r>
      <w:r w:rsidRPr="00E8358C">
        <w:rPr>
          <w:bCs/>
          <w:iCs/>
        </w:rPr>
        <w:t xml:space="preserve"> l’altérité n’est autre qu’une reconstruction historique en laborato</w:t>
      </w:r>
      <w:r w:rsidRPr="00E8358C">
        <w:rPr>
          <w:bCs/>
          <w:iCs/>
        </w:rPr>
        <w:t>i</w:t>
      </w:r>
      <w:r w:rsidRPr="00E8358C">
        <w:rPr>
          <w:bCs/>
          <w:iCs/>
        </w:rPr>
        <w:t>re »</w:t>
      </w:r>
      <w:r>
        <w:rPr>
          <w:bCs/>
          <w:iCs/>
        </w:rPr>
        <w:t> </w:t>
      </w:r>
      <w:r w:rsidRPr="00E8358C">
        <w:rPr>
          <w:rStyle w:val="Appelnotedebasdep"/>
          <w:bCs/>
          <w:iCs/>
        </w:rPr>
        <w:footnoteReference w:id="170"/>
      </w:r>
      <w:r w:rsidRPr="00E8358C">
        <w:rPr>
          <w:bCs/>
          <w:iCs/>
        </w:rPr>
        <w:t xml:space="preserve">. Johannes </w:t>
      </w:r>
      <w:r w:rsidRPr="00E8358C">
        <w:t xml:space="preserve">Fabian nous rappelle que </w:t>
      </w:r>
      <w:r w:rsidRPr="00E8358C">
        <w:rPr>
          <w:bCs/>
          <w:iCs/>
        </w:rPr>
        <w:t>« l</w:t>
      </w:r>
      <w:r w:rsidRPr="00E8358C">
        <w:t>e temps peut aussi do</w:t>
      </w:r>
      <w:r w:rsidRPr="00E8358C">
        <w:t>n</w:t>
      </w:r>
      <w:r w:rsidRPr="00E8358C">
        <w:t>ner forme à des relations de pouvoir et d’inégalité »</w:t>
      </w:r>
      <w:r>
        <w:t> </w:t>
      </w:r>
      <w:r w:rsidRPr="00E8358C">
        <w:rPr>
          <w:rStyle w:val="Appelnotedebasdep"/>
        </w:rPr>
        <w:footnoteReference w:id="171"/>
      </w:r>
      <w:r w:rsidRPr="00E8358C">
        <w:t xml:space="preserve"> dans les recherches ethnologiques sur les peuples des pays anciennement colon</w:t>
      </w:r>
      <w:r w:rsidRPr="00E8358C">
        <w:t>i</w:t>
      </w:r>
      <w:r w:rsidRPr="00E8358C">
        <w:t xml:space="preserve">sés. L’Autre, ainsi que </w:t>
      </w:r>
      <w:r w:rsidRPr="00E8358C">
        <w:rPr>
          <w:bCs/>
          <w:iCs/>
        </w:rPr>
        <w:t xml:space="preserve">Johannes </w:t>
      </w:r>
      <w:r w:rsidRPr="00E8358C">
        <w:t>Fabian l’a argumenté, est interrogé et r</w:t>
      </w:r>
      <w:r w:rsidRPr="00E8358C">
        <w:t>e</w:t>
      </w:r>
      <w:r w:rsidRPr="00E8358C">
        <w:t>connu dans notre recherche comme sujet partageant la même tempor</w:t>
      </w:r>
      <w:r w:rsidRPr="00E8358C">
        <w:t>a</w:t>
      </w:r>
      <w:r w:rsidRPr="00E8358C">
        <w:t>lité que nous. L</w:t>
      </w:r>
      <w:r w:rsidRPr="00E8358C">
        <w:rPr>
          <w:bCs/>
          <w:iCs/>
        </w:rPr>
        <w:t>’espace discursif de notre travail n’a laissé aucune pl</w:t>
      </w:r>
      <w:r w:rsidRPr="00E8358C">
        <w:rPr>
          <w:bCs/>
          <w:iCs/>
        </w:rPr>
        <w:t>a</w:t>
      </w:r>
      <w:r w:rsidRPr="00E8358C">
        <w:rPr>
          <w:bCs/>
          <w:iCs/>
        </w:rPr>
        <w:t>ce pour une analyse caricaturale des individus observés et interr</w:t>
      </w:r>
      <w:r w:rsidRPr="00E8358C">
        <w:rPr>
          <w:bCs/>
          <w:iCs/>
        </w:rPr>
        <w:t>o</w:t>
      </w:r>
      <w:r w:rsidRPr="00E8358C">
        <w:rPr>
          <w:bCs/>
          <w:iCs/>
        </w:rPr>
        <w:t>gés.</w:t>
      </w:r>
    </w:p>
    <w:p w:rsidR="004C50DC" w:rsidRPr="00E8358C" w:rsidRDefault="004C50DC" w:rsidP="004C50DC">
      <w:pPr>
        <w:spacing w:before="120" w:after="120"/>
        <w:jc w:val="both"/>
      </w:pPr>
      <w:r w:rsidRPr="00E8358C">
        <w:t>La production textuelle ethnologique est toujours alimentée par d</w:t>
      </w:r>
      <w:r w:rsidRPr="00E8358C">
        <w:t>i</w:t>
      </w:r>
      <w:r w:rsidRPr="00E8358C">
        <w:t>verses sources (écrites, orales, audiovisuelles et iconographiques). Les données ou les conclusions des travaux des non-ethnologues ont été utilisées de manière critique. Les sources sont confrontées entre elles. L’idée n’est pas de les opposer, mais d’identifier la panoplie des m</w:t>
      </w:r>
      <w:r w:rsidRPr="00E8358C">
        <w:t>é</w:t>
      </w:r>
      <w:r w:rsidRPr="00E8358C">
        <w:t>moires de l’esclavage. En quoi sont-elles semblables ou différentes ? Qu’est-ce qu’elles apportent de nouveau ? Elles sont étudiées dans leur contexte historique et culturel afin de rendre compréhensible leur articulation.</w:t>
      </w:r>
    </w:p>
    <w:p w:rsidR="004C50DC" w:rsidRPr="00E8358C" w:rsidRDefault="004C50DC" w:rsidP="004C50DC">
      <w:pPr>
        <w:spacing w:before="120" w:after="120"/>
        <w:jc w:val="both"/>
      </w:pPr>
      <w:r w:rsidRPr="00E8358C">
        <w:t>La dialectique</w:t>
      </w:r>
      <w:r>
        <w:t> </w:t>
      </w:r>
      <w:r>
        <w:rPr>
          <w:rStyle w:val="Appelnotedebasdep"/>
        </w:rPr>
        <w:footnoteReference w:id="172"/>
      </w:r>
      <w:r w:rsidRPr="00E8358C">
        <w:t xml:space="preserve"> « inter-source » facilite une meilleure compréhe</w:t>
      </w:r>
      <w:r w:rsidRPr="00E8358C">
        <w:t>n</w:t>
      </w:r>
      <w:r w:rsidRPr="00E8358C">
        <w:t>sion des enjeux et nous aide à identifier les thèmes récurrents en vue de dégager des variables pour la construction d’une typologie de la mémoire de l’esclavage en Haïti. Elle contribue à voir la cohérence et la diversité des mémoires construites, transmises et partagées oral</w:t>
      </w:r>
      <w:r w:rsidRPr="00E8358C">
        <w:t>e</w:t>
      </w:r>
      <w:r w:rsidRPr="00E8358C">
        <w:t>ment ou consignées dans un ouvrage ou un document historique afin de mieux les comprendre et les interpréter. Elle permet aussi de déc</w:t>
      </w:r>
      <w:r w:rsidRPr="00E8358C">
        <w:t>e</w:t>
      </w:r>
      <w:r w:rsidRPr="00E8358C">
        <w:t>ler la perception de chaque participant-informateur de</w:t>
      </w:r>
      <w:r>
        <w:t xml:space="preserve"> [54]</w:t>
      </w:r>
      <w:r w:rsidRPr="00E8358C">
        <w:t xml:space="preserve"> la mémoire de l’esclavage relativement à sa classe sociale, à ses intérêts (sociaux, économiques, culturels) et à sa formation. Nous avons gardé notre di</w:t>
      </w:r>
      <w:r w:rsidRPr="00E8358C">
        <w:t>s</w:t>
      </w:r>
      <w:r w:rsidRPr="00E8358C">
        <w:t>tance critique par rapport à l’informateur</w:t>
      </w:r>
      <w:r>
        <w:t xml:space="preserve"> et à nous-mêmes.</w:t>
      </w:r>
    </w:p>
    <w:p w:rsidR="004C50DC" w:rsidRPr="00E8358C" w:rsidRDefault="004C50DC" w:rsidP="004C50DC">
      <w:pPr>
        <w:spacing w:before="120" w:after="120"/>
        <w:jc w:val="both"/>
        <w:rPr>
          <w:lang w:eastAsia="ja-JP"/>
        </w:rPr>
      </w:pPr>
      <w:r w:rsidRPr="00E8358C">
        <w:rPr>
          <w:lang w:eastAsia="ja-JP"/>
        </w:rPr>
        <w:t>Enfin, nous nous inspirons de Pierre Bourdieu pour poser la que</w:t>
      </w:r>
      <w:r w:rsidRPr="00E8358C">
        <w:rPr>
          <w:lang w:eastAsia="ja-JP"/>
        </w:rPr>
        <w:t>s</w:t>
      </w:r>
      <w:r w:rsidRPr="00E8358C">
        <w:rPr>
          <w:lang w:eastAsia="ja-JP"/>
        </w:rPr>
        <w:t>tion de la rationalité</w:t>
      </w:r>
      <w:r>
        <w:rPr>
          <w:lang w:eastAsia="ja-JP"/>
        </w:rPr>
        <w:t> </w:t>
      </w:r>
      <w:r w:rsidRPr="00E8358C">
        <w:rPr>
          <w:rStyle w:val="Appelnotedebasdep"/>
          <w:lang w:eastAsia="ja-JP"/>
        </w:rPr>
        <w:footnoteReference w:id="173"/>
      </w:r>
      <w:r w:rsidRPr="00E8358C">
        <w:rPr>
          <w:lang w:eastAsia="ja-JP"/>
        </w:rPr>
        <w:t xml:space="preserve"> dans les mémoires plurielles de l’esclavage en Haïti. Nous ne cherchons pas à établir la vérité. Les conclusions des auteurs sont toujours de l’interprétation. Les documents disponibles dans les bibliothèques et les archives représentent la plupart du temps une école de pensée, une époque ou une idéologie. Les données r</w:t>
      </w:r>
      <w:r w:rsidRPr="00E8358C">
        <w:rPr>
          <w:lang w:eastAsia="ja-JP"/>
        </w:rPr>
        <w:t>e</w:t>
      </w:r>
      <w:r w:rsidRPr="00E8358C">
        <w:rPr>
          <w:lang w:eastAsia="ja-JP"/>
        </w:rPr>
        <w:t>cueillies auprès de nos interlocuteurs relèvent aussi de leur perception. Parla « réflexivité</w:t>
      </w:r>
      <w:r>
        <w:rPr>
          <w:lang w:eastAsia="ja-JP"/>
        </w:rPr>
        <w:t> </w:t>
      </w:r>
      <w:r>
        <w:rPr>
          <w:rStyle w:val="Appelnotedebasdep"/>
          <w:lang w:eastAsia="ja-JP"/>
        </w:rPr>
        <w:footnoteReference w:id="174"/>
      </w:r>
      <w:r w:rsidRPr="00E8358C">
        <w:rPr>
          <w:lang w:eastAsia="ja-JP"/>
        </w:rPr>
        <w:t xml:space="preserve"> », nous avons pu trouver les moyens possibles d’être conscient de ce que nous faisons. C’est la voie la plus plausible pour arriver à extraire le discours scientifique de tous les « pré-construits » de nos catégories sociales. </w:t>
      </w:r>
    </w:p>
    <w:p w:rsidR="004C50DC" w:rsidRPr="00E8358C" w:rsidRDefault="004C50DC" w:rsidP="004C50DC">
      <w:pPr>
        <w:spacing w:before="120" w:after="120"/>
        <w:jc w:val="both"/>
        <w:rPr>
          <w:rFonts w:eastAsia="Calibri"/>
          <w:lang w:eastAsia="en-CA"/>
        </w:rPr>
      </w:pPr>
      <w:r w:rsidRPr="00E8358C">
        <w:rPr>
          <w:lang w:eastAsia="ja-JP"/>
        </w:rPr>
        <w:t>L</w:t>
      </w:r>
      <w:r w:rsidRPr="00E8358C">
        <w:t>a</w:t>
      </w:r>
      <w:r w:rsidRPr="00E8358C">
        <w:rPr>
          <w:lang w:eastAsia="ja-JP"/>
        </w:rPr>
        <w:t xml:space="preserve"> «</w:t>
      </w:r>
      <w:r w:rsidRPr="00E8358C">
        <w:t> pratique scientifique qui omet de se mettre elle-même en question ne sait pas à proprement parler ce qu’elle fait »</w:t>
      </w:r>
      <w:r>
        <w:t> </w:t>
      </w:r>
      <w:r w:rsidRPr="00E8358C">
        <w:rPr>
          <w:rStyle w:val="Appelnotedebasdep"/>
        </w:rPr>
        <w:footnoteReference w:id="175"/>
      </w:r>
      <w:r w:rsidRPr="00E8358C">
        <w:t>. Le che</w:t>
      </w:r>
      <w:r w:rsidRPr="00E8358C">
        <w:t>r</w:t>
      </w:r>
      <w:r w:rsidRPr="00E8358C">
        <w:t>cheur doit être en mesure d’assumer ses positions et ses contradi</w:t>
      </w:r>
      <w:r w:rsidRPr="00E8358C">
        <w:t>c</w:t>
      </w:r>
      <w:r w:rsidRPr="00E8358C">
        <w:t>tions</w:t>
      </w:r>
      <w:r>
        <w:t> </w:t>
      </w:r>
      <w:r w:rsidRPr="00E8358C">
        <w:rPr>
          <w:rStyle w:val="Appelnotedebasdep"/>
        </w:rPr>
        <w:footnoteReference w:id="176"/>
      </w:r>
      <w:r w:rsidRPr="00E8358C">
        <w:t xml:space="preserve">. Selon </w:t>
      </w:r>
      <w:r w:rsidRPr="00E8358C">
        <w:rPr>
          <w:rFonts w:eastAsia="Calibri"/>
          <w:lang w:eastAsia="en-CA"/>
        </w:rPr>
        <w:t>Cornelius Castoriadis</w:t>
      </w:r>
      <w:r w:rsidRPr="00E8358C">
        <w:t>, il faut qu’il apprenne à relativ</w:t>
      </w:r>
      <w:r w:rsidRPr="00E8358C">
        <w:t>i</w:t>
      </w:r>
      <w:r w:rsidRPr="00E8358C">
        <w:t>ser ses positions et « </w:t>
      </w:r>
      <w:r w:rsidRPr="00E8358C">
        <w:rPr>
          <w:rFonts w:eastAsia="Calibri"/>
          <w:lang w:eastAsia="en-CA"/>
        </w:rPr>
        <w:t>à dépasser l’asservissement à [ses] propres fo</w:t>
      </w:r>
      <w:r w:rsidRPr="00E8358C">
        <w:rPr>
          <w:rFonts w:eastAsia="Calibri"/>
          <w:lang w:eastAsia="en-CA"/>
        </w:rPr>
        <w:t>r</w:t>
      </w:r>
      <w:r w:rsidRPr="00E8358C">
        <w:rPr>
          <w:rFonts w:eastAsia="Calibri"/>
          <w:lang w:eastAsia="en-CA"/>
        </w:rPr>
        <w:t>mes d’imaginaire et même de rationalité »</w:t>
      </w:r>
      <w:r>
        <w:rPr>
          <w:rFonts w:eastAsia="Calibri"/>
          <w:lang w:eastAsia="en-CA"/>
        </w:rPr>
        <w:t> </w:t>
      </w:r>
      <w:r>
        <w:rPr>
          <w:rStyle w:val="Appelnotedebasdep"/>
          <w:rFonts w:eastAsia="Calibri"/>
          <w:lang w:eastAsia="en-CA"/>
        </w:rPr>
        <w:footnoteReference w:id="177"/>
      </w:r>
      <w:r w:rsidRPr="00E8358C">
        <w:rPr>
          <w:rFonts w:eastAsia="Calibri"/>
          <w:lang w:eastAsia="en-CA"/>
        </w:rPr>
        <w:t xml:space="preserve">. </w:t>
      </w:r>
      <w:r w:rsidRPr="00E8358C">
        <w:t>Ces méthodes perme</w:t>
      </w:r>
      <w:r w:rsidRPr="00E8358C">
        <w:t>t</w:t>
      </w:r>
      <w:r w:rsidRPr="00E8358C">
        <w:t>tent de mettre en évidence l’exposé des discours sur les mémoires de l’esclavage en Haïti. Dans la mesure où la mémoire de l’esclavage passe par la valorisation de la libération, le ressassement ou les souv</w:t>
      </w:r>
      <w:r w:rsidRPr="00E8358C">
        <w:t>e</w:t>
      </w:r>
      <w:r w:rsidRPr="00E8358C">
        <w:t>nirs douloureux, il nous semble important de « casser » toute lecture  univoque.</w:t>
      </w:r>
    </w:p>
    <w:p w:rsidR="004C50DC" w:rsidRPr="00E8358C" w:rsidRDefault="004C50DC" w:rsidP="004C50DC">
      <w:pPr>
        <w:pStyle w:val="p"/>
      </w:pPr>
      <w:r w:rsidRPr="00E8358C">
        <w:br w:type="page"/>
      </w:r>
      <w:bookmarkStart w:id="82" w:name="_Toc423347277"/>
      <w:bookmarkStart w:id="83" w:name="_Toc442280455"/>
      <w:r w:rsidRPr="00E8358C">
        <w:t>[55]</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84" w:name="Memoire_chap_II"/>
      <w:r w:rsidRPr="00EF76C4">
        <w:rPr>
          <w:b/>
          <w:sz w:val="24"/>
        </w:rPr>
        <w:t>Mémoire de l’esclavage en Haïti.</w:t>
      </w:r>
    </w:p>
    <w:p w:rsidR="004C50DC" w:rsidRDefault="004C50DC" w:rsidP="004C50DC">
      <w:pPr>
        <w:pStyle w:val="Titreniveau1"/>
        <w:rPr>
          <w:szCs w:val="36"/>
        </w:rPr>
      </w:pPr>
      <w:r>
        <w:rPr>
          <w:szCs w:val="36"/>
        </w:rPr>
        <w:t>Chapitre II</w:t>
      </w:r>
    </w:p>
    <w:p w:rsidR="004C50DC" w:rsidRPr="001F21A7" w:rsidRDefault="004C50DC" w:rsidP="004C50DC">
      <w:pPr>
        <w:pStyle w:val="Titreniveau2"/>
      </w:pPr>
      <w:r>
        <w:t>Esclavages :</w:t>
      </w:r>
      <w:r>
        <w:br/>
      </w:r>
      <w:r w:rsidRPr="00DB24FF">
        <w:t>entre histoire et mémoire</w:t>
      </w:r>
    </w:p>
    <w:bookmarkEnd w:id="84"/>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bookmarkStart w:id="85" w:name="_Toc406489644"/>
      <w:bookmarkEnd w:id="82"/>
      <w:bookmarkEnd w:id="83"/>
      <w:r w:rsidRPr="00E8358C">
        <w:t>Dans ce chapitre qui traite de l’histoire et des mémoires de l’esclavage, nous exposons l’historique de l’évolution de l’« esclavage » en tant qu’état statutaire d’un individu pour passer au développement des sociétés esclavagistes. Cette présentation synthét</w:t>
      </w:r>
      <w:r w:rsidRPr="00E8358C">
        <w:t>i</w:t>
      </w:r>
      <w:r w:rsidRPr="00E8358C">
        <w:t>que correspond à notre démarche de travail qui vise à mieux co</w:t>
      </w:r>
      <w:r w:rsidRPr="00E8358C">
        <w:t>m</w:t>
      </w:r>
      <w:r w:rsidRPr="00E8358C">
        <w:t>prendre la traite transatlantique qui a accouché des sociétés esclav</w:t>
      </w:r>
      <w:r w:rsidRPr="00E8358C">
        <w:t>a</w:t>
      </w:r>
      <w:r w:rsidRPr="00E8358C">
        <w:t>gistes des Amériques, notamment celles des Antilles, dont Saint-Domingue (Haïti). Notre but n’est pas de faire un historique de la tra</w:t>
      </w:r>
      <w:r w:rsidRPr="00E8358C">
        <w:t>i</w:t>
      </w:r>
      <w:r w:rsidRPr="00E8358C">
        <w:t>te et de l’esclavage proprement dit, mais plutôt un historique de la mémoire de la traite et de l’esclavage. Le premier point de ce chapitre vise à présenter une synthèse du contexte historique avant de présenter les différentes expressions de la patrimonialisation de cette mémoire qui tiennent compte d’un passé douloureux pour certains et honteux pour d’autres, et à situer leur fondement dans les débats actuels. C’est dans cette veine que les pays occidentaux sont dans le registre du pa</w:t>
      </w:r>
      <w:r w:rsidRPr="00E8358C">
        <w:t>r</w:t>
      </w:r>
      <w:r w:rsidRPr="00E8358C">
        <w:t xml:space="preserve">don et de la confession destinés à libérer une mauvaise conscience et un mauvais souvenir de cette réalité historique, tandis que les sociétés issues du colonialisme exigent la reconnaissance et la réparation pour les torts causés par l’esclavage. </w:t>
      </w:r>
    </w:p>
    <w:p w:rsidR="004C50DC" w:rsidRPr="00F36308" w:rsidRDefault="004C50DC" w:rsidP="004C50DC">
      <w:pPr>
        <w:spacing w:before="120" w:after="120"/>
        <w:jc w:val="both"/>
      </w:pPr>
      <w:bookmarkStart w:id="86" w:name="_Toc442280457"/>
      <w:bookmarkStart w:id="87" w:name="_Toc423347279"/>
      <w:r>
        <w:br w:type="page"/>
      </w:r>
    </w:p>
    <w:p w:rsidR="004C50DC" w:rsidRPr="00E8358C" w:rsidRDefault="004C50DC" w:rsidP="004C50DC">
      <w:pPr>
        <w:pStyle w:val="planche"/>
      </w:pPr>
      <w:bookmarkStart w:id="88" w:name="Memoire_chap_II_1"/>
      <w:r>
        <w:t xml:space="preserve">2.1. </w:t>
      </w:r>
      <w:r w:rsidRPr="00E8358C">
        <w:t>L’esclavage : une histoire diversifiée</w:t>
      </w:r>
      <w:r>
        <w:br/>
      </w:r>
      <w:r w:rsidRPr="00E8358C">
        <w:t>selon les pays et les ép</w:t>
      </w:r>
      <w:r w:rsidRPr="00E8358C">
        <w:t>o</w:t>
      </w:r>
      <w:r w:rsidRPr="00E8358C">
        <w:t>ques</w:t>
      </w:r>
      <w:bookmarkEnd w:id="86"/>
      <w:bookmarkEnd w:id="87"/>
    </w:p>
    <w:bookmarkEnd w:id="88"/>
    <w:p w:rsidR="004C50DC" w:rsidRDefault="004C50DC" w:rsidP="004C50DC">
      <w:pPr>
        <w:spacing w:before="120" w:after="120"/>
        <w:jc w:val="both"/>
        <w:rPr>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lang w:eastAsia="fr-FR"/>
        </w:rPr>
      </w:pPr>
      <w:r w:rsidRPr="00E8358C">
        <w:rPr>
          <w:lang w:eastAsia="fr-FR"/>
        </w:rPr>
        <w:t>L'organisation des sociétés, l’indifférence et l’incompréhension humaines, la quête de la richesse et la recherche d’une main-d’œuvre intensive gratuite ont provoqué l’exploitation de certains et la richesse d’autres. Pour Marcel Dorigny et Bernard Gainot, l’esclavage est la « négation de l’être humain pour le réduire à l’état de force de travail brut »</w:t>
      </w:r>
      <w:r>
        <w:rPr>
          <w:lang w:eastAsia="fr-FR"/>
        </w:rPr>
        <w:t> </w:t>
      </w:r>
      <w:r>
        <w:rPr>
          <w:rStyle w:val="Appelnotedebasdep"/>
          <w:lang w:eastAsia="fr-FR"/>
        </w:rPr>
        <w:footnoteReference w:id="178"/>
      </w:r>
      <w:r w:rsidRPr="00E8358C">
        <w:rPr>
          <w:lang w:eastAsia="fr-FR"/>
        </w:rPr>
        <w:t>. C’est une négation de l’humanité d’une personne dans le but de la réduire à une simple force de travail. L’esclave est, en effet, un « individu-objet »</w:t>
      </w:r>
      <w:r>
        <w:rPr>
          <w:lang w:eastAsia="fr-FR"/>
        </w:rPr>
        <w:t> </w:t>
      </w:r>
      <w:r>
        <w:rPr>
          <w:rStyle w:val="Appelnotedebasdep"/>
          <w:lang w:eastAsia="fr-FR"/>
        </w:rPr>
        <w:footnoteReference w:id="179"/>
      </w:r>
      <w:r w:rsidRPr="00E8358C">
        <w:rPr>
          <w:lang w:eastAsia="fr-FR"/>
        </w:rPr>
        <w:t xml:space="preserve"> qui appartient à un maître qui use délibérément de sa force physique et de son travail. Bien qu’il soit marginalisé, l’esclave</w:t>
      </w:r>
      <w:r>
        <w:rPr>
          <w:lang w:eastAsia="fr-FR"/>
        </w:rPr>
        <w:t xml:space="preserve"> [56]</w:t>
      </w:r>
      <w:r w:rsidRPr="00E8358C">
        <w:rPr>
          <w:lang w:eastAsia="fr-FR"/>
        </w:rPr>
        <w:t xml:space="preserve"> constitue le carburant de fonctionnement à plein régime du moteur du système esclavagiste. </w:t>
      </w:r>
    </w:p>
    <w:p w:rsidR="004C50DC" w:rsidRPr="00E8358C" w:rsidRDefault="004C50DC" w:rsidP="004C50DC">
      <w:pPr>
        <w:spacing w:before="120" w:after="120"/>
        <w:jc w:val="both"/>
        <w:rPr>
          <w:lang w:eastAsia="fr-FR"/>
        </w:rPr>
      </w:pPr>
      <w:r w:rsidRPr="00E8358C">
        <w:rPr>
          <w:lang w:eastAsia="fr-FR"/>
        </w:rPr>
        <w:t>Les sources écrites disponibles sur les premières manifestations de l’esclavage en tant que système remontent à l’Antiquité. En témoigne le Code d’Hammourabi (1792-1750 av. J.-C.)</w:t>
      </w:r>
      <w:r>
        <w:rPr>
          <w:lang w:eastAsia="fr-FR"/>
        </w:rPr>
        <w:t> </w:t>
      </w:r>
      <w:r>
        <w:rPr>
          <w:rStyle w:val="Appelnotedebasdep"/>
          <w:lang w:eastAsia="fr-FR"/>
        </w:rPr>
        <w:footnoteReference w:id="180"/>
      </w:r>
      <w:r w:rsidRPr="00E8358C">
        <w:rPr>
          <w:lang w:eastAsia="fr-FR"/>
        </w:rPr>
        <w:t>. Il est certain que l’esclavage a traversé les siècles et que tous les continents ont connu leur page sombre de ce fléau qui continue à faire encore des victimes ; cependant, d’une civilisation à l’autre, d’une époque à l’autre, les ra</w:t>
      </w:r>
      <w:r w:rsidRPr="00E8358C">
        <w:rPr>
          <w:lang w:eastAsia="fr-FR"/>
        </w:rPr>
        <w:t>i</w:t>
      </w:r>
      <w:r w:rsidRPr="00E8358C">
        <w:rPr>
          <w:lang w:eastAsia="fr-FR"/>
        </w:rPr>
        <w:t>sons invoquées pour imposer l’esclavage sont différentes. Les statuts, la place, les devoirs de l’esclave et les lois qui réglementent le syst</w:t>
      </w:r>
      <w:r w:rsidRPr="00E8358C">
        <w:rPr>
          <w:lang w:eastAsia="fr-FR"/>
        </w:rPr>
        <w:t>è</w:t>
      </w:r>
      <w:r w:rsidRPr="00E8358C">
        <w:rPr>
          <w:lang w:eastAsia="fr-FR"/>
        </w:rPr>
        <w:t>me esclavagiste sont aussi fort différents. Aujourd’hui encore, des pratiques d’esclavage apparaissent sous diverses formes : exploitation des enfants au travail, domesticité, conditions de travail inhumaines des femmes, trafic sexuel…</w:t>
      </w:r>
    </w:p>
    <w:p w:rsidR="004C50DC" w:rsidRPr="00E8358C" w:rsidRDefault="004C50DC" w:rsidP="004C50DC">
      <w:pPr>
        <w:spacing w:before="120" w:after="120"/>
        <w:jc w:val="both"/>
        <w:rPr>
          <w:lang w:eastAsia="fr-FR"/>
        </w:rPr>
      </w:pPr>
      <w:r w:rsidRPr="00E8358C">
        <w:rPr>
          <w:lang w:eastAsia="fr-FR"/>
        </w:rPr>
        <w:t>Les civilisations antiques, de la Mésopotamie et l’Inde jusqu’à la Chine, en passant par l’Égypte et la Grèce, pratiquaient l’esclavage pour répondre à la demande croissante de main-d’œuvre pour les grands travaux de construction ou d’agriculture, ou encore pour des tâches domestiques</w:t>
      </w:r>
      <w:r>
        <w:rPr>
          <w:lang w:eastAsia="fr-FR"/>
        </w:rPr>
        <w:t> </w:t>
      </w:r>
      <w:r>
        <w:rPr>
          <w:rStyle w:val="Appelnotedebasdep"/>
          <w:lang w:eastAsia="fr-FR"/>
        </w:rPr>
        <w:footnoteReference w:id="181"/>
      </w:r>
      <w:r w:rsidRPr="00E8358C">
        <w:rPr>
          <w:lang w:eastAsia="fr-FR"/>
        </w:rPr>
        <w:t>. En Égypte, par exemple, les grands chantiers de construction comme les palais et les monuments impériaux rep</w:t>
      </w:r>
      <w:r w:rsidRPr="00E8358C">
        <w:rPr>
          <w:lang w:eastAsia="fr-FR"/>
        </w:rPr>
        <w:t>o</w:t>
      </w:r>
      <w:r w:rsidRPr="00E8358C">
        <w:rPr>
          <w:lang w:eastAsia="fr-FR"/>
        </w:rPr>
        <w:t>saient sur la main-d’œuvre servile. Dans la Grèce antique, on déno</w:t>
      </w:r>
      <w:r w:rsidRPr="00E8358C">
        <w:rPr>
          <w:lang w:eastAsia="fr-FR"/>
        </w:rPr>
        <w:t>m</w:t>
      </w:r>
      <w:r w:rsidRPr="00E8358C">
        <w:rPr>
          <w:lang w:eastAsia="fr-FR"/>
        </w:rPr>
        <w:t>brait des centaines de milliers d’esclaves. À Athènes seulement, selon l’historien Raymond Descat</w:t>
      </w:r>
      <w:r>
        <w:rPr>
          <w:lang w:eastAsia="fr-FR"/>
        </w:rPr>
        <w:t> </w:t>
      </w:r>
      <w:r>
        <w:rPr>
          <w:rStyle w:val="Appelnotedebasdep"/>
          <w:lang w:eastAsia="fr-FR"/>
        </w:rPr>
        <w:footnoteReference w:id="182"/>
      </w:r>
      <w:r w:rsidRPr="00E8358C">
        <w:rPr>
          <w:lang w:eastAsia="fr-FR"/>
        </w:rPr>
        <w:t>, au IV</w:t>
      </w:r>
      <w:r w:rsidRPr="00E8358C">
        <w:rPr>
          <w:vertAlign w:val="superscript"/>
          <w:lang w:eastAsia="fr-FR"/>
        </w:rPr>
        <w:t>e</w:t>
      </w:r>
      <w:r w:rsidRPr="00E8358C">
        <w:rPr>
          <w:lang w:eastAsia="fr-FR"/>
        </w:rPr>
        <w:t xml:space="preserve"> siècle avant notre ère, on po</w:t>
      </w:r>
      <w:r w:rsidRPr="00E8358C">
        <w:rPr>
          <w:lang w:eastAsia="fr-FR"/>
        </w:rPr>
        <w:t>u</w:t>
      </w:r>
      <w:r w:rsidRPr="00E8358C">
        <w:rPr>
          <w:lang w:eastAsia="fr-FR"/>
        </w:rPr>
        <w:t xml:space="preserve">vait </w:t>
      </w:r>
      <w:r>
        <w:rPr>
          <w:lang w:eastAsia="fr-FR"/>
        </w:rPr>
        <w:t xml:space="preserve">[57] </w:t>
      </w:r>
      <w:r w:rsidRPr="00E8358C">
        <w:rPr>
          <w:lang w:eastAsia="fr-FR"/>
        </w:rPr>
        <w:t xml:space="preserve">dénombrer entre 200 000 et </w:t>
      </w:r>
      <w:r w:rsidRPr="00E8358C">
        <w:rPr>
          <w:bCs/>
          <w:lang w:eastAsia="fr-FR"/>
        </w:rPr>
        <w:t>250 000</w:t>
      </w:r>
      <w:r w:rsidRPr="00E8358C">
        <w:rPr>
          <w:lang w:eastAsia="fr-FR"/>
        </w:rPr>
        <w:t xml:space="preserve"> esclaves, soit un hab</w:t>
      </w:r>
      <w:r w:rsidRPr="00E8358C">
        <w:rPr>
          <w:lang w:eastAsia="fr-FR"/>
        </w:rPr>
        <w:t>i</w:t>
      </w:r>
      <w:r w:rsidRPr="00E8358C">
        <w:rPr>
          <w:lang w:eastAsia="fr-FR"/>
        </w:rPr>
        <w:t>tant sur deux. Ces chiffres viennent confirmer l’idée selon laquelle l’</w:t>
      </w:r>
      <w:r w:rsidRPr="00E8358C">
        <w:rPr>
          <w:bCs/>
          <w:lang w:eastAsia="fr-FR"/>
        </w:rPr>
        <w:t>économie athénienne (l’exploitation des mines, l’artisanat, etc.) r</w:t>
      </w:r>
      <w:r w:rsidRPr="00E8358C">
        <w:rPr>
          <w:bCs/>
          <w:lang w:eastAsia="fr-FR"/>
        </w:rPr>
        <w:t>e</w:t>
      </w:r>
      <w:r w:rsidRPr="00E8358C">
        <w:rPr>
          <w:bCs/>
          <w:lang w:eastAsia="fr-FR"/>
        </w:rPr>
        <w:t>posait surtout sur l’esclavage</w:t>
      </w:r>
      <w:r w:rsidRPr="00E8358C">
        <w:rPr>
          <w:lang w:eastAsia="fr-FR"/>
        </w:rPr>
        <w:t xml:space="preserve">. </w:t>
      </w:r>
    </w:p>
    <w:p w:rsidR="004C50DC" w:rsidRPr="00E8358C" w:rsidRDefault="004C50DC" w:rsidP="004C50DC">
      <w:pPr>
        <w:spacing w:before="120" w:after="120"/>
        <w:jc w:val="both"/>
        <w:rPr>
          <w:lang w:eastAsia="fr-FR"/>
        </w:rPr>
      </w:pPr>
      <w:r w:rsidRPr="00E8358C">
        <w:rPr>
          <w:lang w:eastAsia="fr-FR"/>
        </w:rPr>
        <w:t>Les esclaves dans l’Empire romain, en Grèce et en Égypte étaient généralement des prisonniers de guerre, des personnes insolvables et des étrangers « barbares » (qui ne savaient pas parler la langue gre</w:t>
      </w:r>
      <w:r w:rsidRPr="00E8358C">
        <w:rPr>
          <w:lang w:eastAsia="fr-FR"/>
        </w:rPr>
        <w:t>c</w:t>
      </w:r>
      <w:r w:rsidRPr="00E8358C">
        <w:rPr>
          <w:lang w:eastAsia="fr-FR"/>
        </w:rPr>
        <w:t>que)</w:t>
      </w:r>
      <w:r>
        <w:rPr>
          <w:lang w:eastAsia="fr-FR"/>
        </w:rPr>
        <w:t> </w:t>
      </w:r>
      <w:r>
        <w:rPr>
          <w:rStyle w:val="Appelnotedebasdep"/>
          <w:lang w:eastAsia="fr-FR"/>
        </w:rPr>
        <w:footnoteReference w:id="183"/>
      </w:r>
      <w:r w:rsidRPr="00E8358C">
        <w:rPr>
          <w:lang w:eastAsia="fr-FR"/>
        </w:rPr>
        <w:t>. Dans l’Empire romain, 40% de la population était constituée d’esclaves, qui travaillaient la terre, effectuaient des tâches domest</w:t>
      </w:r>
      <w:r w:rsidRPr="00E8358C">
        <w:rPr>
          <w:lang w:eastAsia="fr-FR"/>
        </w:rPr>
        <w:t>i</w:t>
      </w:r>
      <w:r w:rsidRPr="00E8358C">
        <w:rPr>
          <w:lang w:eastAsia="fr-FR"/>
        </w:rPr>
        <w:t xml:space="preserve">ques et vivaient dans des conditions infrahumaines. </w:t>
      </w:r>
      <w:r w:rsidRPr="00E8358C">
        <w:t>« L’organisation du travail des esclaves constitua le fondement [</w:t>
      </w:r>
      <w:r w:rsidRPr="00E8358C">
        <w:rPr>
          <w:i/>
        </w:rPr>
        <w:t>Unterbau</w:t>
      </w:r>
      <w:r w:rsidRPr="00E8358C">
        <w:t>] indispens</w:t>
      </w:r>
      <w:r w:rsidRPr="00E8358C">
        <w:t>a</w:t>
      </w:r>
      <w:r w:rsidRPr="00E8358C">
        <w:t>ble de la société romaine »</w:t>
      </w:r>
      <w:r>
        <w:t> </w:t>
      </w:r>
      <w:r>
        <w:rPr>
          <w:rStyle w:val="Appelnotedebasdep"/>
        </w:rPr>
        <w:footnoteReference w:id="184"/>
      </w:r>
      <w:r w:rsidRPr="00E8358C">
        <w:t xml:space="preserve">. </w:t>
      </w:r>
      <w:r w:rsidRPr="00E8358C">
        <w:rPr>
          <w:lang w:eastAsia="fr-FR"/>
        </w:rPr>
        <w:t xml:space="preserve">Les maîtres avaient droit de vie ou de mort sur leurs esclaves. Entre 73 et 71 avant notre ère, la révolte des esclaves menée par Spartacus ne parvint pas à freiner la machine broyeuse de l’esclavage. Cette révolte fut réprimée dans le sang. </w:t>
      </w:r>
    </w:p>
    <w:p w:rsidR="004C50DC" w:rsidRPr="00E8358C" w:rsidRDefault="004C50DC" w:rsidP="004C50DC">
      <w:pPr>
        <w:spacing w:before="120" w:after="120"/>
        <w:jc w:val="both"/>
        <w:rPr>
          <w:lang w:eastAsia="fr-FR"/>
        </w:rPr>
      </w:pPr>
      <w:r w:rsidRPr="00E8358C">
        <w:rPr>
          <w:lang w:eastAsia="fr-FR"/>
        </w:rPr>
        <w:t xml:space="preserve">L’esclavage comme système d’exploitation de l’homme par l’homme avait trouvé sa légitimation sous la plume de penseurs et philosophes de l’Antiquité tels qu’Aristote qui, dans </w:t>
      </w:r>
      <w:r w:rsidRPr="00E8358C">
        <w:rPr>
          <w:i/>
          <w:iCs/>
          <w:lang w:eastAsia="fr-FR"/>
        </w:rPr>
        <w:t>La Politique,</w:t>
      </w:r>
      <w:r w:rsidRPr="00E8358C">
        <w:rPr>
          <w:lang w:eastAsia="fr-FR"/>
        </w:rPr>
        <w:t xml:space="preserve"> a</w:t>
      </w:r>
      <w:r w:rsidRPr="00E8358C">
        <w:rPr>
          <w:lang w:eastAsia="fr-FR"/>
        </w:rPr>
        <w:t>f</w:t>
      </w:r>
      <w:r w:rsidRPr="00E8358C">
        <w:rPr>
          <w:lang w:eastAsia="fr-FR"/>
        </w:rPr>
        <w:t>firmait :</w:t>
      </w:r>
    </w:p>
    <w:p w:rsidR="004C50DC" w:rsidRDefault="004C50DC" w:rsidP="004C50DC">
      <w:pPr>
        <w:pStyle w:val="Citation0"/>
        <w:rPr>
          <w:lang w:eastAsia="fr-FR"/>
        </w:rPr>
      </w:pPr>
    </w:p>
    <w:p w:rsidR="004C50DC" w:rsidRDefault="004C50DC" w:rsidP="004C50DC">
      <w:pPr>
        <w:pStyle w:val="Citation0"/>
        <w:rPr>
          <w:lang w:eastAsia="fr-FR"/>
        </w:rPr>
      </w:pPr>
      <w:r w:rsidRPr="00E8358C">
        <w:rPr>
          <w:lang w:eastAsia="fr-FR"/>
        </w:rPr>
        <w:t>Il est évident qu’il y a par nature des hommes qui sont libres et d’autres qui sont des esclaves, et que pour ceux-ci, la condition servile est à la fois avantageuse et juste […]. L’utilité des animaux privés et celle des esclaves sont à peu près les mêmes ; les uns comme les autres nous aident par le s</w:t>
      </w:r>
      <w:r w:rsidRPr="00E8358C">
        <w:rPr>
          <w:lang w:eastAsia="fr-FR"/>
        </w:rPr>
        <w:t>e</w:t>
      </w:r>
      <w:r w:rsidRPr="00E8358C">
        <w:rPr>
          <w:lang w:eastAsia="fr-FR"/>
        </w:rPr>
        <w:t>cours de leur force corporelle à satisfaire les besoins de l’existence […]</w:t>
      </w:r>
      <w:r>
        <w:rPr>
          <w:lang w:eastAsia="fr-FR"/>
        </w:rPr>
        <w:t> </w:t>
      </w:r>
      <w:r>
        <w:rPr>
          <w:rStyle w:val="Appelnotedebasdep"/>
          <w:lang w:eastAsia="fr-FR"/>
        </w:rPr>
        <w:footnoteReference w:id="185"/>
      </w:r>
    </w:p>
    <w:p w:rsidR="004C50DC" w:rsidRPr="00E8358C" w:rsidRDefault="004C50DC" w:rsidP="004C50DC">
      <w:pPr>
        <w:pStyle w:val="Citation0"/>
        <w:rPr>
          <w:lang w:eastAsia="fr-FR"/>
        </w:rPr>
      </w:pPr>
    </w:p>
    <w:p w:rsidR="004C50DC" w:rsidRDefault="004C50DC" w:rsidP="004C50DC">
      <w:pPr>
        <w:spacing w:before="120" w:after="120"/>
        <w:jc w:val="both"/>
        <w:rPr>
          <w:lang w:eastAsia="fr-FR"/>
        </w:rPr>
      </w:pPr>
      <w:r w:rsidRPr="00E8358C">
        <w:rPr>
          <w:lang w:eastAsia="fr-FR"/>
        </w:rPr>
        <w:t>Selon, lui, c’est la nature qui</w:t>
      </w:r>
    </w:p>
    <w:p w:rsidR="004C50DC" w:rsidRDefault="004C50DC" w:rsidP="004C50DC">
      <w:pPr>
        <w:spacing w:before="120" w:after="120"/>
        <w:jc w:val="both"/>
        <w:rPr>
          <w:lang w:eastAsia="fr-FR"/>
        </w:rPr>
      </w:pPr>
      <w:r>
        <w:rPr>
          <w:lang w:eastAsia="fr-FR"/>
        </w:rPr>
        <w:t>[58]</w:t>
      </w:r>
    </w:p>
    <w:p w:rsidR="004C50DC" w:rsidRPr="00E8358C" w:rsidRDefault="004C50DC" w:rsidP="004C50DC">
      <w:pPr>
        <w:spacing w:before="120" w:after="120"/>
        <w:jc w:val="both"/>
        <w:rPr>
          <w:lang w:eastAsia="fr-FR"/>
        </w:rPr>
      </w:pPr>
    </w:p>
    <w:p w:rsidR="004C50DC" w:rsidRPr="00E8358C" w:rsidRDefault="004C50DC" w:rsidP="004C50DC">
      <w:pPr>
        <w:pStyle w:val="Citation0"/>
        <w:rPr>
          <w:lang w:eastAsia="fr-FR"/>
        </w:rPr>
      </w:pPr>
      <w:r w:rsidRPr="00E8358C">
        <w:rPr>
          <w:lang w:eastAsia="fr-FR"/>
        </w:rPr>
        <w:t>destine à cet usage l’être capable de percevoir la raison sans pour a</w:t>
      </w:r>
      <w:r w:rsidRPr="00E8358C">
        <w:rPr>
          <w:lang w:eastAsia="fr-FR"/>
        </w:rPr>
        <w:t>u</w:t>
      </w:r>
      <w:r w:rsidRPr="00E8358C">
        <w:rPr>
          <w:lang w:eastAsia="fr-FR"/>
        </w:rPr>
        <w:t>tant la posséder en propre et doté d’une vigueur corporelle singuli</w:t>
      </w:r>
      <w:r w:rsidRPr="00E8358C">
        <w:rPr>
          <w:lang w:eastAsia="fr-FR"/>
        </w:rPr>
        <w:t>è</w:t>
      </w:r>
      <w:r w:rsidRPr="00E8358C">
        <w:rPr>
          <w:lang w:eastAsia="fr-FR"/>
        </w:rPr>
        <w:t>re. Le maître, quant à lui, est par nature doté d’intelligence et d’aptitude à la vie civique […]</w:t>
      </w:r>
      <w:r>
        <w:rPr>
          <w:lang w:eastAsia="fr-FR"/>
        </w:rPr>
        <w:t> </w:t>
      </w:r>
      <w:r w:rsidRPr="00E8358C">
        <w:rPr>
          <w:rStyle w:val="Appelnotedebasdep"/>
          <w:szCs w:val="22"/>
          <w:lang w:eastAsia="fr-FR"/>
        </w:rPr>
        <w:footnoteReference w:id="186"/>
      </w:r>
    </w:p>
    <w:p w:rsidR="004C50DC" w:rsidRDefault="004C50DC" w:rsidP="004C50DC">
      <w:pPr>
        <w:spacing w:before="120" w:after="120"/>
        <w:jc w:val="both"/>
        <w:rPr>
          <w:lang w:eastAsia="fr-FR"/>
        </w:rPr>
      </w:pPr>
    </w:p>
    <w:p w:rsidR="004C50DC" w:rsidRPr="00E8358C" w:rsidRDefault="004C50DC" w:rsidP="004C50DC">
      <w:pPr>
        <w:spacing w:before="120" w:after="120"/>
        <w:jc w:val="both"/>
        <w:rPr>
          <w:lang w:eastAsia="fr-FR"/>
        </w:rPr>
      </w:pPr>
      <w:r w:rsidRPr="00E8358C">
        <w:rPr>
          <w:lang w:eastAsia="fr-FR"/>
        </w:rPr>
        <w:t>On peut noter que, dans les réflexions d’Aristote, l’esclavage est « </w:t>
      </w:r>
      <w:r w:rsidRPr="00E8358C">
        <w:rPr>
          <w:iCs/>
          <w:lang w:eastAsia="fr-FR"/>
        </w:rPr>
        <w:t xml:space="preserve">naturel, avantageux et juste » et que </w:t>
      </w:r>
      <w:r w:rsidRPr="00E8358C">
        <w:rPr>
          <w:lang w:eastAsia="fr-FR"/>
        </w:rPr>
        <w:t>l’esclave est un « outil an</w:t>
      </w:r>
      <w:r w:rsidRPr="00E8358C">
        <w:rPr>
          <w:lang w:eastAsia="fr-FR"/>
        </w:rPr>
        <w:t>i</w:t>
      </w:r>
      <w:r w:rsidRPr="00E8358C">
        <w:rPr>
          <w:lang w:eastAsia="fr-FR"/>
        </w:rPr>
        <w:t>mé »</w:t>
      </w:r>
      <w:r>
        <w:rPr>
          <w:lang w:eastAsia="fr-FR"/>
        </w:rPr>
        <w:t> </w:t>
      </w:r>
      <w:r w:rsidRPr="00E8358C">
        <w:rPr>
          <w:rStyle w:val="Appelnotedebasdep"/>
          <w:lang w:eastAsia="fr-FR"/>
        </w:rPr>
        <w:footnoteReference w:id="187"/>
      </w:r>
      <w:r w:rsidRPr="00E8358C">
        <w:rPr>
          <w:lang w:eastAsia="fr-FR"/>
        </w:rPr>
        <w:t>. La diffusion du christianisme ne modifie pas réellement cette conception et, dans l’Antiquité tardive, saint Augustin (Augustin d’Hippone, 354-430) justifie clairement l’esclavage au IV</w:t>
      </w:r>
      <w:r w:rsidRPr="00E8358C">
        <w:rPr>
          <w:vertAlign w:val="superscript"/>
          <w:lang w:eastAsia="fr-FR"/>
        </w:rPr>
        <w:t xml:space="preserve">e </w:t>
      </w:r>
      <w:r w:rsidRPr="00E8358C">
        <w:rPr>
          <w:lang w:eastAsia="fr-FR"/>
        </w:rPr>
        <w:t xml:space="preserve">siècle en affirmant qu’il est acceptable de devenir esclave pour ses péchés : </w:t>
      </w:r>
    </w:p>
    <w:p w:rsidR="004C50DC" w:rsidRDefault="004C50DC" w:rsidP="004C50DC">
      <w:pPr>
        <w:pStyle w:val="Citation0"/>
        <w:rPr>
          <w:lang w:eastAsia="fr-FR"/>
        </w:rPr>
      </w:pPr>
    </w:p>
    <w:p w:rsidR="004C50DC" w:rsidRDefault="004C50DC" w:rsidP="004C50DC">
      <w:pPr>
        <w:pStyle w:val="Citation0"/>
        <w:rPr>
          <w:lang w:eastAsia="fr-FR"/>
        </w:rPr>
      </w:pPr>
      <w:r w:rsidRPr="00E8358C">
        <w:rPr>
          <w:lang w:eastAsia="fr-FR"/>
        </w:rPr>
        <w:t>Car c’est avec justice que le joug de la servitude a été imposé au pécheur. Le péché seul a donc mérité ce nom, et non pas la nature. Si l’on en juge par l’étymologie latine, les esclaves étaient des priso</w:t>
      </w:r>
      <w:r w:rsidRPr="00E8358C">
        <w:rPr>
          <w:lang w:eastAsia="fr-FR"/>
        </w:rPr>
        <w:t>n</w:t>
      </w:r>
      <w:r w:rsidRPr="00E8358C">
        <w:rPr>
          <w:lang w:eastAsia="fr-FR"/>
        </w:rPr>
        <w:t xml:space="preserve">niers de guerre à qui les vainqueurs </w:t>
      </w:r>
      <w:r w:rsidRPr="00E8358C">
        <w:rPr>
          <w:iCs/>
          <w:lang w:eastAsia="fr-FR"/>
        </w:rPr>
        <w:t>conservaient</w:t>
      </w:r>
      <w:r>
        <w:rPr>
          <w:iCs/>
          <w:lang w:eastAsia="fr-FR"/>
        </w:rPr>
        <w:t> </w:t>
      </w:r>
      <w:r>
        <w:rPr>
          <w:rStyle w:val="Appelnotedebasdep"/>
          <w:iCs/>
          <w:lang w:eastAsia="fr-FR"/>
        </w:rPr>
        <w:footnoteReference w:id="188"/>
      </w:r>
      <w:r w:rsidRPr="00E8358C">
        <w:rPr>
          <w:lang w:eastAsia="fr-FR"/>
        </w:rPr>
        <w:t xml:space="preserve"> la vie, alors qu’ils pouvaient les tuer par le droit de guerre : or, cela même fait voir dans l’esclavage une peine du p</w:t>
      </w:r>
      <w:r w:rsidRPr="00E8358C">
        <w:rPr>
          <w:lang w:eastAsia="fr-FR"/>
        </w:rPr>
        <w:t>é</w:t>
      </w:r>
      <w:r w:rsidRPr="00E8358C">
        <w:rPr>
          <w:lang w:eastAsia="fr-FR"/>
        </w:rPr>
        <w:t>ché</w:t>
      </w:r>
      <w:r>
        <w:rPr>
          <w:lang w:eastAsia="fr-FR"/>
        </w:rPr>
        <w:t> </w:t>
      </w:r>
      <w:r w:rsidRPr="00E8358C">
        <w:rPr>
          <w:rStyle w:val="Appelnotedebasdep"/>
          <w:szCs w:val="22"/>
          <w:lang w:eastAsia="fr-FR"/>
        </w:rPr>
        <w:footnoteReference w:id="189"/>
      </w:r>
      <w:r w:rsidRPr="00E8358C">
        <w:rPr>
          <w:lang w:eastAsia="fr-FR"/>
        </w:rPr>
        <w:t>. […]Car il est écrit : « L’homme est adjugé comme esclave à celui qui l’a vaincu. Et certes, il vaut mieux être l’esclave d’un homme que d’une passion […]</w:t>
      </w:r>
      <w:r>
        <w:rPr>
          <w:lang w:eastAsia="fr-FR"/>
        </w:rPr>
        <w:t> </w:t>
      </w:r>
      <w:r w:rsidRPr="00E8358C">
        <w:rPr>
          <w:rStyle w:val="Appelnotedebasdep"/>
          <w:szCs w:val="22"/>
          <w:lang w:eastAsia="fr-FR"/>
        </w:rPr>
        <w:footnoteReference w:id="190"/>
      </w:r>
      <w:r w:rsidRPr="00E8358C">
        <w:rPr>
          <w:lang w:eastAsia="fr-FR"/>
        </w:rPr>
        <w:t>.</w:t>
      </w:r>
    </w:p>
    <w:p w:rsidR="004C50DC" w:rsidRPr="00E8358C" w:rsidRDefault="004C50DC" w:rsidP="004C50DC">
      <w:pPr>
        <w:pStyle w:val="Citation0"/>
        <w:rPr>
          <w:lang w:eastAsia="fr-FR"/>
        </w:rPr>
      </w:pPr>
    </w:p>
    <w:p w:rsidR="004C50DC" w:rsidRPr="00E8358C" w:rsidRDefault="004C50DC" w:rsidP="004C50DC">
      <w:pPr>
        <w:spacing w:before="120" w:after="120"/>
        <w:jc w:val="both"/>
        <w:rPr>
          <w:lang w:eastAsia="fr-FR"/>
        </w:rPr>
      </w:pPr>
      <w:r w:rsidRPr="00E8358C">
        <w:rPr>
          <w:lang w:eastAsia="fr-FR"/>
        </w:rPr>
        <w:t>Avec le temps, l’Église catholique s’est opposée à l’esclavage pour les chrétiens et l’a condamné, exigeant une amélioration du traitement de l’esclave. En Occident, l’esclavage se transforme lentement en se</w:t>
      </w:r>
      <w:r w:rsidRPr="00E8358C">
        <w:rPr>
          <w:lang w:eastAsia="fr-FR"/>
        </w:rPr>
        <w:t>r</w:t>
      </w:r>
      <w:r w:rsidRPr="00E8358C">
        <w:rPr>
          <w:lang w:eastAsia="fr-FR"/>
        </w:rPr>
        <w:t>vage, qui perdure durant tout le Moyen Âge, ce servage étant essentiel à son fonctionnement. Toutefois, l’Église garde le silence sur le sort des païens. Toute la ville de Constantinople était reconnue pour être un grand marché d’esclaves</w:t>
      </w:r>
      <w:r>
        <w:rPr>
          <w:lang w:eastAsia="fr-FR"/>
        </w:rPr>
        <w:t> </w:t>
      </w:r>
      <w:r>
        <w:rPr>
          <w:rStyle w:val="Appelnotedebasdep"/>
          <w:lang w:eastAsia="fr-FR"/>
        </w:rPr>
        <w:footnoteReference w:id="191"/>
      </w:r>
      <w:r>
        <w:rPr>
          <w:lang w:eastAsia="fr-FR"/>
        </w:rPr>
        <w:t>.</w:t>
      </w:r>
    </w:p>
    <w:p w:rsidR="004C50DC" w:rsidRDefault="004C50DC" w:rsidP="004C50DC">
      <w:pPr>
        <w:spacing w:before="120" w:after="120"/>
        <w:jc w:val="both"/>
        <w:rPr>
          <w:lang w:eastAsia="fr-FR"/>
        </w:rPr>
      </w:pPr>
      <w:r w:rsidRPr="00E8358C">
        <w:rPr>
          <w:lang w:eastAsia="fr-FR"/>
        </w:rPr>
        <w:t>Des explications bibliques ont été utilisées jusqu’au XIX</w:t>
      </w:r>
      <w:r w:rsidRPr="00E8358C">
        <w:rPr>
          <w:vertAlign w:val="superscript"/>
          <w:lang w:eastAsia="fr-FR"/>
        </w:rPr>
        <w:t>e</w:t>
      </w:r>
      <w:r w:rsidRPr="00E8358C">
        <w:rPr>
          <w:lang w:eastAsia="fr-FR"/>
        </w:rPr>
        <w:t xml:space="preserve"> siècle par des  théologiens pour entretenir l’esclavage dans les colonies et dans le sud des États-Unis : </w:t>
      </w:r>
    </w:p>
    <w:p w:rsidR="004C50DC" w:rsidRDefault="004C50DC" w:rsidP="004C50DC">
      <w:pPr>
        <w:spacing w:before="120" w:after="120"/>
        <w:jc w:val="both"/>
        <w:rPr>
          <w:lang w:eastAsia="fr-FR"/>
        </w:rPr>
      </w:pPr>
      <w:r>
        <w:rPr>
          <w:lang w:eastAsia="fr-FR"/>
        </w:rPr>
        <w:t>[59]</w:t>
      </w:r>
    </w:p>
    <w:p w:rsidR="004C50DC" w:rsidRDefault="004C50DC" w:rsidP="004C50DC">
      <w:pPr>
        <w:pStyle w:val="Citation0"/>
        <w:rPr>
          <w:lang w:eastAsia="fr-FR"/>
        </w:rPr>
      </w:pPr>
    </w:p>
    <w:p w:rsidR="004C50DC" w:rsidRDefault="004C50DC" w:rsidP="004C50DC">
      <w:pPr>
        <w:pStyle w:val="Citation0"/>
        <w:rPr>
          <w:lang w:eastAsia="fr-FR"/>
        </w:rPr>
      </w:pPr>
      <w:r w:rsidRPr="00E8358C">
        <w:rPr>
          <w:lang w:eastAsia="fr-FR"/>
        </w:rPr>
        <w:t>En ce qui concerne l’allégation que l’esclavage est contraire au christi</w:t>
      </w:r>
      <w:r w:rsidRPr="00E8358C">
        <w:rPr>
          <w:lang w:eastAsia="fr-FR"/>
        </w:rPr>
        <w:t>a</w:t>
      </w:r>
      <w:r w:rsidRPr="00E8358C">
        <w:rPr>
          <w:lang w:eastAsia="fr-FR"/>
        </w:rPr>
        <w:t>nisme […] nous contestons de la façon la plus absolue qu’il se trouve quoi que ce soit dans l’Ancien Testament ou dans le Nouveau Testament qui viendrait montrer que l’esclavage doit être aboli ou que le maître commet un délit en possédant des esclaves. Les enfants d’Israël possédaient eux-mêmes des esclaves et ils n’étaient pas condamnés pour cela […]</w:t>
      </w:r>
      <w:r>
        <w:rPr>
          <w:lang w:eastAsia="fr-FR"/>
        </w:rPr>
        <w:t> </w:t>
      </w:r>
      <w:r w:rsidRPr="00E8358C">
        <w:rPr>
          <w:rStyle w:val="Appelnotedebasdep"/>
          <w:szCs w:val="22"/>
          <w:lang w:eastAsia="fr-FR"/>
        </w:rPr>
        <w:footnoteReference w:id="192"/>
      </w:r>
      <w:r w:rsidRPr="00E8358C">
        <w:rPr>
          <w:lang w:eastAsia="fr-FR"/>
        </w:rPr>
        <w:t>.</w:t>
      </w:r>
    </w:p>
    <w:p w:rsidR="004C50DC" w:rsidRPr="00E8358C" w:rsidRDefault="004C50DC" w:rsidP="004C50DC">
      <w:pPr>
        <w:pStyle w:val="Citation0"/>
        <w:rPr>
          <w:lang w:eastAsia="fr-FR"/>
        </w:rPr>
      </w:pPr>
    </w:p>
    <w:p w:rsidR="004C50DC" w:rsidRPr="00E8358C" w:rsidRDefault="004C50DC" w:rsidP="004C50DC">
      <w:pPr>
        <w:spacing w:before="120" w:after="120"/>
        <w:jc w:val="both"/>
        <w:rPr>
          <w:lang w:eastAsia="fr-FR"/>
        </w:rPr>
      </w:pPr>
      <w:r w:rsidRPr="00E8358C">
        <w:rPr>
          <w:lang w:eastAsia="fr-FR"/>
        </w:rPr>
        <w:t>Du christianisme à l’islam, l’esclavage persiste. Les « infidèles » et les « mauvais musulmans » sont réduits en esclavage par les califes et les sultans bien que le Coran l’interdise. Le trafic des esclaves était très répandu et rémunérateur au IX</w:t>
      </w:r>
      <w:r w:rsidRPr="00E8358C">
        <w:rPr>
          <w:vertAlign w:val="superscript"/>
          <w:lang w:eastAsia="fr-FR"/>
        </w:rPr>
        <w:t>e</w:t>
      </w:r>
      <w:r w:rsidRPr="00E8358C">
        <w:rPr>
          <w:lang w:eastAsia="fr-FR"/>
        </w:rPr>
        <w:t xml:space="preserve"> siècle dans le monde arabo-musulman. À Al-Andalus</w:t>
      </w:r>
      <w:r>
        <w:rPr>
          <w:lang w:eastAsia="fr-FR"/>
        </w:rPr>
        <w:t> </w:t>
      </w:r>
      <w:r w:rsidRPr="00E8358C">
        <w:rPr>
          <w:rStyle w:val="Appelnotedebasdep"/>
          <w:lang w:eastAsia="fr-FR"/>
        </w:rPr>
        <w:footnoteReference w:id="193"/>
      </w:r>
      <w:r w:rsidRPr="00E8358C">
        <w:rPr>
          <w:lang w:eastAsia="fr-FR"/>
        </w:rPr>
        <w:t>, par exemple, on importait des esclaves d’Europe orientale</w:t>
      </w:r>
      <w:r>
        <w:rPr>
          <w:lang w:eastAsia="fr-FR"/>
        </w:rPr>
        <w:t> </w:t>
      </w:r>
      <w:r>
        <w:rPr>
          <w:rStyle w:val="Appelnotedebasdep"/>
          <w:lang w:eastAsia="fr-FR"/>
        </w:rPr>
        <w:footnoteReference w:id="194"/>
      </w:r>
      <w:r w:rsidRPr="00E8358C">
        <w:rPr>
          <w:lang w:eastAsia="fr-FR"/>
        </w:rPr>
        <w:t>. Aujourd’hui, dans certains pays musulmans tels que la Mauritanie, on autorise encore l’esclavage des Noirs chrétiens et des animistes.</w:t>
      </w:r>
    </w:p>
    <w:p w:rsidR="004C50DC" w:rsidRPr="00E8358C" w:rsidRDefault="004C50DC" w:rsidP="004C50DC">
      <w:pPr>
        <w:spacing w:before="120" w:after="120"/>
        <w:jc w:val="both"/>
        <w:rPr>
          <w:lang w:eastAsia="fr-FR"/>
        </w:rPr>
      </w:pPr>
      <w:r w:rsidRPr="00E8358C">
        <w:rPr>
          <w:lang w:eastAsia="fr-FR"/>
        </w:rPr>
        <w:t>Les sources consultées</w:t>
      </w:r>
      <w:r>
        <w:rPr>
          <w:lang w:eastAsia="fr-FR"/>
        </w:rPr>
        <w:t> </w:t>
      </w:r>
      <w:r>
        <w:rPr>
          <w:rStyle w:val="Appelnotedebasdep"/>
          <w:lang w:eastAsia="fr-FR"/>
        </w:rPr>
        <w:footnoteReference w:id="195"/>
      </w:r>
      <w:r w:rsidRPr="00E8358C">
        <w:rPr>
          <w:lang w:eastAsia="fr-FR"/>
        </w:rPr>
        <w:t xml:space="preserve"> montrent que le terme de « servage » a été surtout utilisé dans l’Europe méditerranéenne. Ce système apparaît avec le développement des petites exploitations agricoles ne nécess</w:t>
      </w:r>
      <w:r w:rsidRPr="00E8358C">
        <w:rPr>
          <w:lang w:eastAsia="fr-FR"/>
        </w:rPr>
        <w:t>i</w:t>
      </w:r>
      <w:r w:rsidRPr="00E8358C">
        <w:rPr>
          <w:lang w:eastAsia="fr-FR"/>
        </w:rPr>
        <w:t xml:space="preserve">tant pas de main-d’œuvre importante. Mais, il n’en demeure pas moins vrai qu’il reste un système analogue à l’esclavage employé pour compenser le manque de main-d’œuvre entraîné par les conflits armés et les épidémies comme la peste. Il est important de souligner que l’esclavage ne se définit pas à partir du nombre d’individus, mais selon les critères de respect de la dignité et des droits fondamentaux des personnes exploitées. Selon les Nations unies, le servage désigne </w:t>
      </w:r>
      <w:r w:rsidRPr="00E8358C">
        <w:t>la « condition de quiconque est tenu par la loi, la coutume ou un a</w:t>
      </w:r>
      <w:r w:rsidRPr="00E8358C">
        <w:t>c</w:t>
      </w:r>
      <w:r w:rsidRPr="00E8358C">
        <w:t>cord, de vivre et de travailler sur une terre appartenant à une autre pe</w:t>
      </w:r>
      <w:r w:rsidRPr="00E8358C">
        <w:t>r</w:t>
      </w:r>
      <w:r w:rsidRPr="00E8358C">
        <w:t>sonne et de fournir à cette autre personne, contre rémunération ou gr</w:t>
      </w:r>
      <w:r w:rsidRPr="00E8358C">
        <w:t>a</w:t>
      </w:r>
      <w:r w:rsidRPr="00E8358C">
        <w:t>tuitement, certains services déterminés, sans pouvoir changer sa condition</w:t>
      </w:r>
      <w:r w:rsidRPr="00E8358C">
        <w:rPr>
          <w:lang w:eastAsia="fr-FR"/>
        </w:rPr>
        <w:t> »</w:t>
      </w:r>
      <w:r>
        <w:rPr>
          <w:lang w:eastAsia="fr-FR"/>
        </w:rPr>
        <w:t> </w:t>
      </w:r>
      <w:r>
        <w:rPr>
          <w:rStyle w:val="Appelnotedebasdep"/>
          <w:lang w:eastAsia="fr-FR"/>
        </w:rPr>
        <w:footnoteReference w:id="196"/>
      </w:r>
      <w:r>
        <w:rPr>
          <w:lang w:eastAsia="fr-FR"/>
        </w:rPr>
        <w:t>.</w:t>
      </w:r>
    </w:p>
    <w:p w:rsidR="004C50DC" w:rsidRDefault="004C50DC" w:rsidP="004C50DC">
      <w:pPr>
        <w:spacing w:before="120" w:after="120"/>
        <w:jc w:val="both"/>
      </w:pPr>
      <w:bookmarkStart w:id="89" w:name="_Toc423347280"/>
      <w:bookmarkStart w:id="90" w:name="_Toc442280458"/>
      <w:r>
        <w:t>[60]</w:t>
      </w:r>
    </w:p>
    <w:p w:rsidR="004C50DC" w:rsidRDefault="004C50DC" w:rsidP="004C50DC">
      <w:pPr>
        <w:spacing w:before="120" w:after="120"/>
        <w:jc w:val="both"/>
      </w:pPr>
    </w:p>
    <w:p w:rsidR="004C50DC" w:rsidRPr="00E8358C" w:rsidRDefault="004C50DC" w:rsidP="004C50DC">
      <w:pPr>
        <w:pStyle w:val="a"/>
      </w:pPr>
      <w:r w:rsidRPr="00E8358C">
        <w:t xml:space="preserve">2.1.1. Organisation et développement du système esclavagiste </w:t>
      </w:r>
      <w:r>
        <w:br/>
      </w:r>
      <w:r w:rsidRPr="00E8358C">
        <w:t>dans le contexte de la colonisation européenne</w:t>
      </w:r>
      <w:bookmarkEnd w:id="89"/>
      <w:bookmarkEnd w:id="90"/>
    </w:p>
    <w:p w:rsidR="004C50DC" w:rsidRDefault="004C50DC" w:rsidP="004C50DC">
      <w:pPr>
        <w:spacing w:before="120" w:after="120"/>
        <w:jc w:val="both"/>
        <w:rPr>
          <w:lang w:eastAsia="fr-FR"/>
        </w:rPr>
      </w:pPr>
    </w:p>
    <w:p w:rsidR="004C50DC" w:rsidRPr="00E8358C" w:rsidRDefault="004C50DC" w:rsidP="004C50DC">
      <w:pPr>
        <w:spacing w:before="120" w:after="120"/>
        <w:jc w:val="both"/>
      </w:pPr>
      <w:r w:rsidRPr="00E8358C">
        <w:rPr>
          <w:lang w:eastAsia="fr-FR"/>
        </w:rPr>
        <w:t xml:space="preserve">Le développement des colonies au </w:t>
      </w:r>
      <w:r w:rsidRPr="00E8358C">
        <w:rPr>
          <w:bCs/>
          <w:lang w:eastAsia="fr-FR"/>
        </w:rPr>
        <w:t>milieu du XV</w:t>
      </w:r>
      <w:r w:rsidRPr="00E8358C">
        <w:rPr>
          <w:bCs/>
          <w:vertAlign w:val="superscript"/>
          <w:lang w:eastAsia="fr-FR"/>
        </w:rPr>
        <w:t xml:space="preserve">e </w:t>
      </w:r>
      <w:r w:rsidRPr="00E8358C">
        <w:rPr>
          <w:bCs/>
          <w:lang w:eastAsia="fr-FR"/>
        </w:rPr>
        <w:t>siècle par</w:t>
      </w:r>
      <w:r w:rsidRPr="00E8358C">
        <w:rPr>
          <w:lang w:eastAsia="fr-FR"/>
        </w:rPr>
        <w:t xml:space="preserve"> les puissances ibériques (Portugal, Espagne) va susciter des besoins de main-d’œuvre. Mais c’est à la fin du XV</w:t>
      </w:r>
      <w:r w:rsidRPr="00E8358C">
        <w:rPr>
          <w:vertAlign w:val="superscript"/>
          <w:lang w:eastAsia="fr-FR"/>
        </w:rPr>
        <w:t>e</w:t>
      </w:r>
      <w:r w:rsidRPr="00E8358C">
        <w:rPr>
          <w:lang w:eastAsia="fr-FR"/>
        </w:rPr>
        <w:t xml:space="preserve"> siècle avec la « découverte »</w:t>
      </w:r>
      <w:r>
        <w:rPr>
          <w:lang w:eastAsia="fr-FR"/>
        </w:rPr>
        <w:t> </w:t>
      </w:r>
      <w:r>
        <w:rPr>
          <w:rStyle w:val="Appelnotedebasdep"/>
          <w:lang w:eastAsia="fr-FR"/>
        </w:rPr>
        <w:footnoteReference w:id="197"/>
      </w:r>
      <w:r w:rsidRPr="00E8358C">
        <w:rPr>
          <w:lang w:eastAsia="fr-FR"/>
        </w:rPr>
        <w:t xml:space="preserve"> en 1492 de l’Amérique et la conquête du Nouveau Monde par les Espagnols que la Traite et l’esclavage s’intensifieront. </w:t>
      </w:r>
      <w:r w:rsidRPr="00E8358C">
        <w:t>Au début, le système d’exploitation mis en place pour la valorisation des territoires agricoles était celui des engagés. Ces « engagés»</w:t>
      </w:r>
      <w:r>
        <w:t> </w:t>
      </w:r>
      <w:r>
        <w:rPr>
          <w:rStyle w:val="Appelnotedebasdep"/>
        </w:rPr>
        <w:footnoteReference w:id="198"/>
      </w:r>
      <w:r w:rsidRPr="00E8358C">
        <w:t xml:space="preserve"> étaient des Blancs européens, des gens qui vivaient dans une situation de paupérisation grave. Ils offraient leur force de travail en échange du voyage gratuit et de la promesse d’avoir un lopin de terre au terme des années de travail qu’ils auraient fournies aux colons propriétaires installés dans les colonies. </w:t>
      </w:r>
    </w:p>
    <w:p w:rsidR="004C50DC" w:rsidRDefault="004C50DC" w:rsidP="004C50DC">
      <w:pPr>
        <w:spacing w:before="120" w:after="120"/>
        <w:jc w:val="both"/>
      </w:pPr>
      <w:r w:rsidRPr="00E8358C">
        <w:t>Les engagés, du moins français, avaient une petite rémunération, et ce système s’est poursuivi après l’institution de l’esclavage. Ces e</w:t>
      </w:r>
      <w:r w:rsidRPr="00E8358C">
        <w:t>n</w:t>
      </w:r>
      <w:r w:rsidRPr="00E8358C">
        <w:t>gagés devinrent des colons dans la Caraïbe</w:t>
      </w:r>
      <w:r>
        <w:t> </w:t>
      </w:r>
      <w:r>
        <w:rPr>
          <w:rStyle w:val="Appelnotedebasdep"/>
        </w:rPr>
        <w:footnoteReference w:id="199"/>
      </w:r>
      <w:r w:rsidRPr="00E8358C">
        <w:t xml:space="preserve">. Très tôt, ils furent confrontés aux difficultés du climat, à de difficiles conditions de vie et à la dureté des travaux. Ils </w:t>
      </w:r>
      <w:r w:rsidRPr="00E8358C">
        <w:rPr>
          <w:lang w:eastAsia="fr-FR"/>
        </w:rPr>
        <w:t xml:space="preserve">ne pouvaient donc pas répondre à l’exigence, par exemple, de travailler dans les plantations de canne à sucre. Ils avaient du mal à survivre. </w:t>
      </w:r>
      <w:r w:rsidRPr="00E8358C">
        <w:t>Il était aussi évident que les pr</w:t>
      </w:r>
      <w:r w:rsidRPr="00E8358C">
        <w:t>o</w:t>
      </w:r>
      <w:r w:rsidRPr="00E8358C">
        <w:t xml:space="preserve">priétaires évitaient de maltraiter les « engagés » par solidarité de rôle, car ces derniers devenaient de potentiels voisins à la fin de leur contrat. </w:t>
      </w:r>
    </w:p>
    <w:p w:rsidR="004C50DC" w:rsidRPr="00E8358C" w:rsidRDefault="004C50DC" w:rsidP="004C50DC">
      <w:pPr>
        <w:spacing w:before="120" w:after="120"/>
        <w:jc w:val="both"/>
        <w:rPr>
          <w:lang w:eastAsia="fr-FR"/>
        </w:rPr>
      </w:pPr>
      <w:r>
        <w:br w:type="page"/>
        <w:t>[61]</w:t>
      </w:r>
    </w:p>
    <w:p w:rsidR="004C50DC" w:rsidRPr="00E8358C" w:rsidRDefault="004C50DC" w:rsidP="004C50DC">
      <w:pPr>
        <w:spacing w:before="120" w:after="120"/>
        <w:jc w:val="both"/>
      </w:pPr>
      <w:r w:rsidRPr="00E8358C">
        <w:t>Le système des engagés allait rapidement péricliter. La solution qui s’est offerte aux colons européens (espagnols, portugais) a été celle de la mise en esclavage des populations autochtones (taïnos, arawaks et caraïbes) qui avaient survécu en grande partie à l’invasion de leur te</w:t>
      </w:r>
      <w:r w:rsidRPr="00E8358C">
        <w:t>r</w:t>
      </w:r>
      <w:r w:rsidRPr="00E8358C">
        <w:t xml:space="preserve">ritoire et aux maladies comme </w:t>
      </w:r>
      <w:r w:rsidRPr="00792DC7">
        <w:t>la variole, la grippe, la peste</w:t>
      </w:r>
      <w:r w:rsidRPr="00E8358C">
        <w:t xml:space="preserve"> apportées par les nouveaux occupants des Amériques. </w:t>
      </w:r>
      <w:r w:rsidRPr="00792DC7">
        <w:t>Ce furent</w:t>
      </w:r>
      <w:r w:rsidRPr="00E8358C">
        <w:t xml:space="preserve"> les premiers esclaves. En moins de cinquante ans, leur nombre avait été réduit à quelques centaines dans les principales colonies des Amériques, n</w:t>
      </w:r>
      <w:r w:rsidRPr="00E8358C">
        <w:t>o</w:t>
      </w:r>
      <w:r w:rsidRPr="00E8358C">
        <w:t>tamment à Saint-Domingue, à partir d’une population précolombienne dont l’évaluation varie de quelques centaines de milliers à huit mi</w:t>
      </w:r>
      <w:r w:rsidRPr="00E8358C">
        <w:t>l</w:t>
      </w:r>
      <w:r w:rsidRPr="00E8358C">
        <w:t>lions d’âmes</w:t>
      </w:r>
      <w:r>
        <w:t> </w:t>
      </w:r>
      <w:r>
        <w:rPr>
          <w:rStyle w:val="Appelnotedebasdep"/>
        </w:rPr>
        <w:footnoteReference w:id="200"/>
      </w:r>
      <w:r w:rsidRPr="00E8358C">
        <w:t>. Ces « </w:t>
      </w:r>
      <w:r w:rsidRPr="00792DC7">
        <w:t xml:space="preserve">sauvages, sans foi ni loi ou perro </w:t>
      </w:r>
      <w:r w:rsidRPr="00E8358C">
        <w:t>(chiens) »</w:t>
      </w:r>
      <w:r>
        <w:t> </w:t>
      </w:r>
      <w:r>
        <w:rPr>
          <w:rStyle w:val="Appelnotedebasdep"/>
        </w:rPr>
        <w:footnoteReference w:id="201"/>
      </w:r>
      <w:r w:rsidRPr="00E8358C">
        <w:t xml:space="preserve"> comme les appelait Christophe Colomb succombèrent par millions en peu d’années après avoir été contraints de travailler dans les plant</w:t>
      </w:r>
      <w:r w:rsidRPr="00E8358C">
        <w:t>a</w:t>
      </w:r>
      <w:r w:rsidRPr="00E8358C">
        <w:t>tions de canne à sucre ou dans les mines d’or et d’argent</w:t>
      </w:r>
      <w:r>
        <w:t> </w:t>
      </w:r>
      <w:r>
        <w:rPr>
          <w:rStyle w:val="Appelnotedebasdep"/>
        </w:rPr>
        <w:footnoteReference w:id="202"/>
      </w:r>
      <w:r w:rsidRPr="00E8358C">
        <w:t>. En fin de compte, l</w:t>
      </w:r>
      <w:r w:rsidRPr="00792DC7">
        <w:t xml:space="preserve">es populations autochtones ont été pratiquement </w:t>
      </w:r>
      <w:r w:rsidRPr="00E8358C">
        <w:t>décimées. Comme le fait remarquer Jean Price-Mars, « le 6 décembre 1492, date fatidique qui marqua l’entrée des Haïtiens dans l’Histoire. Peut-être faudrait-il mieux dire : date fatidique qui consacra la dépossession des naturels du pays et annonça simultanément l’ère de leur graduelle e</w:t>
      </w:r>
      <w:r w:rsidRPr="00E8358C">
        <w:t>x</w:t>
      </w:r>
      <w:r w:rsidRPr="00E8358C">
        <w:t>tinction</w:t>
      </w:r>
      <w:r>
        <w:t> </w:t>
      </w:r>
      <w:r>
        <w:rPr>
          <w:rStyle w:val="Appelnotedebasdep"/>
        </w:rPr>
        <w:footnoteReference w:id="203"/>
      </w:r>
      <w:r w:rsidRPr="00E8358C">
        <w:t> ».</w:t>
      </w:r>
    </w:p>
    <w:p w:rsidR="004C50DC" w:rsidRPr="00E8358C" w:rsidRDefault="004C50DC" w:rsidP="004C50DC">
      <w:pPr>
        <w:spacing w:before="120" w:after="120"/>
        <w:jc w:val="both"/>
        <w:rPr>
          <w:lang w:eastAsia="fr-FR"/>
        </w:rPr>
      </w:pPr>
      <w:r w:rsidRPr="00E8358C">
        <w:rPr>
          <w:lang w:eastAsia="fr-FR"/>
        </w:rPr>
        <w:t xml:space="preserve">Les yeux des esclavagistes espagnols se sont alors tournés vers les Noirs d’Afrique (entre 1500 et 1510) pour compenser le manque de main-d’œuvre et pour faire fonctionner à plein régime l’exploitation des ressources du sol et du sous-sol. « Le travail d’un seul Noir </w:t>
      </w:r>
      <w:r>
        <w:rPr>
          <w:lang w:eastAsia="fr-FR"/>
        </w:rPr>
        <w:t xml:space="preserve">[62] </w:t>
      </w:r>
      <w:r w:rsidRPr="00E8358C">
        <w:rPr>
          <w:lang w:eastAsia="fr-FR"/>
        </w:rPr>
        <w:t>vaut celui de quatre Indiens »</w:t>
      </w:r>
      <w:r>
        <w:rPr>
          <w:lang w:eastAsia="fr-FR"/>
        </w:rPr>
        <w:t> </w:t>
      </w:r>
      <w:r w:rsidRPr="00E8358C">
        <w:rPr>
          <w:rStyle w:val="Appelnotedebasdep"/>
          <w:lang w:eastAsia="fr-FR"/>
        </w:rPr>
        <w:footnoteReference w:id="204"/>
      </w:r>
      <w:r w:rsidRPr="00E8358C">
        <w:rPr>
          <w:lang w:eastAsia="fr-FR"/>
        </w:rPr>
        <w:t xml:space="preserve"> comme l’a soutenu Christophe C</w:t>
      </w:r>
      <w:r w:rsidRPr="00E8358C">
        <w:rPr>
          <w:lang w:eastAsia="fr-FR"/>
        </w:rPr>
        <w:t>o</w:t>
      </w:r>
      <w:r w:rsidRPr="00E8358C">
        <w:rPr>
          <w:lang w:eastAsia="fr-FR"/>
        </w:rPr>
        <w:t>lomb. Les Noirs d’Afrique avaient déjà fait preuve de leur santé r</w:t>
      </w:r>
      <w:r w:rsidRPr="00E8358C">
        <w:rPr>
          <w:lang w:eastAsia="fr-FR"/>
        </w:rPr>
        <w:t>o</w:t>
      </w:r>
      <w:r w:rsidRPr="00E8358C">
        <w:rPr>
          <w:lang w:eastAsia="fr-FR"/>
        </w:rPr>
        <w:t>buste et de leur force de produ</w:t>
      </w:r>
      <w:r>
        <w:rPr>
          <w:lang w:eastAsia="fr-FR"/>
        </w:rPr>
        <w:t> </w:t>
      </w:r>
      <w:r w:rsidRPr="00E8358C">
        <w:rPr>
          <w:lang w:eastAsia="fr-FR"/>
        </w:rPr>
        <w:t xml:space="preserve">ctivité aux Canaries, à Madère et dans d’autres îles atlantiques.  </w:t>
      </w:r>
    </w:p>
    <w:p w:rsidR="004C50DC" w:rsidRPr="00E8358C" w:rsidRDefault="004C50DC" w:rsidP="004C50DC">
      <w:pPr>
        <w:spacing w:before="120" w:after="120"/>
        <w:jc w:val="both"/>
      </w:pPr>
      <w:r w:rsidRPr="00E8358C">
        <w:t>Finalement, les Européens choisissent de pratiquer l’esclavage des populations noires de l’Afrique en s’inspirant du modèle des routes de traite déjà mises en place par la traite pratiquée par les Arabes qui étaient habitués à  traverser l’ensemble des territoires africains.  Petit à petit, des comptoirs sont établis sur les côtes d’Afrique. Des systèmes de vente et d’échange (troc d’esclaves contre des produits européens, tels que des armes ou des objets de pacotille) ont été mis en place pour favoriser la Traite des populations noires qui seront par la suite dépo</w:t>
      </w:r>
      <w:r w:rsidRPr="00E8358C">
        <w:t>r</w:t>
      </w:r>
      <w:r w:rsidRPr="00E8358C">
        <w:t>tées en Amérique de manière à mettre en valeur les territoires agric</w:t>
      </w:r>
      <w:r w:rsidRPr="00E8358C">
        <w:t>o</w:t>
      </w:r>
      <w:r w:rsidRPr="00E8358C">
        <w:t xml:space="preserve">les et à répondre, par le fruit de leur travail forcé, à la demande en produits coloniaux (sucre, café, cacao, etc.). </w:t>
      </w:r>
    </w:p>
    <w:p w:rsidR="004C50DC" w:rsidRPr="00E8358C" w:rsidRDefault="004C50DC" w:rsidP="004C50DC">
      <w:pPr>
        <w:spacing w:before="120" w:after="120"/>
        <w:jc w:val="both"/>
        <w:rPr>
          <w:lang w:eastAsia="fr-FR"/>
        </w:rPr>
      </w:pPr>
      <w:r w:rsidRPr="00E8358C">
        <w:rPr>
          <w:lang w:eastAsia="fr-FR"/>
        </w:rPr>
        <w:t xml:space="preserve">Pour assouvir leur ambition économique et affirmer leur puissance, des pays européens (Portugal, Espagne, </w:t>
      </w:r>
      <w:r w:rsidRPr="00E8358C">
        <w:rPr>
          <w:bCs/>
          <w:lang w:eastAsia="fr-FR"/>
        </w:rPr>
        <w:t>Angleterre, France, Hollande, Suède, Danemark)</w:t>
      </w:r>
      <w:r>
        <w:rPr>
          <w:bCs/>
          <w:lang w:eastAsia="fr-FR"/>
        </w:rPr>
        <w:t> </w:t>
      </w:r>
      <w:r>
        <w:rPr>
          <w:rStyle w:val="Appelnotedebasdep"/>
          <w:bCs/>
          <w:lang w:eastAsia="fr-FR"/>
        </w:rPr>
        <w:footnoteReference w:id="205"/>
      </w:r>
      <w:r>
        <w:rPr>
          <w:bCs/>
          <w:lang w:eastAsia="fr-FR"/>
        </w:rPr>
        <w:t xml:space="preserve"> </w:t>
      </w:r>
      <w:r w:rsidRPr="00E8358C">
        <w:rPr>
          <w:lang w:eastAsia="fr-FR"/>
        </w:rPr>
        <w:t>se sont tournés vers l’Afrique et ont établi la « traite des Noirs »</w:t>
      </w:r>
      <w:r>
        <w:rPr>
          <w:lang w:eastAsia="fr-FR"/>
        </w:rPr>
        <w:t> </w:t>
      </w:r>
      <w:r w:rsidRPr="00E8358C">
        <w:rPr>
          <w:rStyle w:val="Appelnotedebasdep"/>
          <w:lang w:eastAsia="fr-FR"/>
        </w:rPr>
        <w:footnoteReference w:id="206"/>
      </w:r>
      <w:r w:rsidRPr="00E8358C">
        <w:rPr>
          <w:lang w:eastAsia="fr-FR"/>
        </w:rPr>
        <w:t xml:space="preserve"> et l’esclavage, une pratique dite « légale, struct</w:t>
      </w:r>
      <w:r w:rsidRPr="00E8358C">
        <w:rPr>
          <w:lang w:eastAsia="fr-FR"/>
        </w:rPr>
        <w:t>u</w:t>
      </w:r>
      <w:r w:rsidRPr="00E8358C">
        <w:rPr>
          <w:lang w:eastAsia="fr-FR"/>
        </w:rPr>
        <w:t>rée, voire encouragée par des primes »</w:t>
      </w:r>
      <w:r>
        <w:rPr>
          <w:lang w:eastAsia="fr-FR"/>
        </w:rPr>
        <w:t> </w:t>
      </w:r>
      <w:r w:rsidRPr="00E8358C">
        <w:rPr>
          <w:rStyle w:val="Appelnotedebasdep"/>
          <w:lang w:eastAsia="fr-FR"/>
        </w:rPr>
        <w:footnoteReference w:id="207"/>
      </w:r>
      <w:r w:rsidRPr="00E8358C">
        <w:rPr>
          <w:lang w:eastAsia="fr-FR"/>
        </w:rPr>
        <w:t>. La position géographique de l’Afrique jouait aussi au bénéfice des Européens. Le commerce tria</w:t>
      </w:r>
      <w:r w:rsidRPr="00E8358C">
        <w:rPr>
          <w:lang w:eastAsia="fr-FR"/>
        </w:rPr>
        <w:t>n</w:t>
      </w:r>
      <w:r w:rsidRPr="00E8358C">
        <w:rPr>
          <w:lang w:eastAsia="fr-FR"/>
        </w:rPr>
        <w:t>gulaire</w:t>
      </w:r>
      <w:r>
        <w:rPr>
          <w:lang w:eastAsia="fr-FR"/>
        </w:rPr>
        <w:t> </w:t>
      </w:r>
      <w:r w:rsidRPr="00E8358C">
        <w:rPr>
          <w:rStyle w:val="Appelnotedebasdep"/>
          <w:lang w:eastAsia="fr-FR"/>
        </w:rPr>
        <w:footnoteReference w:id="208"/>
      </w:r>
      <w:r w:rsidRPr="00E8358C">
        <w:rPr>
          <w:lang w:eastAsia="fr-FR"/>
        </w:rPr>
        <w:t xml:space="preserve"> (Afrique, Amérique et Europe) (Figure 1) a atteint son ap</w:t>
      </w:r>
      <w:r w:rsidRPr="00E8358C">
        <w:rPr>
          <w:lang w:eastAsia="fr-FR"/>
        </w:rPr>
        <w:t>o</w:t>
      </w:r>
      <w:r w:rsidRPr="00E8358C">
        <w:rPr>
          <w:lang w:eastAsia="fr-FR"/>
        </w:rPr>
        <w:t>gée dans la deuxième moitié du XVIII</w:t>
      </w:r>
      <w:r w:rsidRPr="00E8358C">
        <w:rPr>
          <w:vertAlign w:val="superscript"/>
          <w:lang w:eastAsia="fr-FR"/>
        </w:rPr>
        <w:t>e</w:t>
      </w:r>
      <w:r w:rsidRPr="00E8358C">
        <w:rPr>
          <w:lang w:eastAsia="fr-FR"/>
        </w:rPr>
        <w:t xml:space="preserve"> siècle. C’est la </w:t>
      </w:r>
      <w:r>
        <w:rPr>
          <w:lang w:eastAsia="fr-FR"/>
        </w:rPr>
        <w:t xml:space="preserve">[63] </w:t>
      </w:r>
      <w:r w:rsidRPr="00E8358C">
        <w:rPr>
          <w:lang w:eastAsia="fr-FR"/>
        </w:rPr>
        <w:t>péri</w:t>
      </w:r>
      <w:r w:rsidRPr="00E8358C">
        <w:rPr>
          <w:lang w:eastAsia="fr-FR"/>
        </w:rPr>
        <w:t>o</w:t>
      </w:r>
      <w:r w:rsidRPr="00E8358C">
        <w:rPr>
          <w:lang w:eastAsia="fr-FR"/>
        </w:rPr>
        <w:t xml:space="preserve">de de l’implication des Français et des Anglais qui cherchaient à avoir le monopole du marché des esclaves au détriment des Hollandais. </w:t>
      </w:r>
    </w:p>
    <w:p w:rsidR="004C50DC" w:rsidRPr="00E8358C" w:rsidRDefault="004C50DC" w:rsidP="004C50DC">
      <w:pPr>
        <w:spacing w:before="120" w:after="120"/>
        <w:jc w:val="both"/>
        <w:rPr>
          <w:lang w:eastAsia="fr-FR"/>
        </w:rPr>
      </w:pPr>
      <w:r w:rsidRPr="00E8358C">
        <w:t>À leur arrivée en Afrique, les Européens ont rapidement noué des rapports commerciaux avec différentes populations africaines du litt</w:t>
      </w:r>
      <w:r w:rsidRPr="00E8358C">
        <w:t>o</w:t>
      </w:r>
      <w:r w:rsidRPr="00E8358C">
        <w:t xml:space="preserve">ral en échange de captifs. </w:t>
      </w:r>
      <w:r w:rsidRPr="00E8358C">
        <w:rPr>
          <w:lang w:eastAsia="fr-FR"/>
        </w:rPr>
        <w:t>Des territoires d’approvisionnement en e</w:t>
      </w:r>
      <w:r w:rsidRPr="00E8358C">
        <w:rPr>
          <w:lang w:eastAsia="fr-FR"/>
        </w:rPr>
        <w:t>s</w:t>
      </w:r>
      <w:r w:rsidRPr="00E8358C">
        <w:rPr>
          <w:lang w:eastAsia="fr-FR"/>
        </w:rPr>
        <w:t>claves ont été répertoriés sur le continent africain avec des conséque</w:t>
      </w:r>
      <w:r w:rsidRPr="00E8358C">
        <w:rPr>
          <w:lang w:eastAsia="fr-FR"/>
        </w:rPr>
        <w:t>n</w:t>
      </w:r>
      <w:r w:rsidRPr="00E8358C">
        <w:rPr>
          <w:lang w:eastAsia="fr-FR"/>
        </w:rPr>
        <w:t>ces dramatiques sur les sociétés traditionnelles. Des régions du golfe du Bénin, le royaume de Loango ou l’Angola étaient devenus des r</w:t>
      </w:r>
      <w:r w:rsidRPr="00E8358C">
        <w:rPr>
          <w:lang w:eastAsia="fr-FR"/>
        </w:rPr>
        <w:t>é</w:t>
      </w:r>
      <w:r w:rsidRPr="00E8358C">
        <w:rPr>
          <w:lang w:eastAsia="fr-FR"/>
        </w:rPr>
        <w:t>servoirs d’esclaves</w:t>
      </w:r>
      <w:r w:rsidRPr="00E8358C">
        <w:t>. Sur l’île de Gorée, par exemple, des comptoirs d’esclaves avaient été établis. Les Européens avaient su profiter des rivalités qui opposaient plusieurs tribus et villages pour avoir l’accord de leurs chefs respectifs. Ils alimentaient davantage les conflits pour que les Africains du littoral aillent chercher leurs pairs, qui se retra</w:t>
      </w:r>
      <w:r w:rsidRPr="00E8358C">
        <w:t>n</w:t>
      </w:r>
      <w:r w:rsidRPr="00E8358C">
        <w:t>chaient dans les montagnes ou dans le centre des territoires, pour les livrer ou les vendre comme captifs. Les chefs des tribus recevaient en retour des marchandises provenant d’Europe. D</w:t>
      </w:r>
      <w:r w:rsidRPr="00E8358C">
        <w:rPr>
          <w:lang w:eastAsia="fr-FR"/>
        </w:rPr>
        <w:t>es esclavagistes afr</w:t>
      </w:r>
      <w:r w:rsidRPr="00E8358C">
        <w:rPr>
          <w:lang w:eastAsia="fr-FR"/>
        </w:rPr>
        <w:t>i</w:t>
      </w:r>
      <w:r w:rsidRPr="00E8358C">
        <w:rPr>
          <w:lang w:eastAsia="fr-FR"/>
        </w:rPr>
        <w:t>cains se faisaient complices de la Traite en aidant à capturer et en vendant des Noirs des tribus rivales, tandis que d’autres chefs antie</w:t>
      </w:r>
      <w:r w:rsidRPr="00E8358C">
        <w:rPr>
          <w:lang w:eastAsia="fr-FR"/>
        </w:rPr>
        <w:t>s</w:t>
      </w:r>
      <w:r w:rsidRPr="00E8358C">
        <w:rPr>
          <w:lang w:eastAsia="fr-FR"/>
        </w:rPr>
        <w:t xml:space="preserve">clavagistes protestaient et résistaient. Les forces et les stratagèmes des puissances esclavagistes ont eu raison d’eux. </w:t>
      </w:r>
    </w:p>
    <w:p w:rsidR="004C50DC" w:rsidRPr="00E8358C" w:rsidRDefault="004C50DC" w:rsidP="004C50DC">
      <w:pPr>
        <w:spacing w:before="120" w:after="120"/>
        <w:jc w:val="both"/>
        <w:rPr>
          <w:lang w:eastAsia="fr-FR"/>
        </w:rPr>
      </w:pPr>
      <w:r w:rsidRPr="00E8358C">
        <w:rPr>
          <w:lang w:eastAsia="fr-FR"/>
        </w:rPr>
        <w:t>Il faut souligner que la traite des Noirs était une pratique instituée et répandue dans les pays africains bien antérieurement au XV</w:t>
      </w:r>
      <w:r w:rsidRPr="00E8358C">
        <w:rPr>
          <w:vertAlign w:val="superscript"/>
          <w:lang w:eastAsia="fr-FR"/>
        </w:rPr>
        <w:t>e</w:t>
      </w:r>
      <w:r w:rsidRPr="00E8358C">
        <w:rPr>
          <w:lang w:eastAsia="fr-FR"/>
        </w:rPr>
        <w:t xml:space="preserve"> siècle. Selon Marcel Dorigny et Bernard Gainot, depuis le VI</w:t>
      </w:r>
      <w:r w:rsidRPr="00E8358C">
        <w:rPr>
          <w:vertAlign w:val="superscript"/>
          <w:lang w:eastAsia="fr-FR"/>
        </w:rPr>
        <w:t>e</w:t>
      </w:r>
      <w:r w:rsidRPr="00E8358C">
        <w:rPr>
          <w:lang w:eastAsia="fr-FR"/>
        </w:rPr>
        <w:t xml:space="preserve"> siècle, la fo</w:t>
      </w:r>
      <w:r w:rsidRPr="00E8358C">
        <w:rPr>
          <w:lang w:eastAsia="fr-FR"/>
        </w:rPr>
        <w:t>r</w:t>
      </w:r>
      <w:r w:rsidRPr="00E8358C">
        <w:rPr>
          <w:lang w:eastAsia="fr-FR"/>
        </w:rPr>
        <w:t>mation des États dans les régions de savanes (Sahel, pays du Zamb</w:t>
      </w:r>
      <w:r w:rsidRPr="00E8358C">
        <w:rPr>
          <w:lang w:eastAsia="fr-FR"/>
        </w:rPr>
        <w:t>è</w:t>
      </w:r>
      <w:r w:rsidRPr="00E8358C">
        <w:rPr>
          <w:lang w:eastAsia="fr-FR"/>
        </w:rPr>
        <w:t>ze, royaume du Kongo), l’existence d’un grand nombre de captifs consécutivement à une guerre permanente, aux razzias et à la conqu</w:t>
      </w:r>
      <w:r w:rsidRPr="00E8358C">
        <w:rPr>
          <w:lang w:eastAsia="fr-FR"/>
        </w:rPr>
        <w:t>ê</w:t>
      </w:r>
      <w:r w:rsidRPr="00E8358C">
        <w:rPr>
          <w:lang w:eastAsia="fr-FR"/>
        </w:rPr>
        <w:t>te arabe offraient aussi des possibilités à la Traite. Les traites entre les pays africains concernent surtout le commerce des esclaves au bénéf</w:t>
      </w:r>
      <w:r w:rsidRPr="00E8358C">
        <w:rPr>
          <w:lang w:eastAsia="fr-FR"/>
        </w:rPr>
        <w:t>i</w:t>
      </w:r>
      <w:r w:rsidRPr="00E8358C">
        <w:rPr>
          <w:lang w:eastAsia="fr-FR"/>
        </w:rPr>
        <w:t>ce des souverains et des familles dirigeantes d’Afrique noire</w:t>
      </w:r>
      <w:r>
        <w:rPr>
          <w:lang w:eastAsia="fr-FR"/>
        </w:rPr>
        <w:t> </w:t>
      </w:r>
      <w:r w:rsidRPr="00E8358C">
        <w:rPr>
          <w:rStyle w:val="Appelnotedebasdep"/>
          <w:lang w:eastAsia="fr-FR"/>
        </w:rPr>
        <w:footnoteReference w:id="209"/>
      </w:r>
      <w:r w:rsidRPr="00E8358C">
        <w:rPr>
          <w:lang w:eastAsia="fr-FR"/>
        </w:rPr>
        <w:t>. Dans la région subsaharienne, de grandes plantations où sévissait l’esclavage étaient cultivées par des esclaves achetés individuell</w:t>
      </w:r>
      <w:r w:rsidRPr="00E8358C">
        <w:rPr>
          <w:lang w:eastAsia="fr-FR"/>
        </w:rPr>
        <w:t>e</w:t>
      </w:r>
      <w:r w:rsidRPr="00E8358C">
        <w:rPr>
          <w:lang w:eastAsia="fr-FR"/>
        </w:rPr>
        <w:t>ment. Par exe</w:t>
      </w:r>
      <w:r w:rsidRPr="00E8358C">
        <w:rPr>
          <w:lang w:eastAsia="fr-FR"/>
        </w:rPr>
        <w:t>m</w:t>
      </w:r>
      <w:r w:rsidRPr="00E8358C">
        <w:rPr>
          <w:lang w:eastAsia="fr-FR"/>
        </w:rPr>
        <w:t>ple, les États musulmans du Mali, du Songhaï et des États haoussa d’Afrique de l’Ouest, apparus entre le X</w:t>
      </w:r>
      <w:r w:rsidRPr="00E8358C">
        <w:rPr>
          <w:vertAlign w:val="superscript"/>
          <w:lang w:eastAsia="fr-FR"/>
        </w:rPr>
        <w:t>e</w:t>
      </w:r>
      <w:r w:rsidRPr="00E8358C">
        <w:rPr>
          <w:lang w:eastAsia="fr-FR"/>
        </w:rPr>
        <w:t xml:space="preserve"> siècle et le XV</w:t>
      </w:r>
      <w:r w:rsidRPr="00E8358C">
        <w:rPr>
          <w:vertAlign w:val="superscript"/>
          <w:lang w:eastAsia="fr-FR"/>
        </w:rPr>
        <w:t>e</w:t>
      </w:r>
      <w:r w:rsidRPr="00E8358C">
        <w:rPr>
          <w:lang w:eastAsia="fr-FR"/>
        </w:rPr>
        <w:t xml:space="preserve"> siècle, profitaient des guerres ayant pour but la capture des pr</w:t>
      </w:r>
      <w:r w:rsidRPr="00E8358C">
        <w:rPr>
          <w:lang w:eastAsia="fr-FR"/>
        </w:rPr>
        <w:t>i</w:t>
      </w:r>
      <w:r w:rsidRPr="00E8358C">
        <w:rPr>
          <w:lang w:eastAsia="fr-FR"/>
        </w:rPr>
        <w:t>sonniers qui s</w:t>
      </w:r>
      <w:r w:rsidRPr="00E8358C">
        <w:rPr>
          <w:lang w:eastAsia="fr-FR"/>
        </w:rPr>
        <w:t>e</w:t>
      </w:r>
      <w:r w:rsidRPr="00E8358C">
        <w:rPr>
          <w:lang w:eastAsia="fr-FR"/>
        </w:rPr>
        <w:t xml:space="preserve">raient par la suite réduits en servitude dans des familles nobles ou vendus à des marchands arabes. Une </w:t>
      </w:r>
      <w:r>
        <w:rPr>
          <w:lang w:eastAsia="fr-FR"/>
        </w:rPr>
        <w:t xml:space="preserve">[64] [64] </w:t>
      </w:r>
      <w:r w:rsidRPr="00E8358C">
        <w:rPr>
          <w:lang w:eastAsia="fr-FR"/>
        </w:rPr>
        <w:t>forme d’esclavage avait été instaurée dans le sillage de la guerre et du co</w:t>
      </w:r>
      <w:r w:rsidRPr="00E8358C">
        <w:rPr>
          <w:lang w:eastAsia="fr-FR"/>
        </w:rPr>
        <w:t>m</w:t>
      </w:r>
      <w:r w:rsidRPr="00E8358C">
        <w:rPr>
          <w:lang w:eastAsia="fr-FR"/>
        </w:rPr>
        <w:t>merce caravanier de l’or, des chevaux et du sel en Afrique précoloni</w:t>
      </w:r>
      <w:r w:rsidRPr="00E8358C">
        <w:rPr>
          <w:lang w:eastAsia="fr-FR"/>
        </w:rPr>
        <w:t>a</w:t>
      </w:r>
      <w:r w:rsidRPr="00E8358C">
        <w:rPr>
          <w:lang w:eastAsia="fr-FR"/>
        </w:rPr>
        <w:t>le. Cet escl</w:t>
      </w:r>
      <w:r w:rsidRPr="00E8358C">
        <w:rPr>
          <w:lang w:eastAsia="fr-FR"/>
        </w:rPr>
        <w:t>a</w:t>
      </w:r>
      <w:r w:rsidRPr="00E8358C">
        <w:rPr>
          <w:lang w:eastAsia="fr-FR"/>
        </w:rPr>
        <w:t>vage concernait les Arabes et les Abyssins</w:t>
      </w:r>
      <w:r>
        <w:rPr>
          <w:lang w:eastAsia="fr-FR"/>
        </w:rPr>
        <w:t> </w:t>
      </w:r>
      <w:r w:rsidRPr="00E8358C">
        <w:rPr>
          <w:rStyle w:val="Appelnotedebasdep"/>
          <w:lang w:eastAsia="fr-FR"/>
        </w:rPr>
        <w:footnoteReference w:id="210"/>
      </w:r>
      <w:r w:rsidRPr="00E8358C">
        <w:rPr>
          <w:lang w:eastAsia="fr-FR"/>
        </w:rPr>
        <w:t>. Il existait donc un escl</w:t>
      </w:r>
      <w:r w:rsidRPr="00E8358C">
        <w:rPr>
          <w:lang w:eastAsia="fr-FR"/>
        </w:rPr>
        <w:t>a</w:t>
      </w:r>
      <w:r w:rsidRPr="00E8358C">
        <w:rPr>
          <w:lang w:eastAsia="fr-FR"/>
        </w:rPr>
        <w:t>vage pratiqué par les Africains sur d’autres Africains. Ils n’ont fait que changer de partenaires en le faisant avec les Européens.</w:t>
      </w:r>
    </w:p>
    <w:bookmarkEnd w:id="85"/>
    <w:p w:rsidR="004C50DC" w:rsidRDefault="004C50DC" w:rsidP="004C50DC">
      <w:pPr>
        <w:spacing w:before="120" w:after="120"/>
        <w:jc w:val="both"/>
        <w:rPr>
          <w:lang w:eastAsia="fr-FR"/>
        </w:rPr>
      </w:pPr>
      <w:r>
        <w:rPr>
          <w:lang w:eastAsia="fr-FR"/>
        </w:rPr>
        <w:br w:type="page"/>
      </w:r>
    </w:p>
    <w:p w:rsidR="004C50DC" w:rsidRPr="00E8358C" w:rsidRDefault="004C50DC" w:rsidP="004C50DC">
      <w:pPr>
        <w:spacing w:before="120" w:after="120"/>
        <w:jc w:val="both"/>
        <w:rPr>
          <w:lang w:eastAsia="fr-FR"/>
        </w:rPr>
      </w:pPr>
    </w:p>
    <w:p w:rsidR="004C50DC" w:rsidRPr="00E8358C" w:rsidRDefault="009B614B" w:rsidP="004C50DC">
      <w:pPr>
        <w:pStyle w:val="fig"/>
      </w:pPr>
      <w:r w:rsidRPr="00E8358C">
        <w:rPr>
          <w:noProof/>
          <w:lang w:eastAsia="fr-FR"/>
        </w:rPr>
        <w:drawing>
          <wp:inline distT="0" distB="0" distL="0" distR="0">
            <wp:extent cx="2818765" cy="3022600"/>
            <wp:effectExtent l="25400" t="25400" r="13335" b="12700"/>
            <wp:docPr id="6" name="Image 1" descr="commerce.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commerce.gif"/>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8765" cy="30226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pStyle w:val="figst"/>
      </w:pPr>
      <w:bookmarkStart w:id="91" w:name="_Toc417146047"/>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0A1F06" w:rsidRDefault="004C50DC" w:rsidP="004C50DC">
      <w:pPr>
        <w:pStyle w:val="figst"/>
        <w:rPr>
          <w:szCs w:val="18"/>
          <w:lang w:eastAsia="fr-FR"/>
        </w:rPr>
      </w:pPr>
      <w:bookmarkStart w:id="92" w:name="Memoire_fig_01"/>
      <w:r w:rsidRPr="000A1F06">
        <w:t xml:space="preserve">Figure </w:t>
      </w:r>
      <w:r w:rsidRPr="000A1F06">
        <w:fldChar w:fldCharType="begin"/>
      </w:r>
      <w:r w:rsidR="00EF1554">
        <w:instrText>SEQ</w:instrText>
      </w:r>
      <w:r w:rsidRPr="000A1F06">
        <w:instrText xml:space="preserve"> Figure \* ARABIC </w:instrText>
      </w:r>
      <w:r w:rsidRPr="000A1F06">
        <w:fldChar w:fldCharType="separate"/>
      </w:r>
      <w:r w:rsidRPr="000A1F06">
        <w:rPr>
          <w:noProof/>
        </w:rPr>
        <w:t>1</w:t>
      </w:r>
      <w:r w:rsidRPr="000A1F06">
        <w:fldChar w:fldCharType="end"/>
      </w:r>
      <w:r w:rsidRPr="000A1F06">
        <w:t>. Schématisation de l'organisation de la traite négrière transatlant</w:t>
      </w:r>
      <w:r w:rsidRPr="000A1F06">
        <w:t>i</w:t>
      </w:r>
      <w:r w:rsidRPr="000A1F06">
        <w:t>que nord</w:t>
      </w:r>
      <w:bookmarkEnd w:id="91"/>
      <w:r>
        <w:t xml:space="preserve">. </w:t>
      </w:r>
      <w:r w:rsidRPr="000A1F06">
        <w:rPr>
          <w:szCs w:val="18"/>
          <w:lang w:eastAsia="fr-FR"/>
        </w:rPr>
        <w:t>Source : Collection du musée d’Aquitaine (Bordeaux)</w:t>
      </w:r>
    </w:p>
    <w:bookmarkEnd w:id="92"/>
    <w:p w:rsidR="004C50DC" w:rsidRPr="00E8358C" w:rsidRDefault="004C50DC" w:rsidP="004C50DC">
      <w:pPr>
        <w:spacing w:before="120" w:after="120"/>
        <w:jc w:val="both"/>
      </w:pPr>
    </w:p>
    <w:p w:rsidR="004C50DC" w:rsidRDefault="004C50DC" w:rsidP="004C50DC">
      <w:pPr>
        <w:spacing w:before="120" w:after="120"/>
        <w:jc w:val="both"/>
        <w:rPr>
          <w:lang w:eastAsia="fr-FR"/>
        </w:rPr>
      </w:pPr>
      <w:r w:rsidRPr="00E8358C">
        <w:rPr>
          <w:lang w:eastAsia="fr-FR"/>
        </w:rPr>
        <w:t xml:space="preserve">Les estimations disponibles chiffrent à plus de 11 </w:t>
      </w:r>
      <w:r w:rsidRPr="00E8358C">
        <w:rPr>
          <w:bCs/>
          <w:lang w:eastAsia="fr-FR"/>
        </w:rPr>
        <w:t>millions les Noirs africains</w:t>
      </w:r>
      <w:r w:rsidRPr="00E8358C">
        <w:rPr>
          <w:lang w:eastAsia="fr-FR"/>
        </w:rPr>
        <w:t xml:space="preserve"> enlevés et déportés en </w:t>
      </w:r>
      <w:r w:rsidRPr="00E8358C">
        <w:rPr>
          <w:bCs/>
          <w:lang w:eastAsia="fr-FR"/>
        </w:rPr>
        <w:t>Amérique</w:t>
      </w:r>
      <w:r w:rsidRPr="00E8358C">
        <w:rPr>
          <w:lang w:eastAsia="fr-FR"/>
        </w:rPr>
        <w:t xml:space="preserve"> pour devenir esclaves entre 1450 et les premières décennies du XIX</w:t>
      </w:r>
      <w:r w:rsidRPr="00E8358C">
        <w:rPr>
          <w:vertAlign w:val="superscript"/>
          <w:lang w:eastAsia="fr-FR"/>
        </w:rPr>
        <w:t>e</w:t>
      </w:r>
      <w:r w:rsidRPr="00E8358C">
        <w:rPr>
          <w:lang w:eastAsia="fr-FR"/>
        </w:rPr>
        <w:t xml:space="preserve"> siècle. Le Brésil reçut environ 4 millions d’esclaves et l’archipel des Antilles en reçut près de 6 millions, toutes colonies confondues</w:t>
      </w:r>
      <w:r>
        <w:rPr>
          <w:lang w:eastAsia="fr-FR"/>
        </w:rPr>
        <w:t> </w:t>
      </w:r>
      <w:r w:rsidRPr="00E8358C">
        <w:rPr>
          <w:rStyle w:val="Appelnotedebasdep"/>
          <w:lang w:eastAsia="fr-FR"/>
        </w:rPr>
        <w:footnoteReference w:id="211"/>
      </w:r>
      <w:r w:rsidRPr="00E8358C">
        <w:rPr>
          <w:lang w:eastAsia="fr-FR"/>
        </w:rPr>
        <w:t xml:space="preserve">. </w:t>
      </w:r>
    </w:p>
    <w:p w:rsidR="004C50DC" w:rsidRPr="00E8358C" w:rsidRDefault="004C50DC" w:rsidP="004C50DC">
      <w:pPr>
        <w:spacing w:before="120" w:after="120"/>
        <w:jc w:val="both"/>
        <w:rPr>
          <w:lang w:eastAsia="fr-FR"/>
        </w:rPr>
      </w:pPr>
      <w:r>
        <w:rPr>
          <w:lang w:eastAsia="fr-FR"/>
        </w:rPr>
        <w:br w:type="page"/>
      </w:r>
    </w:p>
    <w:p w:rsidR="004C50DC" w:rsidRPr="00E8358C" w:rsidRDefault="004C50DC" w:rsidP="004C50DC">
      <w:pPr>
        <w:pStyle w:val="b"/>
      </w:pPr>
      <w:r w:rsidRPr="00E8358C">
        <w:t>L’esclavagisme dans la colonie française</w:t>
      </w:r>
    </w:p>
    <w:p w:rsidR="004C50DC" w:rsidRDefault="004C50DC" w:rsidP="004C50DC">
      <w:pPr>
        <w:spacing w:before="120" w:after="120"/>
        <w:jc w:val="both"/>
      </w:pPr>
    </w:p>
    <w:p w:rsidR="004C50DC" w:rsidRDefault="004C50DC" w:rsidP="004C50DC">
      <w:pPr>
        <w:spacing w:before="120" w:after="120"/>
        <w:jc w:val="both"/>
      </w:pPr>
      <w:r>
        <w:t>[65]</w:t>
      </w:r>
    </w:p>
    <w:p w:rsidR="004C50DC" w:rsidRPr="00E8358C" w:rsidRDefault="004C50DC" w:rsidP="004C50DC">
      <w:pPr>
        <w:spacing w:before="120" w:after="120"/>
        <w:jc w:val="both"/>
      </w:pPr>
      <w:r w:rsidRPr="00E8358C">
        <w:t>Comment la France en était-elle arrivée à adhérer à la traite des Noirs et à l’esclavage ? Les explorations françaises des Amériques et des Antilles furent à l’origine de la création de véritables empires c</w:t>
      </w:r>
      <w:r w:rsidRPr="00E8358C">
        <w:t>o</w:t>
      </w:r>
      <w:r w:rsidRPr="00E8358C">
        <w:t>loniaux. Les territoires constitués étaient rapidement apparus comme d’importantes sources de richesse compte tenu du rendement des pr</w:t>
      </w:r>
      <w:r w:rsidRPr="00E8358C">
        <w:t>o</w:t>
      </w:r>
      <w:r w:rsidRPr="00E8358C">
        <w:t xml:space="preserve">duits agricoles dans les pays colonisés. </w:t>
      </w:r>
    </w:p>
    <w:p w:rsidR="004C50DC" w:rsidRPr="00E8358C" w:rsidRDefault="004C50DC" w:rsidP="004C50DC">
      <w:pPr>
        <w:spacing w:before="120" w:after="120"/>
        <w:jc w:val="both"/>
      </w:pPr>
      <w:r w:rsidRPr="00E8358C">
        <w:t>Le système esclavagiste français reposait sur le commerce triang</w:t>
      </w:r>
      <w:r w:rsidRPr="00E8358C">
        <w:t>u</w:t>
      </w:r>
      <w:r w:rsidRPr="00E8358C">
        <w:t xml:space="preserve">laire à partir des ports de </w:t>
      </w:r>
      <w:r w:rsidRPr="00E8358C">
        <w:rPr>
          <w:lang w:eastAsia="fr-FR"/>
        </w:rPr>
        <w:t xml:space="preserve">Nantes, Bordeaux, le Havre, La Rochelle ou Lorient, principalement, </w:t>
      </w:r>
      <w:r w:rsidRPr="00E8358C">
        <w:t>à partir du XVII</w:t>
      </w:r>
      <w:r w:rsidRPr="00E8358C">
        <w:rPr>
          <w:vertAlign w:val="superscript"/>
        </w:rPr>
        <w:t>e</w:t>
      </w:r>
      <w:r w:rsidRPr="00E8358C">
        <w:t xml:space="preserve"> siècle. E</w:t>
      </w:r>
      <w:r w:rsidRPr="00E8358C">
        <w:rPr>
          <w:lang w:eastAsia="fr-FR"/>
        </w:rPr>
        <w:t>ntre 1716 et 1793</w:t>
      </w:r>
      <w:r>
        <w:rPr>
          <w:lang w:eastAsia="fr-FR"/>
        </w:rPr>
        <w:t> </w:t>
      </w:r>
      <w:r w:rsidRPr="00E8358C">
        <w:rPr>
          <w:rStyle w:val="Appelnotedebasdep"/>
          <w:lang w:eastAsia="fr-FR"/>
        </w:rPr>
        <w:footnoteReference w:id="212"/>
      </w:r>
      <w:r w:rsidRPr="00E8358C">
        <w:rPr>
          <w:lang w:eastAsia="fr-FR"/>
        </w:rPr>
        <w:t>, le commerce avait pris une extension considérable. Des navires n</w:t>
      </w:r>
      <w:r w:rsidRPr="00E8358C">
        <w:rPr>
          <w:lang w:eastAsia="fr-FR"/>
        </w:rPr>
        <w:t>é</w:t>
      </w:r>
      <w:r w:rsidRPr="00E8358C">
        <w:rPr>
          <w:lang w:eastAsia="fr-FR"/>
        </w:rPr>
        <w:t xml:space="preserve">griers partaient des ports avec des cargaisons de verroteries, d’armes à feu, de </w:t>
      </w:r>
      <w:r w:rsidRPr="00E8358C">
        <w:t>cauris</w:t>
      </w:r>
      <w:r>
        <w:t> </w:t>
      </w:r>
      <w:r>
        <w:rPr>
          <w:rStyle w:val="Appelnotedebasdep"/>
        </w:rPr>
        <w:footnoteReference w:id="213"/>
      </w:r>
      <w:r w:rsidRPr="00E8358C">
        <w:t xml:space="preserve">, </w:t>
      </w:r>
      <w:r w:rsidRPr="00E8358C">
        <w:rPr>
          <w:lang w:eastAsia="fr-FR"/>
        </w:rPr>
        <w:t xml:space="preserve">de bijoux </w:t>
      </w:r>
      <w:r w:rsidRPr="00E8358C">
        <w:t>(perles, colliers, pacotille</w:t>
      </w:r>
      <w:r>
        <w:t> </w:t>
      </w:r>
      <w:r>
        <w:rPr>
          <w:rStyle w:val="Appelnotedebasdep"/>
        </w:rPr>
        <w:footnoteReference w:id="214"/>
      </w:r>
      <w:r w:rsidRPr="00E8358C">
        <w:t xml:space="preserve">) </w:t>
      </w:r>
      <w:r w:rsidRPr="00E8358C">
        <w:rPr>
          <w:lang w:eastAsia="fr-FR"/>
        </w:rPr>
        <w:t>qu’ils écha</w:t>
      </w:r>
      <w:r w:rsidRPr="00E8358C">
        <w:rPr>
          <w:lang w:eastAsia="fr-FR"/>
        </w:rPr>
        <w:t>n</w:t>
      </w:r>
      <w:r w:rsidRPr="00E8358C">
        <w:rPr>
          <w:lang w:eastAsia="fr-FR"/>
        </w:rPr>
        <w:t>geaient contre l</w:t>
      </w:r>
      <w:r w:rsidRPr="00E8358C">
        <w:t>es captifs</w:t>
      </w:r>
      <w:r w:rsidRPr="00E8358C">
        <w:rPr>
          <w:lang w:eastAsia="fr-FR"/>
        </w:rPr>
        <w:t xml:space="preserve"> en Afrique. Ensuite, les expéditions me</w:t>
      </w:r>
      <w:r w:rsidRPr="00E8358C">
        <w:rPr>
          <w:lang w:eastAsia="fr-FR"/>
        </w:rPr>
        <w:t>t</w:t>
      </w:r>
      <w:r w:rsidRPr="00E8358C">
        <w:rPr>
          <w:lang w:eastAsia="fr-FR"/>
        </w:rPr>
        <w:t>taient le cap sur les colonies des Amériques, notamment sur</w:t>
      </w:r>
      <w:r w:rsidRPr="00E8358C">
        <w:t xml:space="preserve"> Saint-Domingue considérée comme « l’eldorado des Aquitains »,</w:t>
      </w:r>
      <w:r>
        <w:t> </w:t>
      </w:r>
      <w:r>
        <w:rPr>
          <w:rStyle w:val="Appelnotedebasdep"/>
        </w:rPr>
        <w:footnoteReference w:id="215"/>
      </w:r>
      <w:r>
        <w:t xml:space="preserve"> </w:t>
      </w:r>
      <w:r w:rsidRPr="00E8358C">
        <w:rPr>
          <w:lang w:eastAsia="fr-FR"/>
        </w:rPr>
        <w:t xml:space="preserve">où les déportés étaient débarqués et vendus </w:t>
      </w:r>
      <w:r w:rsidRPr="00E8358C">
        <w:t>avec le statut d’esclave, d</w:t>
      </w:r>
      <w:r w:rsidRPr="00E8358C">
        <w:t>e</w:t>
      </w:r>
      <w:r w:rsidRPr="00E8358C">
        <w:t xml:space="preserve">venant ainsi la propriété exclusive des acquéreurs. L’argent issu de la vente des esclaves servait à acheter des </w:t>
      </w:r>
      <w:r w:rsidRPr="00E8358C">
        <w:rPr>
          <w:lang w:eastAsia="fr-FR"/>
        </w:rPr>
        <w:t xml:space="preserve">denrées </w:t>
      </w:r>
      <w:r w:rsidRPr="00E8358C">
        <w:t>coloniales</w:t>
      </w:r>
      <w:r w:rsidRPr="00E8358C">
        <w:rPr>
          <w:lang w:eastAsia="fr-FR"/>
        </w:rPr>
        <w:t xml:space="preserve"> (sucre, café, c</w:t>
      </w:r>
      <w:r w:rsidRPr="00E8358C">
        <w:rPr>
          <w:lang w:eastAsia="fr-FR"/>
        </w:rPr>
        <w:t>a</w:t>
      </w:r>
      <w:r w:rsidRPr="00E8358C">
        <w:rPr>
          <w:lang w:eastAsia="fr-FR"/>
        </w:rPr>
        <w:t xml:space="preserve">cao, indigo, tabac, vanille) que </w:t>
      </w:r>
      <w:r w:rsidRPr="00E8358C">
        <w:t>les bateaux ramenaient et décha</w:t>
      </w:r>
      <w:r w:rsidRPr="00E8358C">
        <w:t>r</w:t>
      </w:r>
      <w:r w:rsidRPr="00E8358C">
        <w:t>geaient sur les quais des ports de France impliqués dans la traite tra</w:t>
      </w:r>
      <w:r w:rsidRPr="00E8358C">
        <w:t>n</w:t>
      </w:r>
      <w:r w:rsidRPr="00E8358C">
        <w:t>satlantique. Les denrées étaient consommées sur le marché local fra</w:t>
      </w:r>
      <w:r w:rsidRPr="00E8358C">
        <w:t>n</w:t>
      </w:r>
      <w:r w:rsidRPr="00E8358C">
        <w:t>çais ou redistribuées à l’échelle européenne. À chaque fois, il fallait rapporter beaucoup plus de produits coloniaux des Antilles pour r</w:t>
      </w:r>
      <w:r w:rsidRPr="00E8358C">
        <w:t>é</w:t>
      </w:r>
      <w:r w:rsidRPr="00E8358C">
        <w:t>pondre à la demande qui était en forte augmentation en France et en Europe. Donc il fallait aussi amener plus d</w:t>
      </w:r>
      <w:r>
        <w:t>’esclaves dans les Antilles.</w:t>
      </w:r>
    </w:p>
    <w:p w:rsidR="004C50DC" w:rsidRDefault="004C50DC" w:rsidP="004C50DC">
      <w:pPr>
        <w:spacing w:before="120" w:after="120"/>
        <w:jc w:val="both"/>
      </w:pPr>
      <w:r>
        <w:t>[66]</w:t>
      </w:r>
    </w:p>
    <w:p w:rsidR="004C50DC" w:rsidRPr="00E8358C" w:rsidRDefault="004C50DC" w:rsidP="004C50DC">
      <w:pPr>
        <w:spacing w:before="120" w:after="120"/>
        <w:jc w:val="both"/>
      </w:pPr>
      <w:r w:rsidRPr="00E8358C">
        <w:t>Le XVIII</w:t>
      </w:r>
      <w:r w:rsidRPr="00E8358C">
        <w:rPr>
          <w:vertAlign w:val="superscript"/>
        </w:rPr>
        <w:t>e</w:t>
      </w:r>
      <w:r w:rsidRPr="00E8358C">
        <w:t xml:space="preserve"> siècle fut la période de l’apogée de la traite négrière française. Entre 1701 et 1800 ont été effectuées les principales expéd</w:t>
      </w:r>
      <w:r w:rsidRPr="00E8358C">
        <w:t>i</w:t>
      </w:r>
      <w:r w:rsidRPr="00E8358C">
        <w:t xml:space="preserve">tions du commerce négrier et la déportation de plus de la moitié des Africains. </w:t>
      </w:r>
      <w:r w:rsidRPr="00E8358C">
        <w:rPr>
          <w:lang w:eastAsia="fr-FR"/>
        </w:rPr>
        <w:t>La France et les Antilles françaises ont accueilli 1 313 000 esclaves issus de la Traite. La colonie de Saint-Domingue étant la plus prospère aux côtés de la Martinique et de la Guadeloupe avait accuei</w:t>
      </w:r>
      <w:r w:rsidRPr="00E8358C">
        <w:rPr>
          <w:lang w:eastAsia="fr-FR"/>
        </w:rPr>
        <w:t>l</w:t>
      </w:r>
      <w:r w:rsidRPr="00E8358C">
        <w:rPr>
          <w:lang w:eastAsia="fr-FR"/>
        </w:rPr>
        <w:t>li les lots les plus importants d’esclaves</w:t>
      </w:r>
      <w:r>
        <w:rPr>
          <w:lang w:eastAsia="fr-FR"/>
        </w:rPr>
        <w:t> </w:t>
      </w:r>
      <w:r w:rsidRPr="00E8358C">
        <w:rPr>
          <w:rStyle w:val="Appelnotedebasdep"/>
          <w:lang w:eastAsia="fr-FR"/>
        </w:rPr>
        <w:footnoteReference w:id="216"/>
      </w:r>
      <w:r w:rsidRPr="00E8358C">
        <w:rPr>
          <w:lang w:eastAsia="fr-FR"/>
        </w:rPr>
        <w:t xml:space="preserve">. </w:t>
      </w:r>
      <w:r w:rsidRPr="00E8358C">
        <w:t>Michel Hector et Claude Moïse indiquent que, de 1701 à 1753, on recense l’arrivée de 164 850 esclaves dans la colonie de Saint-Domingue. Ce dénombrement t</w:t>
      </w:r>
      <w:r w:rsidRPr="00E8358C">
        <w:t>é</w:t>
      </w:r>
      <w:r w:rsidRPr="00E8358C">
        <w:t>moigne du prodigieux développement économique fondé sur l’exploitation sucrière</w:t>
      </w:r>
      <w:r>
        <w:t> </w:t>
      </w:r>
      <w:r w:rsidRPr="00E8358C">
        <w:rPr>
          <w:rStyle w:val="Appelnotedebasdep"/>
        </w:rPr>
        <w:footnoteReference w:id="217"/>
      </w:r>
      <w:r w:rsidRPr="00E8358C">
        <w:t>. En réalité, le plus grand déploiement s’est produit plus tard à Saint-Domingue : après la guerre de Sept Ans (1756-1763), l’on pouvait compter plus de 500 000 esclaves</w:t>
      </w:r>
      <w:r>
        <w:t> </w:t>
      </w:r>
      <w:r>
        <w:rPr>
          <w:rStyle w:val="Appelnotedebasdep"/>
        </w:rPr>
        <w:footnoteReference w:id="218"/>
      </w:r>
      <w:r w:rsidRPr="00E8358C">
        <w:t xml:space="preserve"> contre </w:t>
      </w:r>
      <w:r w:rsidRPr="00E8358C">
        <w:rPr>
          <w:szCs w:val="26"/>
        </w:rPr>
        <w:t xml:space="preserve">60 000 libres et affranchis </w:t>
      </w:r>
      <w:r w:rsidRPr="00E8358C">
        <w:t>en 1789</w:t>
      </w:r>
      <w:r>
        <w:t> </w:t>
      </w:r>
      <w:r>
        <w:rPr>
          <w:rStyle w:val="Appelnotedebasdep"/>
        </w:rPr>
        <w:footnoteReference w:id="219"/>
      </w:r>
      <w:r w:rsidRPr="00E8358C">
        <w:t>. Comparativement, à la Martin</w:t>
      </w:r>
      <w:r w:rsidRPr="00E8358C">
        <w:t>i</w:t>
      </w:r>
      <w:r w:rsidRPr="00E8358C">
        <w:t>que on dénombrait, en 1789, 10 600 Blancs, 5 200 affranchis et 83 400 esclaves, alors que rien que dans la partie espagnole de l’île d’Haïti, on comptait 30 000 Blancs, 80 000 affranchis et 15 000 escl</w:t>
      </w:r>
      <w:r w:rsidRPr="00E8358C">
        <w:t>a</w:t>
      </w:r>
      <w:r w:rsidRPr="00E8358C">
        <w:t>ves en 1788</w:t>
      </w:r>
      <w:r>
        <w:t> </w:t>
      </w:r>
      <w:r>
        <w:rPr>
          <w:rStyle w:val="Appelnotedebasdep"/>
        </w:rPr>
        <w:footnoteReference w:id="220"/>
      </w:r>
      <w:r w:rsidRPr="00E8358C">
        <w:t xml:space="preserve">. </w:t>
      </w:r>
    </w:p>
    <w:p w:rsidR="004C50DC" w:rsidRPr="00E8358C" w:rsidRDefault="004C50DC" w:rsidP="004C50DC">
      <w:pPr>
        <w:spacing w:before="120" w:after="120"/>
        <w:jc w:val="both"/>
      </w:pPr>
      <w:r w:rsidRPr="00E8358C">
        <w:rPr>
          <w:lang w:eastAsia="fr-FR"/>
        </w:rPr>
        <w:t>En peu de temps, on a assisté à une augmentation de la production de sucre qui a contribué à une baisse du prix sur le marché mondial et à une plus grande consommation en Europe. Ce fut l’établissement de véritables « sociétés esclavagistes »</w:t>
      </w:r>
      <w:r>
        <w:rPr>
          <w:lang w:eastAsia="fr-FR"/>
        </w:rPr>
        <w:t> </w:t>
      </w:r>
      <w:r w:rsidRPr="00E8358C">
        <w:rPr>
          <w:rStyle w:val="Appelnotedebasdep"/>
          <w:lang w:eastAsia="fr-FR"/>
        </w:rPr>
        <w:footnoteReference w:id="221"/>
      </w:r>
      <w:r w:rsidRPr="00E8358C">
        <w:rPr>
          <w:lang w:eastAsia="fr-FR"/>
        </w:rPr>
        <w:t xml:space="preserve">.  </w:t>
      </w:r>
      <w:r w:rsidRPr="00E8358C">
        <w:t>L’esclavage et la Traite des Noirs avaient contribué largement au développement des villes fra</w:t>
      </w:r>
      <w:r w:rsidRPr="00E8358C">
        <w:t>n</w:t>
      </w:r>
      <w:r w:rsidRPr="00E8358C">
        <w:t xml:space="preserve">çaises comme Nantes, Bordeaux, Le Havre ou La Rochelle durant le dernier siècle de l’Ancien Régime. </w:t>
      </w:r>
    </w:p>
    <w:p w:rsidR="004C50DC" w:rsidRDefault="004C50DC" w:rsidP="004C50DC">
      <w:pPr>
        <w:spacing w:before="120" w:after="120"/>
        <w:jc w:val="both"/>
      </w:pPr>
      <w:r>
        <w:t>[67]</w:t>
      </w:r>
    </w:p>
    <w:p w:rsidR="004C50DC" w:rsidRDefault="004C50DC" w:rsidP="004C50DC">
      <w:pPr>
        <w:spacing w:before="120" w:after="120"/>
        <w:jc w:val="both"/>
      </w:pPr>
      <w:r w:rsidRPr="00E8358C">
        <w:t>Au départ, c’est la Compagnie des Indes qui avait l’exclusivité de la traite négrière et de la vente des esclaves. Ce commerce intéressait peu les négociants parce qu’ils devaient acquitter des droits de 20 l</w:t>
      </w:r>
      <w:r w:rsidRPr="00E8358C">
        <w:t>i</w:t>
      </w:r>
      <w:r w:rsidRPr="00E8358C">
        <w:t>vres par esclave. L’augmentation de la demande d’esclaves et leur fo</w:t>
      </w:r>
      <w:r w:rsidRPr="00E8358C">
        <w:t>r</w:t>
      </w:r>
      <w:r w:rsidRPr="00E8358C">
        <w:t>te mortalité dans les Antilles allaient porter les autorités centrales à libéraliser le marché. L’exclusivité qui appartenait à la compagnie des Indes fut assouplie et les droits à acquitter passèrent de 20 livres à 10 livres dans un premier temps, pour être finalement réduits à zéro pour tout esclave déporté, comme l’indiquent des extraits des registres du Conseil d’État en date du 31 juillet 1767 et du 21 mars 1768 (Figures 2 et 3). Les capitaines et les armateurs n’ayant plus d’impôt à payer, la traite négrière d</w:t>
      </w:r>
      <w:r>
        <w:t>evint de plus en plus rentable.</w:t>
      </w:r>
    </w:p>
    <w:p w:rsidR="004C50DC" w:rsidRDefault="004C50DC" w:rsidP="004C50DC">
      <w:pPr>
        <w:spacing w:before="120" w:after="120"/>
        <w:jc w:val="both"/>
      </w:pPr>
      <w:r>
        <w:br w:type="page"/>
      </w:r>
    </w:p>
    <w:p w:rsidR="004C50DC" w:rsidRPr="00E8358C" w:rsidRDefault="004C50DC" w:rsidP="004C50DC">
      <w:pPr>
        <w:spacing w:before="120" w:after="120"/>
        <w:jc w:val="both"/>
      </w:pPr>
    </w:p>
    <w:p w:rsidR="004C50DC" w:rsidRDefault="009B614B" w:rsidP="004C50DC">
      <w:pPr>
        <w:pStyle w:val="fig"/>
        <w:rPr>
          <w:lang w:eastAsia="fr-FR"/>
        </w:rPr>
      </w:pPr>
      <w:r w:rsidRPr="00E8358C">
        <w:rPr>
          <w:noProof/>
          <w:lang w:eastAsia="fr-FR"/>
        </w:rPr>
        <w:drawing>
          <wp:inline distT="0" distB="0" distL="0" distR="0">
            <wp:extent cx="2839720" cy="3474720"/>
            <wp:effectExtent l="25400" t="25400" r="17780" b="17780"/>
            <wp:docPr id="7" name="Image 3" descr="IMG_2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IMG_202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39720" cy="347472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93" w:name="_Toc417146048"/>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pStyle w:val="figst1"/>
        <w:rPr>
          <w:szCs w:val="18"/>
        </w:rPr>
      </w:pPr>
      <w:bookmarkStart w:id="94" w:name="Memoire_fig_02"/>
      <w:r w:rsidRPr="009138F1">
        <w:t xml:space="preserve">Figure </w:t>
      </w:r>
      <w:r w:rsidRPr="009138F1">
        <w:fldChar w:fldCharType="begin"/>
      </w:r>
      <w:r w:rsidR="00EF1554">
        <w:instrText>SEQ</w:instrText>
      </w:r>
      <w:r w:rsidRPr="009138F1">
        <w:instrText xml:space="preserve"> Figure \* ARABIC </w:instrText>
      </w:r>
      <w:r w:rsidRPr="009138F1">
        <w:fldChar w:fldCharType="separate"/>
      </w:r>
      <w:r>
        <w:rPr>
          <w:noProof/>
        </w:rPr>
        <w:t>2</w:t>
      </w:r>
      <w:r w:rsidRPr="009138F1">
        <w:fldChar w:fldCharType="end"/>
      </w:r>
      <w:r w:rsidRPr="009138F1">
        <w:t>. Arrêt du Conseil d’État du Roi concernant le</w:t>
      </w:r>
      <w:bookmarkEnd w:id="93"/>
      <w:r>
        <w:t xml:space="preserve"> </w:t>
      </w:r>
      <w:r w:rsidRPr="009138F1">
        <w:t>commerce des nègres à la côte d’Afrique du 31 juillet 1767.</w:t>
      </w:r>
      <w:r>
        <w:t xml:space="preserve"> </w:t>
      </w:r>
      <w:r w:rsidRPr="00E8358C">
        <w:rPr>
          <w:szCs w:val="18"/>
        </w:rPr>
        <w:t>Source : Exposition « Bordeaux, le co</w:t>
      </w:r>
      <w:r w:rsidRPr="00E8358C">
        <w:rPr>
          <w:szCs w:val="18"/>
        </w:rPr>
        <w:t>m</w:t>
      </w:r>
      <w:r w:rsidRPr="00E8358C">
        <w:rPr>
          <w:szCs w:val="18"/>
        </w:rPr>
        <w:t>merce Atlantique et</w:t>
      </w:r>
      <w:r>
        <w:rPr>
          <w:szCs w:val="18"/>
        </w:rPr>
        <w:t xml:space="preserve"> </w:t>
      </w:r>
      <w:r w:rsidRPr="00E8358C">
        <w:rPr>
          <w:szCs w:val="18"/>
        </w:rPr>
        <w:t>l’esclavage », Musée d’Aquitaine</w:t>
      </w:r>
    </w:p>
    <w:bookmarkEnd w:id="94"/>
    <w:p w:rsidR="004C50DC" w:rsidRDefault="004C50DC" w:rsidP="004C50DC">
      <w:pPr>
        <w:spacing w:before="120" w:after="120"/>
        <w:jc w:val="both"/>
        <w:rPr>
          <w:szCs w:val="18"/>
        </w:rPr>
      </w:pPr>
    </w:p>
    <w:p w:rsidR="004C50DC" w:rsidRDefault="004C50DC" w:rsidP="004C50DC">
      <w:pPr>
        <w:spacing w:before="120" w:after="120"/>
        <w:jc w:val="both"/>
        <w:rPr>
          <w:szCs w:val="18"/>
        </w:rPr>
      </w:pPr>
      <w:r>
        <w:rPr>
          <w:szCs w:val="18"/>
        </w:rPr>
        <w:br w:type="page"/>
        <w:t>[68]</w:t>
      </w:r>
    </w:p>
    <w:p w:rsidR="004C50DC" w:rsidRPr="00E8358C" w:rsidRDefault="004C50DC" w:rsidP="004C50DC">
      <w:pPr>
        <w:spacing w:before="120" w:after="120"/>
        <w:jc w:val="both"/>
        <w:rPr>
          <w:szCs w:val="18"/>
        </w:rPr>
      </w:pPr>
    </w:p>
    <w:p w:rsidR="004C50DC" w:rsidRPr="00E8358C" w:rsidRDefault="009B614B" w:rsidP="004C50DC">
      <w:pPr>
        <w:pStyle w:val="fig"/>
      </w:pPr>
      <w:r w:rsidRPr="00E8358C">
        <w:rPr>
          <w:noProof/>
          <w:lang w:eastAsia="fr-FR"/>
        </w:rPr>
        <w:drawing>
          <wp:inline distT="0" distB="0" distL="0" distR="0">
            <wp:extent cx="3033395" cy="3378200"/>
            <wp:effectExtent l="25400" t="25400" r="14605" b="12700"/>
            <wp:docPr id="8" name="Image 4" descr="IMG_2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IMG_2027"/>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33395" cy="33782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95" w:name="_Toc417146049"/>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pPr>
      <w:bookmarkStart w:id="96" w:name="Memoire_fig_03"/>
      <w:r w:rsidRPr="00E8358C">
        <w:rPr>
          <w:b/>
        </w:rPr>
        <w:t xml:space="preserve">Figure </w:t>
      </w:r>
      <w:r w:rsidRPr="00E8358C">
        <w:rPr>
          <w:b/>
        </w:rPr>
        <w:fldChar w:fldCharType="begin"/>
      </w:r>
      <w:r w:rsidR="00EF1554">
        <w:rPr>
          <w:b/>
        </w:rPr>
        <w:instrText>SEQ</w:instrText>
      </w:r>
      <w:r w:rsidRPr="00E8358C">
        <w:rPr>
          <w:b/>
        </w:rPr>
        <w:instrText xml:space="preserve"> Figure \* ARABIC </w:instrText>
      </w:r>
      <w:r w:rsidRPr="00E8358C">
        <w:rPr>
          <w:b/>
        </w:rPr>
        <w:fldChar w:fldCharType="separate"/>
      </w:r>
      <w:r>
        <w:rPr>
          <w:b/>
          <w:noProof/>
        </w:rPr>
        <w:t>3</w:t>
      </w:r>
      <w:r w:rsidRPr="00E8358C">
        <w:rPr>
          <w:b/>
        </w:rPr>
        <w:fldChar w:fldCharType="end"/>
      </w:r>
      <w:r w:rsidRPr="00E8358C">
        <w:rPr>
          <w:b/>
        </w:rPr>
        <w:t>. Extrait des registres du Conseil d’État du 21 mars 1768.</w:t>
      </w:r>
      <w:bookmarkEnd w:id="95"/>
      <w:r>
        <w:rPr>
          <w:b/>
        </w:rPr>
        <w:t xml:space="preserve"> </w:t>
      </w:r>
      <w:bookmarkEnd w:id="96"/>
      <w:r w:rsidRPr="00E8358C">
        <w:t>Source : Exposition « Bordeaux, le commerce Atlantique</w:t>
      </w:r>
      <w:r>
        <w:t xml:space="preserve"> </w:t>
      </w:r>
      <w:r w:rsidRPr="00E8358C">
        <w:t>et l’esclavage », Musée d’Aquitaine.</w:t>
      </w:r>
    </w:p>
    <w:p w:rsidR="004C50DC" w:rsidRDefault="004C50DC" w:rsidP="004C50DC">
      <w:pPr>
        <w:spacing w:before="120" w:after="120"/>
        <w:jc w:val="both"/>
      </w:pPr>
    </w:p>
    <w:p w:rsidR="004C50DC" w:rsidRPr="00E8358C" w:rsidRDefault="004C50DC" w:rsidP="004C50DC">
      <w:pPr>
        <w:spacing w:before="120" w:after="120"/>
        <w:jc w:val="both"/>
      </w:pPr>
      <w:r w:rsidRPr="00E8358C">
        <w:t>Vers la fin du XVIII</w:t>
      </w:r>
      <w:r w:rsidRPr="00E8358C">
        <w:rPr>
          <w:vertAlign w:val="superscript"/>
        </w:rPr>
        <w:t>e</w:t>
      </w:r>
      <w:r w:rsidRPr="00E8358C">
        <w:t xml:space="preserve"> siècle, au cours des années 1780, les autorités centrales françaises encouragèrent encore plus la Traite en octroyant des primes, sous forme de subvention de plus de 20 livres par esclave déporté d’Afrique</w:t>
      </w:r>
      <w:r>
        <w:t> </w:t>
      </w:r>
      <w:r w:rsidRPr="00E8358C">
        <w:rPr>
          <w:rStyle w:val="Appelnotedebasdep"/>
        </w:rPr>
        <w:footnoteReference w:id="222"/>
      </w:r>
      <w:r w:rsidRPr="00E8358C">
        <w:t>. Cette subvention avait permis la construction de plus grands bateaux pour pouvoir transporter plus d’esclaves. Le pos</w:t>
      </w:r>
      <w:r w:rsidRPr="00E8358C">
        <w:t>i</w:t>
      </w:r>
      <w:r w:rsidRPr="00E8358C">
        <w:t>tionnement de la monarchie a été accueilli favorablement par les n</w:t>
      </w:r>
      <w:r w:rsidRPr="00E8358C">
        <w:t>é</w:t>
      </w:r>
      <w:r w:rsidRPr="00E8358C">
        <w:t>gociants et les armateurs. Ils s’y intéressaient pour pouvoir éponger des dettes et faire fortune. C’était très lucratif, comparativement au commerce de produits comme la farine, moins rentables et très affe</w:t>
      </w:r>
      <w:r w:rsidRPr="00E8358C">
        <w:t>c</w:t>
      </w:r>
      <w:r w:rsidRPr="00E8358C">
        <w:t>tés par la contrebande. Selon Bernard Michon, durant des années, ce</w:t>
      </w:r>
      <w:r w:rsidRPr="00E8358C">
        <w:t>r</w:t>
      </w:r>
      <w:r w:rsidRPr="00E8358C">
        <w:t>tains négociants et armateurs nantais continuèrent activement à prat</w:t>
      </w:r>
      <w:r w:rsidRPr="00E8358C">
        <w:t>i</w:t>
      </w:r>
      <w:r w:rsidRPr="00E8358C">
        <w:t>quer cet abominable trafic de nègres africains bien après son interdi</w:t>
      </w:r>
      <w:r w:rsidRPr="00E8358C">
        <w:t>c</w:t>
      </w:r>
      <w:r w:rsidRPr="00E8358C">
        <w:t>tion en 1817</w:t>
      </w:r>
      <w:r>
        <w:t> </w:t>
      </w:r>
      <w:r>
        <w:rPr>
          <w:rStyle w:val="Appelnotedebasdep"/>
        </w:rPr>
        <w:footnoteReference w:id="223"/>
      </w:r>
      <w:r w:rsidRPr="00E8358C">
        <w:t>. Le cynisme a bien été une des</w:t>
      </w:r>
      <w:r>
        <w:t xml:space="preserve"> [69]</w:t>
      </w:r>
      <w:r w:rsidRPr="00E8358C">
        <w:t xml:space="preserve"> réalités de la traite des Noirs et de l’esclavage. Des hommes de toutes les religions (c</w:t>
      </w:r>
      <w:r w:rsidRPr="00E8358C">
        <w:t>a</w:t>
      </w:r>
      <w:r w:rsidRPr="00E8358C">
        <w:t>tholiques, protestants, juifs…)</w:t>
      </w:r>
      <w:r>
        <w:t> </w:t>
      </w:r>
      <w:r>
        <w:rPr>
          <w:rStyle w:val="Appelnotedebasdep"/>
        </w:rPr>
        <w:footnoteReference w:id="224"/>
      </w:r>
      <w:r w:rsidRPr="00E8358C">
        <w:t xml:space="preserve"> y participaient. </w:t>
      </w:r>
    </w:p>
    <w:p w:rsidR="004C50DC" w:rsidRPr="00E8358C" w:rsidRDefault="004C50DC" w:rsidP="004C50DC">
      <w:pPr>
        <w:spacing w:before="120" w:after="120"/>
        <w:jc w:val="both"/>
      </w:pPr>
      <w:r w:rsidRPr="00E8358C">
        <w:t>La Traite transatlantique fut également facilitée par les progrès de la marine à voiles au XVIII</w:t>
      </w:r>
      <w:r w:rsidRPr="00E8358C">
        <w:rPr>
          <w:vertAlign w:val="superscript"/>
        </w:rPr>
        <w:t>e</w:t>
      </w:r>
      <w:r w:rsidRPr="00E8358C">
        <w:t xml:space="preserve"> siècle. Les nouvelles améliorations re</w:t>
      </w:r>
      <w:r w:rsidRPr="00E8358C">
        <w:t>n</w:t>
      </w:r>
      <w:r w:rsidRPr="00E8358C">
        <w:t>daient les navires plus performants et plus sûrs pour cette longue tr</w:t>
      </w:r>
      <w:r w:rsidRPr="00E8358C">
        <w:t>a</w:t>
      </w:r>
      <w:r w:rsidRPr="00E8358C">
        <w:t>versée transocéanique. Des progrès notamment dans la structure des navires, le carénage, le convoyage, dans la fabrication des voiles et des cordages ont été marquants. Les techniques de navigation avaient aussi évolué. La possibilité d’avoir des globes et des cartes marines pour se repérer à travers les océans, l’apport d’importants équip</w:t>
      </w:r>
      <w:r w:rsidRPr="00E8358C">
        <w:t>e</w:t>
      </w:r>
      <w:r w:rsidRPr="00E8358C">
        <w:t>ments comme le compas, l’octant, le chronomètre, l’invention de la longue-vue au début du XVII</w:t>
      </w:r>
      <w:r w:rsidRPr="00E8358C">
        <w:rPr>
          <w:vertAlign w:val="superscript"/>
        </w:rPr>
        <w:t>e</w:t>
      </w:r>
      <w:r w:rsidRPr="00E8358C">
        <w:t xml:space="preserve"> siècle, et le sablier ont été déterminants dans le calcul des longitudes. Les expéditions de Bougainville, de Cook et de Lapérouse ont révolutionné le monde maritime. Grâce à cette percée technologique, la ville maritime de Nantes, par exemple, a vu sa population doubler, passant de 40 000 à 80 000 habitants, et a subi des transformations considérables au plan urbanistique</w:t>
      </w:r>
      <w:r>
        <w:t> </w:t>
      </w:r>
      <w:r>
        <w:rPr>
          <w:rStyle w:val="Appelnotedebasdep"/>
        </w:rPr>
        <w:footnoteReference w:id="225"/>
      </w:r>
      <w:r w:rsidRPr="00E8358C">
        <w:t>. Les échanges commerciaux avec les colonies françaises des Antilles fa</w:t>
      </w:r>
      <w:r w:rsidRPr="00E8358C">
        <w:t>i</w:t>
      </w:r>
      <w:r w:rsidRPr="00E8358C">
        <w:t>saient la prospérité d’une ville comme Bordeaux au XVIII</w:t>
      </w:r>
      <w:r w:rsidRPr="00E8358C">
        <w:rPr>
          <w:vertAlign w:val="superscript"/>
        </w:rPr>
        <w:t>e</w:t>
      </w:r>
      <w:r w:rsidRPr="00E8358C">
        <w:t xml:space="preserve"> siècle. Le « commerce en droiture »</w:t>
      </w:r>
      <w:r>
        <w:t> </w:t>
      </w:r>
      <w:r>
        <w:rPr>
          <w:rStyle w:val="Appelnotedebasdep"/>
        </w:rPr>
        <w:footnoteReference w:id="226"/>
      </w:r>
      <w:r w:rsidRPr="00E8358C">
        <w:t xml:space="preserve"> exercé par les négociants aquitains, su</w:t>
      </w:r>
      <w:r w:rsidRPr="00E8358C">
        <w:t>r</w:t>
      </w:r>
      <w:r w:rsidRPr="00E8358C">
        <w:t>tout bordelais, devint constitutif du système esclavagiste. Bordeaux et Nantes étaient aussi des ports corsaires</w:t>
      </w:r>
      <w:r>
        <w:t> </w:t>
      </w:r>
      <w:r>
        <w:rPr>
          <w:rStyle w:val="Appelnotedebasdep"/>
        </w:rPr>
        <w:footnoteReference w:id="227"/>
      </w:r>
      <w:r w:rsidRPr="00E8358C">
        <w:t xml:space="preserve">. À la fin de chaque conflit, les bateaux de guerre étaient transformés en navires négriers pour pouvoir être utilisés et rentabilisés. </w:t>
      </w:r>
    </w:p>
    <w:p w:rsidR="004C50DC" w:rsidRPr="00E8358C" w:rsidRDefault="004C50DC" w:rsidP="004C50DC">
      <w:pPr>
        <w:spacing w:before="120" w:after="120"/>
        <w:jc w:val="both"/>
      </w:pPr>
      <w:r w:rsidRPr="00E8358C">
        <w:t>Il fallait des mois pour réaliser une opération de traite transatlant</w:t>
      </w:r>
      <w:r w:rsidRPr="00E8358C">
        <w:t>i</w:t>
      </w:r>
      <w:r w:rsidRPr="00E8358C">
        <w:t>que. Ces opérations étaient infernales pour les captifs. Une fois les esclaves chargés à fond de cale, commençait la traversée. La violence y était toujours présente. Dans un documentaire historique sur la</w:t>
      </w:r>
      <w:r>
        <w:t xml:space="preserve"> [70]</w:t>
      </w:r>
      <w:r w:rsidRPr="00E8358C">
        <w:t xml:space="preserve"> </w:t>
      </w:r>
      <w:r w:rsidRPr="00E8358C">
        <w:rPr>
          <w:i/>
        </w:rPr>
        <w:t>Licorne</w:t>
      </w:r>
      <w:r w:rsidRPr="00E8358C">
        <w:t>, un bateau négrier présenté au musée d’Aquitaine</w:t>
      </w:r>
      <w:r>
        <w:t> </w:t>
      </w:r>
      <w:r>
        <w:rPr>
          <w:rStyle w:val="Appelnotedebasdep"/>
        </w:rPr>
        <w:footnoteReference w:id="228"/>
      </w:r>
      <w:r w:rsidRPr="00E8358C">
        <w:t>, l’on peut visionner les péripéties de la traversée de l’Atlantique par les captifs. Leurs conditions de vie étaient vraiment abominables. Ho</w:t>
      </w:r>
      <w:r w:rsidRPr="00E8358C">
        <w:t>m</w:t>
      </w:r>
      <w:r w:rsidRPr="00E8358C">
        <w:t>mes, femmes et enfants étaient enchaînés et entassés, chacun n’ayant qu’un espace d’à peine un mètre carré au sol, sans pouvoir se tenir debout. Ils se trouvaient dans des situations de promiscuité intenable et d’hygiène très limitées (Figures</w:t>
      </w:r>
      <w:r>
        <w:t xml:space="preserve"> </w:t>
      </w:r>
      <w:r w:rsidRPr="00E8358C">
        <w:t xml:space="preserve">4 et 5). Évidemment, les familles étaient séparées. On prenait soin essentiellement de leur santé pour préserver leur force musculaire afin d’avoir des esclaves de valeur à vendre sur les marchés coloniaux.  </w:t>
      </w:r>
    </w:p>
    <w:p w:rsidR="004C50DC" w:rsidRDefault="004C50DC" w:rsidP="004C50DC">
      <w:pPr>
        <w:spacing w:before="120" w:after="120"/>
        <w:jc w:val="both"/>
      </w:pPr>
      <w:r>
        <w:br w:type="page"/>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044190" cy="3248660"/>
            <wp:effectExtent l="0" t="0" r="0" b="0"/>
            <wp:docPr id="9" name="Image 5" descr="Slaveshippos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descr="Slaveshipposter"/>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4190" cy="3248660"/>
                    </a:xfrm>
                    <a:prstGeom prst="rect">
                      <a:avLst/>
                    </a:prstGeom>
                    <a:noFill/>
                    <a:ln>
                      <a:noFill/>
                    </a:ln>
                  </pic:spPr>
                </pic:pic>
              </a:graphicData>
            </a:graphic>
          </wp:inline>
        </w:drawing>
      </w:r>
    </w:p>
    <w:p w:rsidR="004C50DC" w:rsidRDefault="004C50DC" w:rsidP="004C50DC">
      <w:pPr>
        <w:ind w:right="90" w:firstLine="0"/>
        <w:jc w:val="both"/>
        <w:rPr>
          <w:sz w:val="20"/>
        </w:rPr>
      </w:pPr>
      <w:bookmarkStart w:id="97" w:name="_Toc417146050"/>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9138F1" w:rsidRDefault="004C50DC" w:rsidP="004C50DC">
      <w:pPr>
        <w:pStyle w:val="figst1"/>
      </w:pPr>
      <w:bookmarkStart w:id="98" w:name="Memoire_fig_04"/>
      <w:r w:rsidRPr="009138F1">
        <w:t xml:space="preserve">Figure </w:t>
      </w:r>
      <w:r w:rsidRPr="009138F1">
        <w:fldChar w:fldCharType="begin"/>
      </w:r>
      <w:r w:rsidR="00EF1554">
        <w:instrText>SEQ</w:instrText>
      </w:r>
      <w:r w:rsidRPr="009138F1">
        <w:instrText xml:space="preserve"> Figure \* ARABIC </w:instrText>
      </w:r>
      <w:r w:rsidRPr="009138F1">
        <w:fldChar w:fldCharType="separate"/>
      </w:r>
      <w:r>
        <w:rPr>
          <w:noProof/>
        </w:rPr>
        <w:t>4</w:t>
      </w:r>
      <w:r w:rsidRPr="009138F1">
        <w:fldChar w:fldCharType="end"/>
      </w:r>
      <w:r w:rsidRPr="009138F1">
        <w:t>. Arrimage d’esclaves dans des coupes de navires brita</w:t>
      </w:r>
      <w:r w:rsidRPr="009138F1">
        <w:t>n</w:t>
      </w:r>
      <w:r w:rsidRPr="009138F1">
        <w:t xml:space="preserve">niques en vertu de la loi sur la traite des esclaves réglementés de </w:t>
      </w:r>
      <w:r w:rsidRPr="009138F1">
        <w:rPr>
          <w:bCs/>
        </w:rPr>
        <w:t xml:space="preserve">1788. </w:t>
      </w:r>
      <w:r w:rsidRPr="009138F1">
        <w:t>Plan du navire de Liverpool selon Clarkson, président de la Société des Amis des Noirs de Londres, Londres, 1789.</w:t>
      </w:r>
      <w:bookmarkEnd w:id="97"/>
      <w:r w:rsidRPr="009138F1">
        <w:t xml:space="preserve"> </w:t>
      </w:r>
    </w:p>
    <w:p w:rsidR="004C50DC" w:rsidRPr="009138F1" w:rsidRDefault="004C50DC" w:rsidP="004C50DC">
      <w:pPr>
        <w:pStyle w:val="figst1"/>
      </w:pPr>
      <w:r w:rsidRPr="009138F1">
        <w:t>Source : Exposition « Bordeaux, le commerce Atlantique et l’esclavage », Musée d’Aquitaine</w:t>
      </w:r>
    </w:p>
    <w:bookmarkEnd w:id="98"/>
    <w:p w:rsidR="004C50DC" w:rsidRDefault="004C50DC" w:rsidP="004C50DC">
      <w:pPr>
        <w:spacing w:before="120" w:after="120"/>
        <w:jc w:val="both"/>
        <w:rPr>
          <w:szCs w:val="18"/>
        </w:rPr>
      </w:pPr>
    </w:p>
    <w:p w:rsidR="004C50DC" w:rsidRDefault="004C50DC" w:rsidP="004C50DC">
      <w:pPr>
        <w:spacing w:before="120" w:after="120"/>
        <w:jc w:val="both"/>
        <w:rPr>
          <w:szCs w:val="18"/>
        </w:rPr>
      </w:pPr>
      <w:r>
        <w:rPr>
          <w:szCs w:val="18"/>
        </w:rPr>
        <w:br w:type="page"/>
        <w:t>[71]</w:t>
      </w:r>
    </w:p>
    <w:p w:rsidR="004C50DC" w:rsidRPr="009138F1" w:rsidRDefault="004C50DC" w:rsidP="004C50DC">
      <w:pPr>
        <w:spacing w:before="120" w:after="120"/>
        <w:jc w:val="both"/>
        <w:rPr>
          <w:szCs w:val="18"/>
        </w:rPr>
      </w:pPr>
    </w:p>
    <w:p w:rsidR="004C50DC" w:rsidRPr="009138F1" w:rsidRDefault="009B614B" w:rsidP="004C50DC">
      <w:pPr>
        <w:pStyle w:val="fig"/>
      </w:pPr>
      <w:r w:rsidRPr="009138F1">
        <w:rPr>
          <w:noProof/>
          <w:lang w:eastAsia="fr-FR"/>
        </w:rPr>
        <w:drawing>
          <wp:inline distT="0" distB="0" distL="0" distR="0">
            <wp:extent cx="5077460" cy="1796415"/>
            <wp:effectExtent l="0" t="0" r="0" b="0"/>
            <wp:docPr id="10" name="Image 6" descr="IMG_2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IMG_207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7460" cy="1796415"/>
                    </a:xfrm>
                    <a:prstGeom prst="rect">
                      <a:avLst/>
                    </a:prstGeom>
                    <a:noFill/>
                    <a:ln>
                      <a:noFill/>
                    </a:ln>
                  </pic:spPr>
                </pic:pic>
              </a:graphicData>
            </a:graphic>
          </wp:inline>
        </w:drawing>
      </w:r>
    </w:p>
    <w:p w:rsidR="004C50DC" w:rsidRDefault="004C50DC" w:rsidP="004C50DC">
      <w:pPr>
        <w:ind w:right="90" w:firstLine="0"/>
        <w:jc w:val="both"/>
        <w:rPr>
          <w:sz w:val="20"/>
        </w:rPr>
      </w:pPr>
      <w:bookmarkStart w:id="99" w:name="_Toc417146051"/>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9138F1" w:rsidRDefault="004C50DC" w:rsidP="004C50DC">
      <w:pPr>
        <w:pStyle w:val="figst1"/>
        <w:rPr>
          <w:bCs/>
        </w:rPr>
      </w:pPr>
      <w:bookmarkStart w:id="100" w:name="Memoire_fig_05"/>
      <w:r w:rsidRPr="009138F1">
        <w:t xml:space="preserve">Figure </w:t>
      </w:r>
      <w:r w:rsidRPr="009138F1">
        <w:fldChar w:fldCharType="begin"/>
      </w:r>
      <w:r w:rsidR="00EF1554">
        <w:instrText>SEQ</w:instrText>
      </w:r>
      <w:r w:rsidRPr="009138F1">
        <w:instrText xml:space="preserve"> Figure \* ARABIC </w:instrText>
      </w:r>
      <w:r w:rsidRPr="009138F1">
        <w:fldChar w:fldCharType="separate"/>
      </w:r>
      <w:r>
        <w:rPr>
          <w:noProof/>
        </w:rPr>
        <w:t>5</w:t>
      </w:r>
      <w:r w:rsidRPr="009138F1">
        <w:fldChar w:fldCharType="end"/>
      </w:r>
      <w:r w:rsidRPr="009138F1">
        <w:t>. Vue de l’arrimage d’esclaves dans une coupe d’un navire britann</w:t>
      </w:r>
      <w:r w:rsidRPr="009138F1">
        <w:t>i</w:t>
      </w:r>
      <w:r w:rsidRPr="009138F1">
        <w:t>que en vertu de la loi sur la traite des esclaves réglementés de 1788</w:t>
      </w:r>
      <w:r w:rsidRPr="009138F1">
        <w:rPr>
          <w:bCs/>
        </w:rPr>
        <w:t>.</w:t>
      </w:r>
      <w:bookmarkEnd w:id="99"/>
    </w:p>
    <w:p w:rsidR="004C50DC" w:rsidRPr="009138F1" w:rsidRDefault="004C50DC" w:rsidP="004C50DC">
      <w:pPr>
        <w:pStyle w:val="figst1"/>
      </w:pPr>
      <w:r w:rsidRPr="009138F1">
        <w:t>Source : Exposition « Bordeaux, le commerce Atlantique et l’esclavage », Musée d’Aquitaine</w:t>
      </w:r>
    </w:p>
    <w:bookmarkEnd w:id="100"/>
    <w:p w:rsidR="004C50DC" w:rsidRPr="00E8358C" w:rsidRDefault="004C50DC" w:rsidP="004C50DC">
      <w:pPr>
        <w:spacing w:before="120" w:after="120"/>
        <w:jc w:val="both"/>
        <w:rPr>
          <w:i/>
          <w:szCs w:val="18"/>
        </w:rPr>
      </w:pPr>
    </w:p>
    <w:p w:rsidR="004C50DC" w:rsidRPr="00E8358C" w:rsidRDefault="004C50DC" w:rsidP="004C50DC">
      <w:pPr>
        <w:spacing w:before="120" w:after="120"/>
        <w:jc w:val="both"/>
      </w:pPr>
      <w:r w:rsidRPr="00E8358C">
        <w:t>Le cahier de bord</w:t>
      </w:r>
      <w:r>
        <w:t> </w:t>
      </w:r>
      <w:r w:rsidRPr="00E8358C">
        <w:rPr>
          <w:rStyle w:val="Appelnotedebasdep"/>
        </w:rPr>
        <w:footnoteReference w:id="229"/>
      </w:r>
      <w:r w:rsidRPr="00E8358C">
        <w:t xml:space="preserve"> d’un capitaine de navire dans lequel des croix représentent le nombre d’esclaves morts ou disparus durant la trave</w:t>
      </w:r>
      <w:r w:rsidRPr="00E8358C">
        <w:t>r</w:t>
      </w:r>
      <w:r w:rsidRPr="00E8358C">
        <w:t>sée est important pour le travail de mémoire sur cette tragédie. Les raisons invoquées sont souvent essentiellement liées à la maladie, pa</w:t>
      </w:r>
      <w:r w:rsidRPr="00E8358C">
        <w:t>r</w:t>
      </w:r>
      <w:r w:rsidRPr="00E8358C">
        <w:t>ticulièrement au scorbut qui fait de véritables ravages chez tous les membres  d’équipage et les captifs. Selon Olivier Pétré-Grenouilleau, la mortalité des déportés sur les navires français lors de la traversée aurait été comprise entre 11,9% et 13,25%</w:t>
      </w:r>
      <w:r>
        <w:t> </w:t>
      </w:r>
      <w:r w:rsidRPr="00E8358C">
        <w:rPr>
          <w:rStyle w:val="Appelnotedebasdep"/>
        </w:rPr>
        <w:footnoteReference w:id="230"/>
      </w:r>
      <w:r w:rsidRPr="00E8358C">
        <w:t>. Dans le cas des expéd</w:t>
      </w:r>
      <w:r w:rsidRPr="00E8358C">
        <w:t>i</w:t>
      </w:r>
      <w:r w:rsidRPr="00E8358C">
        <w:t>tions négrières nantaises étudiées par Olivier Pétré-Grenouilleau, le taux de mortalité des déportés pouvait atteindre jusqu’à 13,6%</w:t>
      </w:r>
      <w:r>
        <w:t> </w:t>
      </w:r>
      <w:r w:rsidRPr="00E8358C">
        <w:rPr>
          <w:rStyle w:val="Appelnotedebasdep"/>
        </w:rPr>
        <w:footnoteReference w:id="231"/>
      </w:r>
      <w:r w:rsidRPr="00E8358C">
        <w:t xml:space="preserve">. </w:t>
      </w:r>
      <w:r w:rsidRPr="00E8358C">
        <w:rPr>
          <w:lang w:eastAsia="fr-FR"/>
        </w:rPr>
        <w:t>Sur ce plan, la France se classe au deuxième rang derrière l’Espagne, la mortalité des captifs durant la traversée sur les navires espagnols a</w:t>
      </w:r>
      <w:r w:rsidRPr="00E8358C">
        <w:rPr>
          <w:lang w:eastAsia="fr-FR"/>
        </w:rPr>
        <w:t>t</w:t>
      </w:r>
      <w:r w:rsidRPr="00E8358C">
        <w:rPr>
          <w:lang w:eastAsia="fr-FR"/>
        </w:rPr>
        <w:t xml:space="preserve">teignant les13,8%. </w:t>
      </w:r>
    </w:p>
    <w:p w:rsidR="004C50DC" w:rsidRPr="00E8358C" w:rsidRDefault="004C50DC" w:rsidP="004C50DC">
      <w:pPr>
        <w:spacing w:before="120" w:after="120"/>
        <w:jc w:val="both"/>
      </w:pPr>
      <w:r w:rsidRPr="00E8358C">
        <w:t>Pour les nègres déportés d’Afrique et embarqués sur les navires négriers, le suicide par noyade constituait une forme de résistance. C’était la seule issue qui s’offrait à eux pour fuir l’esclavage dans les Amériques. On enregistrait aussi au moins un cas de soulèvement sur les bateaux négriers tous les huit voyages</w:t>
      </w:r>
      <w:r>
        <w:t> </w:t>
      </w:r>
      <w:r w:rsidRPr="00E8358C">
        <w:rPr>
          <w:rStyle w:val="Appelnotedebasdep"/>
        </w:rPr>
        <w:footnoteReference w:id="232"/>
      </w:r>
      <w:r w:rsidRPr="00E8358C">
        <w:t>. Pour les armateurs, ch</w:t>
      </w:r>
      <w:r w:rsidRPr="00E8358C">
        <w:t>a</w:t>
      </w:r>
      <w:r w:rsidRPr="00E8358C">
        <w:t xml:space="preserve">que décès représentant un manque à gagner, il fallait par tous les moyens prévenir et réduire les pertes. L’historien américain Marcus Rediker, dans son essai </w:t>
      </w:r>
      <w:r w:rsidRPr="00E8358C">
        <w:rPr>
          <w:i/>
        </w:rPr>
        <w:t>À bord du négrier</w:t>
      </w:r>
      <w:r w:rsidRPr="00E8358C">
        <w:t xml:space="preserve"> décrit avec</w:t>
      </w:r>
      <w:r>
        <w:t xml:space="preserve"> [72]</w:t>
      </w:r>
      <w:r w:rsidRPr="00E8358C">
        <w:t xml:space="preserve"> précision l’organisation maritime de la traite au XVIII</w:t>
      </w:r>
      <w:r w:rsidRPr="00E8358C">
        <w:rPr>
          <w:vertAlign w:val="superscript"/>
        </w:rPr>
        <w:t>e</w:t>
      </w:r>
      <w:r>
        <w:t xml:space="preserve"> s</w:t>
      </w:r>
      <w:r w:rsidRPr="00E8358C">
        <w:t>iècle. Il montre à quel point la traversée était pénible et souligne : « ce livre a été très do</w:t>
      </w:r>
      <w:r w:rsidRPr="00E8358C">
        <w:t>u</w:t>
      </w:r>
      <w:r w:rsidRPr="00E8358C">
        <w:t>loureux à écrire et, si j’ai réussi à rendre justice à mon sujet, il sera douloureux à lire »</w:t>
      </w:r>
      <w:r>
        <w:t> </w:t>
      </w:r>
      <w:r>
        <w:rPr>
          <w:rStyle w:val="Appelnotedebasdep"/>
        </w:rPr>
        <w:footnoteReference w:id="233"/>
      </w:r>
      <w:r w:rsidRPr="00E8358C">
        <w:t>. Dans tout l’ouvrage, le lecteur peut sentir l’odeur du sang, de la sueur, des excréments, de la maladie et de la mort des captifs</w:t>
      </w:r>
      <w:r>
        <w:t> </w:t>
      </w:r>
      <w:r>
        <w:rPr>
          <w:rStyle w:val="Appelnotedebasdep"/>
        </w:rPr>
        <w:footnoteReference w:id="234"/>
      </w:r>
      <w:r w:rsidRPr="00E8358C">
        <w:t>. La traversée annonce déjà l’enfer des plantations qui les attend et porte souvent les déportés africains à recourir au su</w:t>
      </w:r>
      <w:r w:rsidRPr="00E8358C">
        <w:t>i</w:t>
      </w:r>
      <w:r w:rsidRPr="00E8358C">
        <w:t>cide.</w:t>
      </w:r>
    </w:p>
    <w:p w:rsidR="004C50DC" w:rsidRPr="00E8358C" w:rsidRDefault="004C50DC" w:rsidP="004C50DC">
      <w:pPr>
        <w:spacing w:before="120" w:after="120"/>
        <w:jc w:val="both"/>
      </w:pPr>
      <w:r w:rsidRPr="00E8358C">
        <w:t>Des cas de viol ont été enregistrés lors des traversées. Un capitaine négrier a dû consigner dans son journal son acte délictueux sur une jeune négresse qu’il avait menée dans sa cabine</w:t>
      </w:r>
      <w:r>
        <w:t> </w:t>
      </w:r>
      <w:r>
        <w:rPr>
          <w:rStyle w:val="Appelnotedebasdep"/>
        </w:rPr>
        <w:footnoteReference w:id="235"/>
      </w:r>
      <w:r w:rsidRPr="00E8358C">
        <w:t>. Il emploie un e</w:t>
      </w:r>
      <w:r w:rsidRPr="00E8358C">
        <w:t>u</w:t>
      </w:r>
      <w:r w:rsidRPr="00E8358C">
        <w:t>phémisme en disant « qu’il l’exploitait deux fois ». Pourquoi ce cap</w:t>
      </w:r>
      <w:r w:rsidRPr="00E8358C">
        <w:t>i</w:t>
      </w:r>
      <w:r w:rsidRPr="00E8358C">
        <w:t xml:space="preserve">taine s’était-il senti obligé de mentionner dans le livre de bord qu’il avait abusé de cette jeune fille ? Il ne faut surtout pas y voir un cas de conscience, mais plutôt une crainte d’être dénoncé par les espions de l’armateur ou du négociant sur le navire. De plus, si elle était tombée enceinte, sa valeur marchande en aurait été diminuée, portant ainsi atteinte aux intérêts de l’armateur. Puisque, selon l’adage, « faute avouée est à demi pardonnée », le capitaine consigne donc son forfait dans son registre dans l’espoir de trouver une entente avec l’armateur. </w:t>
      </w:r>
    </w:p>
    <w:p w:rsidR="004C50DC" w:rsidRPr="00E8358C" w:rsidRDefault="004C50DC" w:rsidP="004C50DC">
      <w:pPr>
        <w:spacing w:before="120" w:after="120"/>
        <w:jc w:val="both"/>
        <w:rPr>
          <w:bCs/>
        </w:rPr>
      </w:pPr>
      <w:r w:rsidRPr="00E8358C">
        <w:t>Alexander</w:t>
      </w:r>
      <w:r w:rsidRPr="00E8358C">
        <w:rPr>
          <w:bCs/>
        </w:rPr>
        <w:t xml:space="preserve"> Falconbridge note que l</w:t>
      </w:r>
      <w:r w:rsidRPr="00E8358C">
        <w:t>es matelots esclavagistes étaient autorisés à avoir des rapports sexuels avec les femmes noires capt</w:t>
      </w:r>
      <w:r w:rsidRPr="00E8358C">
        <w:t>u</w:t>
      </w:r>
      <w:r w:rsidRPr="00E8358C">
        <w:t>rées et embarquées, sans leur consentement. À bord, ils les abusaient sexuellement à volonté ; néanmoins ils pouvaient être reconnus co</w:t>
      </w:r>
      <w:r w:rsidRPr="00E8358C">
        <w:t>u</w:t>
      </w:r>
      <w:r w:rsidRPr="00E8358C">
        <w:t>pables, être blâmés ou sanctionnés pour des actes de brutalité excess</w:t>
      </w:r>
      <w:r w:rsidRPr="00E8358C">
        <w:t>i</w:t>
      </w:r>
      <w:r w:rsidRPr="00E8358C">
        <w:t>ve considérés comme une honte pour la nature humaine. Les viols r</w:t>
      </w:r>
      <w:r w:rsidRPr="00E8358C">
        <w:t>é</w:t>
      </w:r>
      <w:r w:rsidRPr="00E8358C">
        <w:t>pétés et tolérés lors de la traversée ont conduit souvent les captives à se suicider en sautant par-dessus bord des navires négriers</w:t>
      </w:r>
      <w:r>
        <w:t> </w:t>
      </w:r>
      <w:r>
        <w:rPr>
          <w:rStyle w:val="Appelnotedebasdep"/>
        </w:rPr>
        <w:footnoteReference w:id="236"/>
      </w:r>
      <w:r w:rsidRPr="00E8358C">
        <w:t xml:space="preserve">. </w:t>
      </w:r>
    </w:p>
    <w:p w:rsidR="004C50DC" w:rsidRDefault="004C50DC" w:rsidP="004C50DC">
      <w:pPr>
        <w:pStyle w:val="Citation0"/>
      </w:pPr>
    </w:p>
    <w:p w:rsidR="004C50DC" w:rsidRDefault="004C50DC" w:rsidP="004C50DC">
      <w:pPr>
        <w:pStyle w:val="Citation0"/>
      </w:pPr>
      <w:r w:rsidRPr="00E8358C">
        <w:t>The common sailors are allowed to have intercourse with such of the black women</w:t>
      </w:r>
      <w:r>
        <w:t xml:space="preserve"> [73]</w:t>
      </w:r>
      <w:r w:rsidRPr="00E8358C">
        <w:t xml:space="preserve"> whose consent they can procure. […]The officers are permi</w:t>
      </w:r>
      <w:r w:rsidRPr="00E8358C">
        <w:t>t</w:t>
      </w:r>
      <w:r w:rsidRPr="00E8358C">
        <w:t xml:space="preserve">ted to indulge </w:t>
      </w:r>
      <w:r w:rsidRPr="00B956E6">
        <w:t>their</w:t>
      </w:r>
      <w:r w:rsidRPr="00E8358C">
        <w:t xml:space="preserve"> passions among them at pleasure, and sometimes are guilty of such brutal excesses, as disgrace human nature</w:t>
      </w:r>
      <w:r>
        <w:t> </w:t>
      </w:r>
      <w:r>
        <w:rPr>
          <w:rStyle w:val="Appelnotedebasdep"/>
        </w:rPr>
        <w:footnoteReference w:id="237"/>
      </w:r>
      <w:r>
        <w:t>.</w:t>
      </w:r>
    </w:p>
    <w:p w:rsidR="004C50DC" w:rsidRPr="00E8358C" w:rsidRDefault="004C50DC" w:rsidP="004C50DC">
      <w:pPr>
        <w:pStyle w:val="Citation0"/>
      </w:pPr>
    </w:p>
    <w:p w:rsidR="004C50DC" w:rsidRPr="00E8358C" w:rsidRDefault="004C50DC" w:rsidP="004C50DC">
      <w:pPr>
        <w:spacing w:before="120" w:after="120"/>
        <w:jc w:val="both"/>
      </w:pPr>
      <w:r w:rsidRPr="00E8358C">
        <w:t>En France, des débats sur l’ampleur de la traite négrière sur le plan statistique sont souvent relancés. Mais peut-on poser la question d’un crime contre l’humanité en simples termes de statistique ? Car derrière les données statistiques et les chiffres, les conditions inhumaines av</w:t>
      </w:r>
      <w:r w:rsidRPr="00E8358C">
        <w:t>é</w:t>
      </w:r>
      <w:r w:rsidRPr="00E8358C">
        <w:t>rées permettent d’avoir une vision plus large du système esclavagiste.</w:t>
      </w:r>
    </w:p>
    <w:p w:rsidR="004C50DC" w:rsidRDefault="004C50DC" w:rsidP="004C50DC">
      <w:pPr>
        <w:spacing w:before="120" w:after="120"/>
        <w:jc w:val="both"/>
      </w:pPr>
      <w:r w:rsidRPr="00E8358C">
        <w:t>Dans le courant du XVIII</w:t>
      </w:r>
      <w:r w:rsidRPr="00E8358C">
        <w:rPr>
          <w:vertAlign w:val="superscript"/>
        </w:rPr>
        <w:t>e</w:t>
      </w:r>
      <w:r w:rsidRPr="00E8358C">
        <w:t xml:space="preserve"> siècle, on a recensé la présence d’environ 4000 Noirs à Bordeaux. Dans cette population, on déno</w:t>
      </w:r>
      <w:r w:rsidRPr="00E8358C">
        <w:t>m</w:t>
      </w:r>
      <w:r w:rsidRPr="00E8358C">
        <w:t>brait des esclaves qui s’y retrouvaient pour apprendre un métier. Ils venaient des Antilles et étaient envoyés en France par leur maître pour apprendre et devenir par la suite domestiques, menuisiers, sabotiers ou couturiers à leur retour dans les habitations. Ces esclaves étaient communément appelés « gens de couleur » et avaient un statut de d</w:t>
      </w:r>
      <w:r w:rsidRPr="00E8358C">
        <w:t>o</w:t>
      </w:r>
      <w:r w:rsidRPr="00E8358C">
        <w:t>mestiques. En  réalité, ils vivaient dans la condition d’esclaves. La question de leur statut se posait parce qu’il ne pouvait pas y avoir d’esclaves sur le sol de France selon l’Édit de Louis X le Hutin</w:t>
      </w:r>
      <w:r>
        <w:t> </w:t>
      </w:r>
      <w:r>
        <w:rPr>
          <w:rStyle w:val="Appelnotedebasdep"/>
        </w:rPr>
        <w:footnoteReference w:id="238"/>
      </w:r>
      <w:r w:rsidRPr="00E8358C">
        <w:t>, p</w:t>
      </w:r>
      <w:r w:rsidRPr="00E8358C">
        <w:t>u</w:t>
      </w:r>
      <w:r w:rsidRPr="00E8358C">
        <w:t>blié le 3 juillet 1315. Plus tard, le développement et l’institutionnalisation de la Traite en France allaient conduire à un changement de statut des Noirs et faire place à l’acceptation de l’esclavage (Édit d’octobre 1716)</w:t>
      </w:r>
      <w:r>
        <w:t> </w:t>
      </w:r>
      <w:r>
        <w:rPr>
          <w:rStyle w:val="Appelnotedebasdep"/>
        </w:rPr>
        <w:footnoteReference w:id="239"/>
      </w:r>
      <w:r w:rsidRPr="00E8358C">
        <w:t xml:space="preserve"> et au contrôle du séjour des Noirs en Métropole (déclaration royale de 1738)</w:t>
      </w:r>
      <w:r>
        <w:t> </w:t>
      </w:r>
      <w:r>
        <w:rPr>
          <w:rStyle w:val="Appelnotedebasdep"/>
        </w:rPr>
        <w:footnoteReference w:id="240"/>
      </w:r>
      <w:r w:rsidRPr="00E8358C">
        <w:t>. Les multiples prescri</w:t>
      </w:r>
      <w:r w:rsidRPr="00E8358C">
        <w:t>p</w:t>
      </w:r>
      <w:r w:rsidRPr="00E8358C">
        <w:t>tions repérées dans le texte de 1716 et celui de 1738 visent à abolir l’affranchissement des esclaves par leur seule présence sur le sol fra</w:t>
      </w:r>
      <w:r w:rsidRPr="00E8358C">
        <w:t>n</w:t>
      </w:r>
      <w:r w:rsidRPr="00E8358C">
        <w:t>çais</w:t>
      </w:r>
      <w:r>
        <w:t> </w:t>
      </w:r>
      <w:r>
        <w:rPr>
          <w:rStyle w:val="Appelnotedebasdep"/>
        </w:rPr>
        <w:footnoteReference w:id="241"/>
      </w:r>
      <w:r w:rsidRPr="00E8358C">
        <w:t xml:space="preserve">. </w:t>
      </w:r>
    </w:p>
    <w:p w:rsidR="004C50DC" w:rsidRPr="00E8358C" w:rsidRDefault="004C50DC" w:rsidP="004C50DC">
      <w:pPr>
        <w:spacing w:before="120" w:after="120"/>
        <w:jc w:val="both"/>
      </w:pPr>
      <w:r>
        <w:t>[74]</w:t>
      </w:r>
    </w:p>
    <w:p w:rsidR="004C50DC" w:rsidRPr="00E8358C" w:rsidRDefault="004C50DC" w:rsidP="004C50DC">
      <w:pPr>
        <w:spacing w:before="120" w:after="120"/>
        <w:jc w:val="both"/>
      </w:pPr>
      <w:r w:rsidRPr="00E8358C">
        <w:t>À la fin du XVIII</w:t>
      </w:r>
      <w:r w:rsidRPr="00E8358C">
        <w:rPr>
          <w:vertAlign w:val="superscript"/>
        </w:rPr>
        <w:t>e</w:t>
      </w:r>
      <w:r w:rsidRPr="00E8358C">
        <w:t xml:space="preserve"> siècle, la question du statut ne se posait plus. Dans certains documents officiels, on mentionne « l’État des noirs, esclaves de l’un ou de l’autre sexe », ou encore des « domestiques forcés » qui vont des jeunes enfants jusqu’aux vieillards</w:t>
      </w:r>
      <w:r>
        <w:t> </w:t>
      </w:r>
      <w:r>
        <w:rPr>
          <w:rStyle w:val="Appelnotedebasdep"/>
        </w:rPr>
        <w:footnoteReference w:id="242"/>
      </w:r>
      <w:r w:rsidRPr="00E8358C">
        <w:t>. La prése</w:t>
      </w:r>
      <w:r w:rsidRPr="00E8358C">
        <w:t>n</w:t>
      </w:r>
      <w:r w:rsidRPr="00E8358C">
        <w:t>ce d’une population réduite en esclavage était incontestable, quo</w:t>
      </w:r>
      <w:r w:rsidRPr="00E8358C">
        <w:t>i</w:t>
      </w:r>
      <w:r w:rsidRPr="00E8358C">
        <w:t>que, à leur sujet, l’image des atrocités produites dans les colonies eut été a</w:t>
      </w:r>
      <w:r w:rsidRPr="00E8358C">
        <w:t>t</w:t>
      </w:r>
      <w:r w:rsidRPr="00E8358C">
        <w:t>ténuée et différente. Des affranchis</w:t>
      </w:r>
      <w:r>
        <w:t> </w:t>
      </w:r>
      <w:r>
        <w:rPr>
          <w:rStyle w:val="Appelnotedebasdep"/>
        </w:rPr>
        <w:footnoteReference w:id="243"/>
      </w:r>
      <w:r w:rsidRPr="00E8358C">
        <w:t xml:space="preserve"> et des libres de couleur avaient été aussi signalés dans la ville de Bordeaux à l’époque.</w:t>
      </w:r>
    </w:p>
    <w:p w:rsidR="004C50DC" w:rsidRPr="00792DC7" w:rsidRDefault="004C50DC" w:rsidP="004C50DC">
      <w:pPr>
        <w:spacing w:before="120" w:after="120"/>
        <w:jc w:val="both"/>
        <w:rPr>
          <w:lang w:eastAsia="en-CA"/>
        </w:rPr>
      </w:pPr>
      <w:r w:rsidRPr="00E8358C">
        <w:rPr>
          <w:lang w:eastAsia="fr-FR"/>
        </w:rPr>
        <w:t>L’insurrection des esclaves dans la colonie de Saint-Domingue (22 août 1791)</w:t>
      </w:r>
      <w:r>
        <w:rPr>
          <w:lang w:eastAsia="fr-FR"/>
        </w:rPr>
        <w:t> </w:t>
      </w:r>
      <w:r>
        <w:rPr>
          <w:rStyle w:val="Appelnotedebasdep"/>
          <w:lang w:eastAsia="fr-FR"/>
        </w:rPr>
        <w:footnoteReference w:id="244"/>
      </w:r>
      <w:r w:rsidRPr="00E8358C">
        <w:rPr>
          <w:lang w:eastAsia="fr-FR"/>
        </w:rPr>
        <w:t>, la crainte de voir l’Angleterre s’emparer des colonies françaises et l’instabilité politique créée par la Révolution française (1789) sur le plan interne avaient porté le gouvernement français, à l’instigation de Robespierre et des députés de la Convention, à abolir pour la première fois l’esclavage le 4 février 1794</w:t>
      </w:r>
      <w:r>
        <w:rPr>
          <w:lang w:eastAsia="fr-FR"/>
        </w:rPr>
        <w:t> </w:t>
      </w:r>
      <w:r>
        <w:rPr>
          <w:rStyle w:val="Appelnotedebasdep"/>
          <w:lang w:eastAsia="fr-FR"/>
        </w:rPr>
        <w:footnoteReference w:id="245"/>
      </w:r>
      <w:r w:rsidRPr="00E8358C">
        <w:rPr>
          <w:lang w:eastAsia="fr-FR"/>
        </w:rPr>
        <w:t>,</w:t>
      </w:r>
      <w:r w:rsidRPr="00E8358C">
        <w:rPr>
          <w:lang w:eastAsia="en-CA"/>
        </w:rPr>
        <w:t xml:space="preserve"> quatre ans après l’adoption par l’Assemblée nationale de la Déclaration des droits de l’homme et du citoyen</w:t>
      </w:r>
      <w:r w:rsidRPr="00792DC7">
        <w:rPr>
          <w:lang w:eastAsia="en-CA"/>
        </w:rPr>
        <w:t>. L’esclavage fut rétabli en 1802 ; mais sous l’impulsion de Victor Schœlcher, le 27 avril 1848, le gouvernement provisoire de la République française promulgua le décret abolissant à nouveau l’esclavage</w:t>
      </w:r>
      <w:r>
        <w:rPr>
          <w:lang w:eastAsia="en-CA"/>
        </w:rPr>
        <w:t> </w:t>
      </w:r>
      <w:r>
        <w:rPr>
          <w:rStyle w:val="Appelnotedebasdep"/>
          <w:lang w:eastAsia="en-CA"/>
        </w:rPr>
        <w:footnoteReference w:id="246"/>
      </w:r>
      <w:r w:rsidRPr="00792DC7">
        <w:rPr>
          <w:lang w:eastAsia="en-CA"/>
        </w:rPr>
        <w:t>. Aujourd’hui, à la place des préjugés de co</w:t>
      </w:r>
      <w:r w:rsidRPr="00792DC7">
        <w:rPr>
          <w:lang w:eastAsia="en-CA"/>
        </w:rPr>
        <w:t>u</w:t>
      </w:r>
      <w:r w:rsidRPr="00792DC7">
        <w:rPr>
          <w:lang w:eastAsia="en-CA"/>
        </w:rPr>
        <w:t>leur que l’esclavage des Noirs a provoqués, le métissage culturel et la m</w:t>
      </w:r>
      <w:r w:rsidRPr="00792DC7">
        <w:rPr>
          <w:lang w:eastAsia="en-CA"/>
        </w:rPr>
        <w:t>i</w:t>
      </w:r>
      <w:r w:rsidRPr="00792DC7">
        <w:rPr>
          <w:lang w:eastAsia="en-CA"/>
        </w:rPr>
        <w:t xml:space="preserve">gration des populations des anciennes colonies vers la France [75] sont aussi des conséquences contemporaines de l’esclavage. </w:t>
      </w:r>
    </w:p>
    <w:p w:rsidR="004C50DC" w:rsidRPr="00792DC7" w:rsidRDefault="004C50DC" w:rsidP="004C50DC">
      <w:pPr>
        <w:spacing w:before="120" w:after="120"/>
        <w:jc w:val="both"/>
        <w:rPr>
          <w:lang w:eastAsia="en-CA"/>
        </w:rPr>
      </w:pPr>
    </w:p>
    <w:p w:rsidR="004C50DC" w:rsidRPr="00E8358C" w:rsidRDefault="004C50DC" w:rsidP="004C50DC">
      <w:pPr>
        <w:pStyle w:val="planche"/>
      </w:pPr>
      <w:bookmarkStart w:id="101" w:name="_Toc423347281"/>
      <w:bookmarkStart w:id="102" w:name="_Toc442280459"/>
      <w:bookmarkStart w:id="103" w:name="Memoire_chap_II_2"/>
      <w:r>
        <w:t>2.2. Patrimonialisation</w:t>
      </w:r>
      <w:r>
        <w:br/>
      </w:r>
      <w:r w:rsidRPr="00E8358C">
        <w:t>des mémoires de l’esclavage :</w:t>
      </w:r>
      <w:r>
        <w:br/>
      </w:r>
      <w:r w:rsidRPr="00E8358C">
        <w:t>un même vocable pour plusieurs  mémoires</w:t>
      </w:r>
      <w:bookmarkEnd w:id="101"/>
      <w:bookmarkEnd w:id="102"/>
    </w:p>
    <w:bookmarkEnd w:id="103"/>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lang w:eastAsia="en-CA"/>
        </w:rPr>
      </w:pPr>
      <w:r w:rsidRPr="00E8358C">
        <w:t>À travers le monde, f</w:t>
      </w:r>
      <w:r w:rsidRPr="00792DC7">
        <w:t>orce est de constater que certaines situations s’apparentent encore à l’esclavage</w:t>
      </w:r>
      <w:r>
        <w:t> </w:t>
      </w:r>
      <w:r>
        <w:rPr>
          <w:rStyle w:val="Appelnotedebasdep"/>
        </w:rPr>
        <w:footnoteReference w:id="247"/>
      </w:r>
      <w:r w:rsidRPr="00792DC7">
        <w:t>. L</w:t>
      </w:r>
      <w:r w:rsidRPr="00E8358C">
        <w:t>a problématique de sa mémo</w:t>
      </w:r>
      <w:r w:rsidRPr="00E8358C">
        <w:t>i</w:t>
      </w:r>
      <w:r w:rsidRPr="00E8358C">
        <w:t>re vogue entre une amnésie collective et un refus de ce passé. Dans le débat public international, tout le phénomène de « mémorialisation » et de « patrimonialisation » de l’esclavage date des années 1990. Le projet de la « Route de l’esclave » de l’UNESCO a encouragé la mu</w:t>
      </w:r>
      <w:r w:rsidRPr="00E8358C">
        <w:t>l</w:t>
      </w:r>
      <w:r w:rsidRPr="00E8358C">
        <w:t>tiplication du mémoriel, donc de la mémoire.</w:t>
      </w:r>
      <w:r w:rsidRPr="00E8358C">
        <w:rPr>
          <w:lang w:eastAsia="en-CA"/>
        </w:rPr>
        <w:t xml:space="preserve"> Les deux dernières d</w:t>
      </w:r>
      <w:r w:rsidRPr="00E8358C">
        <w:rPr>
          <w:lang w:eastAsia="en-CA"/>
        </w:rPr>
        <w:t>é</w:t>
      </w:r>
      <w:r w:rsidRPr="00E8358C">
        <w:rPr>
          <w:lang w:eastAsia="en-CA"/>
        </w:rPr>
        <w:t>cennies furent celles de l’émergence d’</w:t>
      </w:r>
      <w:r w:rsidRPr="00E8358C">
        <w:t>u</w:t>
      </w:r>
      <w:r w:rsidRPr="00E8358C">
        <w:rPr>
          <w:lang w:eastAsia="en-CA"/>
        </w:rPr>
        <w:t>ne vague mémorielle en lien avec l’esclavage. Dans plusieurs villes à travers le monde, lieux-cadres de cette histoire et de ces mémoires, se sont multipliés les co</w:t>
      </w:r>
      <w:r w:rsidRPr="00E8358C">
        <w:rPr>
          <w:lang w:eastAsia="en-CA"/>
        </w:rPr>
        <w:t>l</w:t>
      </w:r>
      <w:r w:rsidRPr="00E8358C">
        <w:rPr>
          <w:lang w:eastAsia="en-CA"/>
        </w:rPr>
        <w:t>loques, les circuits, les expositions, la restauration et l’interprétation des lieux de mémoire. L’ouverture de musées à Ouidah (Bénin), à G</w:t>
      </w:r>
      <w:r w:rsidRPr="00E8358C">
        <w:rPr>
          <w:lang w:eastAsia="en-CA"/>
        </w:rPr>
        <w:t>o</w:t>
      </w:r>
      <w:r w:rsidRPr="00E8358C">
        <w:rPr>
          <w:lang w:eastAsia="en-CA"/>
        </w:rPr>
        <w:t>rée (Sénégal), à Nantes ou à Bordeaux (France), à Port-au-Prince (Haïti), à Liverpool (Grande-Bretagne) et à Matanzas (Cuba)… a été aussi très significative</w:t>
      </w:r>
      <w:r>
        <w:rPr>
          <w:lang w:eastAsia="en-CA"/>
        </w:rPr>
        <w:t> </w:t>
      </w:r>
      <w:r>
        <w:rPr>
          <w:rStyle w:val="Appelnotedebasdep"/>
          <w:lang w:eastAsia="en-CA"/>
        </w:rPr>
        <w:footnoteReference w:id="248"/>
      </w:r>
      <w:r>
        <w:rPr>
          <w:lang w:eastAsia="en-CA"/>
        </w:rPr>
        <w:t>.</w:t>
      </w:r>
    </w:p>
    <w:p w:rsidR="004C50DC" w:rsidRPr="00E8358C" w:rsidRDefault="004C50DC" w:rsidP="004C50DC">
      <w:pPr>
        <w:spacing w:before="120" w:after="120"/>
        <w:jc w:val="both"/>
        <w:rPr>
          <w:lang w:eastAsia="en-CA"/>
        </w:rPr>
      </w:pPr>
      <w:r w:rsidRPr="00E8358C">
        <w:rPr>
          <w:lang w:eastAsia="en-CA"/>
        </w:rPr>
        <w:t xml:space="preserve">Certains pays, comme la France, commencent à s’intéresser à l’enseignement de l’histoire des Traites, des esclavages et de leurs abolitions dans leur programme scolaire. </w:t>
      </w:r>
      <w:r w:rsidRPr="00E8358C">
        <w:t>Les chercheurs, pour la pl</w:t>
      </w:r>
      <w:r w:rsidRPr="00E8358C">
        <w:t>u</w:t>
      </w:r>
      <w:r w:rsidRPr="00E8358C">
        <w:t>part des historiens, des anthropologues, des philosophes et des arché</w:t>
      </w:r>
      <w:r w:rsidRPr="00E8358C">
        <w:t>o</w:t>
      </w:r>
      <w:r w:rsidRPr="00E8358C">
        <w:t>logues, cherchent à comprendre le comment et le pourquoi de cette émergence des processus de patrimonialisation des mémoires de l’esclavage. Sur quelles mémoires, quels lieux et quels objets se foc</w:t>
      </w:r>
      <w:r w:rsidRPr="00E8358C">
        <w:t>a</w:t>
      </w:r>
      <w:r w:rsidRPr="00E8358C">
        <w:t>lisent ces processus ? Et pourquoi ? Les questions ont été</w:t>
      </w:r>
      <w:r>
        <w:t xml:space="preserve"> [76]</w:t>
      </w:r>
      <w:r w:rsidRPr="00E8358C">
        <w:t xml:space="preserve"> posées aussi sur les traces et le poids de ces mémoires dans la mémoire co</w:t>
      </w:r>
      <w:r w:rsidRPr="00E8358C">
        <w:t>l</w:t>
      </w:r>
      <w:r w:rsidRPr="00E8358C">
        <w:t xml:space="preserve">lective de chaque pays étant donné que l’expérience de l’esclavage est diverse dans l’espace transatlantique. </w:t>
      </w:r>
    </w:p>
    <w:p w:rsidR="004C50DC" w:rsidRPr="00E8358C" w:rsidRDefault="004C50DC" w:rsidP="004C50DC">
      <w:pPr>
        <w:spacing w:before="120" w:after="120"/>
        <w:jc w:val="both"/>
      </w:pPr>
      <w:r w:rsidRPr="00E8358C">
        <w:t>Tout cela soulève aussi d’autres questionnements quant aux mot</w:t>
      </w:r>
      <w:r w:rsidRPr="00E8358C">
        <w:t>i</w:t>
      </w:r>
      <w:r w:rsidRPr="00E8358C">
        <w:t>vations des pays adhérents à cette mobilisation mémorielle. Ne s’agit-il pas là d’une manière pour les puissances coloniales de se délivrer de ce triste passé ou d’une forme de réhabilitation du système coloniali</w:t>
      </w:r>
      <w:r w:rsidRPr="00E8358C">
        <w:t>s</w:t>
      </w:r>
      <w:r w:rsidRPr="00E8358C">
        <w:t>te pour montrer son bien-fondé et son bon côté ? N’est-ce pas là une révision historique qui consiste à justifier la primauté des puissances coloniales et démontrer l’influence de leur culture sur le reste du monde jadis colonisé ? Peut-on croire effectivement à une repentance, du moins à une reconnaissance assumée quand on analyse le discours prononcé par le président français, Nicolas Sarkozy</w:t>
      </w:r>
      <w:r>
        <w:t> </w:t>
      </w:r>
      <w:r>
        <w:rPr>
          <w:rStyle w:val="Appelnotedebasdep"/>
        </w:rPr>
        <w:footnoteReference w:id="249"/>
      </w:r>
      <w:r w:rsidRPr="00E8358C">
        <w:t>, au Sénégal en 2007 ? Le discours de Sarkozy met en lumière l’image instituée du colonisé « paresseux et ingrat » et occupe « la bonne place dans la di</w:t>
      </w:r>
      <w:r w:rsidRPr="00E8358C">
        <w:t>a</w:t>
      </w:r>
      <w:r w:rsidRPr="00E8358C">
        <w:t>lectique : ennoblissement du colonisateur et abaissement de l’ex-colonisé »</w:t>
      </w:r>
      <w:r>
        <w:t> </w:t>
      </w:r>
      <w:r>
        <w:rPr>
          <w:rStyle w:val="Appelnotedebasdep"/>
        </w:rPr>
        <w:footnoteReference w:id="250"/>
      </w:r>
      <w:r w:rsidRPr="00E8358C">
        <w:t>. Il vient conforter les réserves et les avis on ne peut plus sceptiques émis sur les démarches mémorielles d’aujourd’hui. Bouda Etemad, dans son dernier ouvrage</w:t>
      </w:r>
      <w:r>
        <w:t> </w:t>
      </w:r>
      <w:r>
        <w:rPr>
          <w:rStyle w:val="Appelnotedebasdep"/>
        </w:rPr>
        <w:footnoteReference w:id="251"/>
      </w:r>
      <w:r w:rsidRPr="00E8358C">
        <w:t>, traite justement de ce caractère ambigu de l’héritage colonial esclavagiste.</w:t>
      </w:r>
    </w:p>
    <w:p w:rsidR="004C50DC" w:rsidRDefault="004C50DC" w:rsidP="004C50DC">
      <w:pPr>
        <w:spacing w:before="120" w:after="120"/>
        <w:jc w:val="both"/>
      </w:pPr>
      <w:bookmarkStart w:id="104" w:name="_Toc423347282"/>
      <w:bookmarkStart w:id="105" w:name="_Toc442280460"/>
      <w:r>
        <w:t>[77]</w:t>
      </w:r>
    </w:p>
    <w:p w:rsidR="004C50DC" w:rsidRDefault="004C50DC" w:rsidP="004C50DC">
      <w:pPr>
        <w:spacing w:before="120" w:after="120"/>
        <w:jc w:val="both"/>
      </w:pPr>
    </w:p>
    <w:p w:rsidR="004C50DC" w:rsidRPr="00E8358C" w:rsidRDefault="004C50DC" w:rsidP="004C50DC">
      <w:pPr>
        <w:pStyle w:val="a"/>
      </w:pPr>
      <w:r w:rsidRPr="00E8358C">
        <w:t>2.2.1. En Europe</w:t>
      </w:r>
      <w:bookmarkEnd w:id="104"/>
      <w:bookmarkEnd w:id="105"/>
    </w:p>
    <w:p w:rsidR="004C50DC" w:rsidRDefault="004C50DC" w:rsidP="004C50DC">
      <w:pPr>
        <w:spacing w:before="120" w:after="120"/>
        <w:jc w:val="both"/>
      </w:pPr>
    </w:p>
    <w:p w:rsidR="004C50DC" w:rsidRPr="00E8358C" w:rsidRDefault="004C50DC" w:rsidP="004C50DC">
      <w:pPr>
        <w:spacing w:before="120" w:after="120"/>
        <w:jc w:val="both"/>
        <w:rPr>
          <w:lang w:eastAsia="en-CA"/>
        </w:rPr>
      </w:pPr>
      <w:r w:rsidRPr="00E8358C">
        <w:t>Depuis les années 1990, en Europe, les initiatives visant à invent</w:t>
      </w:r>
      <w:r w:rsidRPr="00E8358C">
        <w:t>o</w:t>
      </w:r>
      <w:r w:rsidRPr="00E8358C">
        <w:t>rier et à considérer les lieux, les monuments historiques, les représe</w:t>
      </w:r>
      <w:r w:rsidRPr="00E8358C">
        <w:t>n</w:t>
      </w:r>
      <w:r w:rsidRPr="00E8358C">
        <w:t xml:space="preserve">tations de l’esclavage comme patrimoines se sont multipliées. </w:t>
      </w:r>
      <w:r w:rsidRPr="00E8358C">
        <w:rPr>
          <w:lang w:eastAsia="en-CA"/>
        </w:rPr>
        <w:t>Le la</w:t>
      </w:r>
      <w:r w:rsidRPr="00E8358C">
        <w:rPr>
          <w:lang w:eastAsia="en-CA"/>
        </w:rPr>
        <w:t>n</w:t>
      </w:r>
      <w:r w:rsidRPr="00E8358C">
        <w:rPr>
          <w:lang w:eastAsia="en-CA"/>
        </w:rPr>
        <w:t>cement en 1994 du projet de la « Route de l’esclave</w:t>
      </w:r>
      <w:r>
        <w:rPr>
          <w:lang w:eastAsia="en-CA"/>
        </w:rPr>
        <w:t> </w:t>
      </w:r>
      <w:r>
        <w:rPr>
          <w:rStyle w:val="Appelnotedebasdep"/>
          <w:lang w:eastAsia="en-CA"/>
        </w:rPr>
        <w:footnoteReference w:id="252"/>
      </w:r>
      <w:r w:rsidRPr="00E8358C">
        <w:rPr>
          <w:lang w:eastAsia="en-CA"/>
        </w:rPr>
        <w:t> » à Ouidah au Bénin par l’UNESCO, la proclamation par les Nations unies en 1998 du 23 août comme « Journée internationale du souvenir de la traite négrière et de son abolition »</w:t>
      </w:r>
      <w:r>
        <w:rPr>
          <w:lang w:eastAsia="en-CA"/>
        </w:rPr>
        <w:t> </w:t>
      </w:r>
      <w:r>
        <w:rPr>
          <w:rStyle w:val="Appelnotedebasdep"/>
          <w:lang w:eastAsia="en-CA"/>
        </w:rPr>
        <w:footnoteReference w:id="253"/>
      </w:r>
      <w:r w:rsidRPr="00E8358C">
        <w:rPr>
          <w:lang w:eastAsia="en-CA"/>
        </w:rPr>
        <w:t>, la reconnaissance simultanée en 2001 par la France de l’esclavage comme crime contre l’humanité (Loi Taubira, 10 mai 2001), et la Conférence mondiale contre le racisme, la discrimination raciale, la xénophobie et l’intolérance associées à la Traite négrière et à l’esclavage (Déclaration de Durban, 2001)</w:t>
      </w:r>
      <w:r>
        <w:rPr>
          <w:lang w:eastAsia="en-CA"/>
        </w:rPr>
        <w:t> </w:t>
      </w:r>
      <w:r>
        <w:rPr>
          <w:rStyle w:val="Appelnotedebasdep"/>
          <w:lang w:eastAsia="en-CA"/>
        </w:rPr>
        <w:footnoteReference w:id="254"/>
      </w:r>
      <w:r w:rsidRPr="00E8358C">
        <w:rPr>
          <w:lang w:eastAsia="en-CA"/>
        </w:rPr>
        <w:t xml:space="preserve"> ont été des événements les plus marquants</w:t>
      </w:r>
      <w:r>
        <w:rPr>
          <w:lang w:eastAsia="en-CA"/>
        </w:rPr>
        <w:t xml:space="preserve"> [78]</w:t>
      </w:r>
      <w:r w:rsidRPr="00E8358C">
        <w:rPr>
          <w:lang w:eastAsia="en-CA"/>
        </w:rPr>
        <w:t xml:space="preserve"> dans la marche vers la patr</w:t>
      </w:r>
      <w:r w:rsidRPr="00E8358C">
        <w:rPr>
          <w:lang w:eastAsia="en-CA"/>
        </w:rPr>
        <w:t>i</w:t>
      </w:r>
      <w:r w:rsidRPr="00E8358C">
        <w:rPr>
          <w:lang w:eastAsia="en-CA"/>
        </w:rPr>
        <w:t>monialisation des mémoires de l’esclavage et de la traite négrière. La célébration de 2004 comme « Année internationale de commém</w:t>
      </w:r>
      <w:r w:rsidRPr="00E8358C">
        <w:rPr>
          <w:lang w:eastAsia="en-CA"/>
        </w:rPr>
        <w:t>o</w:t>
      </w:r>
      <w:r w:rsidRPr="00E8358C">
        <w:rPr>
          <w:lang w:eastAsia="en-CA"/>
        </w:rPr>
        <w:t xml:space="preserve">ration de la lutte contre l’esclavage et de son abolition » </w:t>
      </w:r>
      <w:r w:rsidRPr="00E8358C">
        <w:t>commémorait le bicentenaire de l’Indépendance d’Haïti en tant que première Rép</w:t>
      </w:r>
      <w:r w:rsidRPr="00E8358C">
        <w:t>u</w:t>
      </w:r>
      <w:r w:rsidRPr="00E8358C">
        <w:t>blique noire. L’UNESCO a porté ce projet de l’Assemblée générale des Nations unies qui a donné au monde entier l’occasion de s’assurer du devoir de mémoire de cette tragédie sans précédent</w:t>
      </w:r>
      <w:r>
        <w:t> </w:t>
      </w:r>
      <w:r>
        <w:rPr>
          <w:rStyle w:val="Appelnotedebasdep"/>
        </w:rPr>
        <w:footnoteReference w:id="255"/>
      </w:r>
      <w:r w:rsidRPr="00E8358C">
        <w:t xml:space="preserve">. </w:t>
      </w:r>
      <w:r w:rsidRPr="00E8358C">
        <w:rPr>
          <w:lang w:eastAsia="en-CA"/>
        </w:rPr>
        <w:t>Avec en o</w:t>
      </w:r>
      <w:r w:rsidRPr="00E8358C">
        <w:rPr>
          <w:lang w:eastAsia="en-CA"/>
        </w:rPr>
        <w:t>u</w:t>
      </w:r>
      <w:r w:rsidRPr="00E8358C">
        <w:rPr>
          <w:lang w:eastAsia="en-CA"/>
        </w:rPr>
        <w:t>tre la commémoration, depuis 2008, du 25 mars comme « Journée inte</w:t>
      </w:r>
      <w:r w:rsidRPr="00E8358C">
        <w:rPr>
          <w:lang w:eastAsia="en-CA"/>
        </w:rPr>
        <w:t>r</w:t>
      </w:r>
      <w:r w:rsidRPr="00E8358C">
        <w:rPr>
          <w:lang w:eastAsia="en-CA"/>
        </w:rPr>
        <w:t xml:space="preserve">nationale </w:t>
      </w:r>
      <w:r w:rsidRPr="00E8358C">
        <w:t xml:space="preserve">de commémoration des victimes </w:t>
      </w:r>
      <w:r w:rsidRPr="00E8358C">
        <w:rPr>
          <w:lang w:eastAsia="en-CA"/>
        </w:rPr>
        <w:t>de l’esclavage et de la traite négrière transatlantique », il s’agit là d’étapes décisives à l’échelle internationale</w:t>
      </w:r>
      <w:r>
        <w:rPr>
          <w:lang w:eastAsia="en-CA"/>
        </w:rPr>
        <w:t> </w:t>
      </w:r>
      <w:r>
        <w:rPr>
          <w:rStyle w:val="Appelnotedebasdep"/>
          <w:lang w:eastAsia="en-CA"/>
        </w:rPr>
        <w:footnoteReference w:id="256"/>
      </w:r>
      <w:r>
        <w:rPr>
          <w:lang w:eastAsia="en-CA"/>
        </w:rPr>
        <w:t>.</w:t>
      </w:r>
    </w:p>
    <w:p w:rsidR="004C50DC" w:rsidRPr="00E8358C" w:rsidRDefault="004C50DC" w:rsidP="004C50DC">
      <w:pPr>
        <w:spacing w:before="120" w:after="120"/>
        <w:jc w:val="both"/>
      </w:pPr>
      <w:r w:rsidRPr="00E8358C">
        <w:rPr>
          <w:lang w:eastAsia="en-CA"/>
        </w:rPr>
        <w:t>En Angleterre, la patrimonialisation de la mémoire de l’esclavage est considérée comme un « devoir de mémoire ». La ville de Live</w:t>
      </w:r>
      <w:r w:rsidRPr="00E8358C">
        <w:rPr>
          <w:lang w:eastAsia="en-CA"/>
        </w:rPr>
        <w:t>r</w:t>
      </w:r>
      <w:r w:rsidRPr="00E8358C">
        <w:rPr>
          <w:lang w:eastAsia="en-CA"/>
        </w:rPr>
        <w:t>pool, qui fut le premier port anglais avec 4894 expéditions négrières, a inauguré un musée de l’esclavage de portée internationale (Musée i</w:t>
      </w:r>
      <w:r w:rsidRPr="00E8358C">
        <w:rPr>
          <w:lang w:eastAsia="en-CA"/>
        </w:rPr>
        <w:t>n</w:t>
      </w:r>
      <w:r w:rsidRPr="00E8358C">
        <w:rPr>
          <w:lang w:eastAsia="en-CA"/>
        </w:rPr>
        <w:t>ternational de l’esclavage) le 23 août 2007</w:t>
      </w:r>
      <w:r>
        <w:rPr>
          <w:lang w:eastAsia="en-CA"/>
        </w:rPr>
        <w:t> </w:t>
      </w:r>
      <w:r>
        <w:rPr>
          <w:rStyle w:val="Appelnotedebasdep"/>
          <w:lang w:eastAsia="en-CA"/>
        </w:rPr>
        <w:footnoteReference w:id="257"/>
      </w:r>
      <w:r w:rsidRPr="00E8358C">
        <w:rPr>
          <w:lang w:eastAsia="en-CA"/>
        </w:rPr>
        <w:t xml:space="preserve"> qui fait le pont entre le présent et le passé historique. Les problèmes des droits de l’homme et des discriminations raciales sont intégrés à la trame de l’exposition pour établir leurs liens avec le passé colonial esclavagiste. </w:t>
      </w:r>
    </w:p>
    <w:p w:rsidR="004C50DC" w:rsidRPr="00E8358C" w:rsidRDefault="004C50DC" w:rsidP="004C50DC">
      <w:pPr>
        <w:spacing w:before="120" w:after="120"/>
        <w:jc w:val="both"/>
      </w:pPr>
      <w:r w:rsidRPr="00E8358C">
        <w:rPr>
          <w:lang w:eastAsia="en-CA"/>
        </w:rPr>
        <w:t xml:space="preserve">Nous n’avons pas pu visiter </w:t>
      </w:r>
      <w:r w:rsidRPr="00E8358C">
        <w:t>l’exposition sur l’esclavage à Live</w:t>
      </w:r>
      <w:r w:rsidRPr="00E8358C">
        <w:t>r</w:t>
      </w:r>
      <w:r w:rsidRPr="00E8358C">
        <w:t>pool, mais pour ce que nous avons vu surtout sur la toile, nous tro</w:t>
      </w:r>
      <w:r w:rsidRPr="00E8358C">
        <w:t>u</w:t>
      </w:r>
      <w:r w:rsidRPr="00E8358C">
        <w:t>vons qu’elle est passionnante et très bien documentée. Les commissa</w:t>
      </w:r>
      <w:r w:rsidRPr="00E8358C">
        <w:t>i</w:t>
      </w:r>
      <w:r w:rsidRPr="00E8358C">
        <w:t>res de l’exposition savent comment susciter l’émotion. Le directeur, David Fleming, s’attend déjà aux débats : « Ce n’est pas un musée que l’on pourrait qualifier d’</w:t>
      </w:r>
      <w:r w:rsidRPr="00E8358C">
        <w:rPr>
          <w:i/>
        </w:rPr>
        <w:t xml:space="preserve">espace neutre </w:t>
      </w:r>
      <w:r w:rsidRPr="00E8358C">
        <w:t xml:space="preserve">– c’est un lieu d’engagement, de controverse, mais aussi </w:t>
      </w:r>
      <w:r>
        <w:t xml:space="preserve">[79] </w:t>
      </w:r>
      <w:r w:rsidRPr="00E8358C">
        <w:t>d’honnêteté et de mobilisation »</w:t>
      </w:r>
      <w:r>
        <w:t> </w:t>
      </w:r>
      <w:r>
        <w:rPr>
          <w:rStyle w:val="Appelnotedebasdep"/>
        </w:rPr>
        <w:footnoteReference w:id="258"/>
      </w:r>
      <w:r w:rsidRPr="00E8358C">
        <w:t>. Mais justement quelque part,  il y a un biais. Le sujet paraît maquillé. Il aurait été préférable de voir la ville de Liverpool, premier port n</w:t>
      </w:r>
      <w:r w:rsidRPr="00E8358C">
        <w:t>é</w:t>
      </w:r>
      <w:r w:rsidRPr="00E8358C">
        <w:t>grier d’Europe, premier port négrier du monde, faire une exposition sur l’esclavage qui montre son implication surtout dans cette tragédie humaine et non une exposition sur l’esclavage international. Dans l’exposition, on parle de tous, de l’Autre, en cherchant à ne pas se f</w:t>
      </w:r>
      <w:r w:rsidRPr="00E8358C">
        <w:t>o</w:t>
      </w:r>
      <w:r w:rsidRPr="00E8358C">
        <w:t xml:space="preserve">caliser sur Liverpool. Derrière cette stratégie, on a l’impression que tout le monde a participé à la Traite et à l’esclavage des Noirs, excepté Liverpool. Toutefois, il faut apprécier ces efforts de transmettre une vision globale de l’histoire de la traite et de l’esclavage.   </w:t>
      </w:r>
    </w:p>
    <w:p w:rsidR="004C50DC" w:rsidRPr="00E8358C" w:rsidRDefault="004C50DC" w:rsidP="004C50DC">
      <w:pPr>
        <w:spacing w:before="120" w:after="120"/>
        <w:jc w:val="both"/>
      </w:pPr>
      <w:r w:rsidRPr="00E8358C">
        <w:t>En France, les passions et les controverses autour de la commém</w:t>
      </w:r>
      <w:r w:rsidRPr="00E8358C">
        <w:t>o</w:t>
      </w:r>
      <w:r w:rsidRPr="00E8358C">
        <w:t>ration des abolitions</w:t>
      </w:r>
      <w:r>
        <w:t> </w:t>
      </w:r>
      <w:r>
        <w:rPr>
          <w:rStyle w:val="Appelnotedebasdep"/>
        </w:rPr>
        <w:footnoteReference w:id="259"/>
      </w:r>
      <w:r w:rsidRPr="00E8358C">
        <w:t xml:space="preserve"> de l’esclavage ont été jusqu’à l’adoption de la loi Christiane Taubira du 10 mai 2001</w:t>
      </w:r>
      <w:r>
        <w:t> </w:t>
      </w:r>
      <w:r>
        <w:rPr>
          <w:rStyle w:val="Appelnotedebasdep"/>
        </w:rPr>
        <w:footnoteReference w:id="260"/>
      </w:r>
      <w:r w:rsidRPr="00E8358C">
        <w:t xml:space="preserve"> qui fait reconnaître l’esclavage comme un crime contre l’humanité. On a assisté à un d</w:t>
      </w:r>
      <w:r w:rsidRPr="00E8358C">
        <w:t>é</w:t>
      </w:r>
      <w:r w:rsidRPr="00E8358C">
        <w:t>bat très ho</w:t>
      </w:r>
      <w:r w:rsidRPr="00E8358C">
        <w:t>u</w:t>
      </w:r>
      <w:r w:rsidRPr="00E8358C">
        <w:t>leux après l’adoption de cette loi. Wole Soyinka a posé la question : si crime il y eut, par qui fut-il perpétré ? Sa question invite à réfléchir sur la collaboration et sur la participation active des rois, des négociants, des armateurs et des chefs de tribus africains dans la man</w:t>
      </w:r>
      <w:r w:rsidRPr="00E8358C">
        <w:t>i</w:t>
      </w:r>
      <w:r w:rsidRPr="00E8358C">
        <w:t>fest</w:t>
      </w:r>
      <w:r w:rsidRPr="00E8358C">
        <w:t>a</w:t>
      </w:r>
      <w:r w:rsidRPr="00E8358C">
        <w:t xml:space="preserve">tion, l’organisation et l’entretien de la traite négrière. </w:t>
      </w:r>
    </w:p>
    <w:p w:rsidR="004C50DC" w:rsidRPr="00E8358C" w:rsidRDefault="004C50DC" w:rsidP="004C50DC">
      <w:pPr>
        <w:spacing w:before="120" w:after="120"/>
        <w:jc w:val="both"/>
      </w:pPr>
      <w:r w:rsidRPr="00E8358C">
        <w:t>Bien que la France demeure à ce jour une ancienne puissance c</w:t>
      </w:r>
      <w:r w:rsidRPr="00E8358C">
        <w:t>o</w:t>
      </w:r>
      <w:r w:rsidRPr="00E8358C">
        <w:t>loniale qui a déclaré l’esclavage « crime contre l’humanité »</w:t>
      </w:r>
      <w:r>
        <w:t> </w:t>
      </w:r>
      <w:r>
        <w:rPr>
          <w:rStyle w:val="Appelnotedebasdep"/>
        </w:rPr>
        <w:footnoteReference w:id="261"/>
      </w:r>
      <w:r w:rsidRPr="00E8358C">
        <w:t>, on constate qu’elle est encore réticente à réparer les préjudices causés aux victimes du crime et à leurs descendants. L’histoire de la traite négrière, de l’esclavage et de leurs abolitions continue d’être larg</w:t>
      </w:r>
      <w:r w:rsidRPr="00E8358C">
        <w:t>e</w:t>
      </w:r>
      <w:r w:rsidRPr="00E8358C">
        <w:t xml:space="preserve">ment ignorée, </w:t>
      </w:r>
      <w:r>
        <w:t xml:space="preserve">[80] </w:t>
      </w:r>
      <w:r w:rsidRPr="00E8358C">
        <w:t>négligée et marginalisée</w:t>
      </w:r>
      <w:r>
        <w:t> </w:t>
      </w:r>
      <w:r w:rsidRPr="00E8358C">
        <w:rPr>
          <w:rStyle w:val="Appelnotedebasdep"/>
        </w:rPr>
        <w:footnoteReference w:id="262"/>
      </w:r>
      <w:r w:rsidRPr="00E8358C">
        <w:t>. Contrairement aux va</w:t>
      </w:r>
      <w:r w:rsidRPr="00E8358C">
        <w:t>s</w:t>
      </w:r>
      <w:r w:rsidRPr="00E8358C">
        <w:t>tes mouvements de réparation historique et de création de lieux de mémoire qui se font dans d’autres pays européens (Angleterre, No</w:t>
      </w:r>
      <w:r w:rsidRPr="00E8358C">
        <w:t>r</w:t>
      </w:r>
      <w:r w:rsidRPr="00E8358C">
        <w:t>vège, Suède, Danemark, etc.) et aux États-Unis, en France, la question de la mémoire de l’esclavage reste très controversée</w:t>
      </w:r>
      <w:r>
        <w:t> </w:t>
      </w:r>
      <w:r w:rsidRPr="00E8358C">
        <w:rPr>
          <w:rStyle w:val="Appelnotedebasdep"/>
        </w:rPr>
        <w:footnoteReference w:id="263"/>
      </w:r>
      <w:r w:rsidRPr="00E8358C">
        <w:t>. La provena</w:t>
      </w:r>
      <w:r w:rsidRPr="00E8358C">
        <w:t>n</w:t>
      </w:r>
      <w:r w:rsidRPr="00E8358C">
        <w:t>ce ou la présence de descendants d’esclaves a été remise en question. D’où sortent-ils maintenant ? Le soupçon d’une mémoire de l’esclavage inventée persiste. Le débat reste ouvert dans l’espace p</w:t>
      </w:r>
      <w:r w:rsidRPr="00E8358C">
        <w:t>u</w:t>
      </w:r>
      <w:r w:rsidRPr="00E8358C">
        <w:t xml:space="preserve">blic français. Personne ne se réclame descendant d’esclaves. </w:t>
      </w:r>
    </w:p>
    <w:p w:rsidR="004C50DC" w:rsidRPr="00E8358C" w:rsidRDefault="004C50DC" w:rsidP="004C50DC">
      <w:pPr>
        <w:spacing w:before="120" w:after="120"/>
        <w:jc w:val="both"/>
      </w:pPr>
      <w:r w:rsidRPr="00E8358C">
        <w:t>La littérature anthropologique amène aussi doute et questionn</w:t>
      </w:r>
      <w:r w:rsidRPr="00E8358C">
        <w:t>e</w:t>
      </w:r>
      <w:r w:rsidRPr="00E8358C">
        <w:t>ments sur la mémoire de l’esclavage : cette mémoire est-elle africaine ou non ? Est-elle créole, africaine ou aliénée ? Est-ce que c’est l’Afrique représentée dans la Caraïbe ? Les écrits de Roger Bast</w:t>
      </w:r>
      <w:r w:rsidRPr="00E8358C">
        <w:t>i</w:t>
      </w:r>
      <w:r w:rsidRPr="00E8358C">
        <w:t>de</w:t>
      </w:r>
      <w:r>
        <w:t> </w:t>
      </w:r>
      <w:r>
        <w:rPr>
          <w:rStyle w:val="Appelnotedebasdep"/>
        </w:rPr>
        <w:footnoteReference w:id="264"/>
      </w:r>
      <w:r>
        <w:t xml:space="preserve"> </w:t>
      </w:r>
      <w:r w:rsidRPr="00E8358C">
        <w:t>sur le Brésil et les Amériques noires, et ceux de Marcel d’Ans (1987)</w:t>
      </w:r>
      <w:r>
        <w:t> </w:t>
      </w:r>
      <w:r w:rsidRPr="00E8358C">
        <w:rPr>
          <w:rStyle w:val="Appelnotedebasdep"/>
        </w:rPr>
        <w:footnoteReference w:id="265"/>
      </w:r>
      <w:r w:rsidRPr="00E8358C">
        <w:t xml:space="preserve"> sur Haïti contestent toute idée d’Afrique et préfèrent parler de l’invention d’une mémoire de l’esclavage. Les travaux de Sydney W. Mintz et de Richard Price (1976)</w:t>
      </w:r>
      <w:r>
        <w:t> </w:t>
      </w:r>
      <w:r w:rsidRPr="00E8358C">
        <w:rPr>
          <w:rStyle w:val="Appelnotedebasdep"/>
        </w:rPr>
        <w:footnoteReference w:id="266"/>
      </w:r>
      <w:r w:rsidRPr="00E8358C">
        <w:t xml:space="preserve"> sur la créolisation confirment que cette mémoire n’est pas l’Afrique. Le débat sur la mémoire de l’esclavage est donc une recherche de racines pour les peuples noirs. La thèse de l’aliénation est également importante pour expliquer les positions des chercheurs dans la Caraïbe française</w:t>
      </w:r>
      <w:r>
        <w:t> </w:t>
      </w:r>
      <w:r w:rsidRPr="00E8358C">
        <w:rPr>
          <w:rStyle w:val="Appelnotedebasdep"/>
        </w:rPr>
        <w:footnoteReference w:id="267"/>
      </w:r>
      <w:r w:rsidRPr="00E8358C">
        <w:t xml:space="preserve">, exception faite pour Haïti, considérée comme une société ayant été capable de porter l’histoire et la mémoire d’un arrière-pays qui serait l’Afrique, et de s’en libérer en même temps. </w:t>
      </w:r>
    </w:p>
    <w:p w:rsidR="004C50DC" w:rsidRDefault="004C50DC" w:rsidP="004C50DC">
      <w:pPr>
        <w:spacing w:before="120" w:after="120"/>
        <w:jc w:val="both"/>
      </w:pPr>
      <w:r>
        <w:t>[81]</w:t>
      </w:r>
    </w:p>
    <w:p w:rsidR="004C50DC" w:rsidRPr="00E8358C" w:rsidRDefault="004C50DC" w:rsidP="004C50DC">
      <w:pPr>
        <w:spacing w:before="120" w:after="120"/>
        <w:jc w:val="both"/>
      </w:pPr>
      <w:r w:rsidRPr="00E8358C">
        <w:t>La fameuse métaphore de Derek Walcott à propos de l’histoire et de la mémoire de l’esclavage – « une absence de ruines »</w:t>
      </w:r>
      <w:r>
        <w:t> </w:t>
      </w:r>
      <w:r w:rsidRPr="00E8358C">
        <w:rPr>
          <w:rStyle w:val="Appelnotedebasdep"/>
        </w:rPr>
        <w:footnoteReference w:id="268"/>
      </w:r>
      <w:r w:rsidRPr="00E8358C">
        <w:t xml:space="preserve"> – invite aussi à la précaution. Les ruines peuvent permettre de s’accrocher à l’histoire ; mais les quelques ruines qui se trouvent aux Antillessont celles des plantations. Il n’y a rien à regretter des plantations pour les Français. Cela sous-entend qu'il n’y a pas d’histoire à revendiquer. On observe donc en France l’absence des ruines d’une véritable histoire à soi</w:t>
      </w:r>
      <w:r>
        <w:t> </w:t>
      </w:r>
      <w:r w:rsidRPr="00E8358C">
        <w:rPr>
          <w:rStyle w:val="Appelnotedebasdep"/>
        </w:rPr>
        <w:footnoteReference w:id="269"/>
      </w:r>
      <w:r w:rsidRPr="00E8358C">
        <w:t> ; autrement dit, le problème de la mémoire de l’esclavage reste encore entier. Cependant, depuis la fin du XX</w:t>
      </w:r>
      <w:r w:rsidRPr="00E8358C">
        <w:rPr>
          <w:vertAlign w:val="superscript"/>
        </w:rPr>
        <w:t>e</w:t>
      </w:r>
      <w:r w:rsidRPr="00E8358C">
        <w:t xml:space="preserve"> siècle, on constate que les autorités et la société civile françaises se penchent de plus en plus sur l’esclavage et sa mémoire trop longtemps oubliés</w:t>
      </w:r>
      <w:r>
        <w:t> </w:t>
      </w:r>
      <w:r w:rsidRPr="00E8358C">
        <w:rPr>
          <w:rStyle w:val="Appelnotedebasdep"/>
        </w:rPr>
        <w:footnoteReference w:id="270"/>
      </w:r>
      <w:r w:rsidRPr="00E8358C">
        <w:t>.</w:t>
      </w:r>
    </w:p>
    <w:p w:rsidR="004C50DC" w:rsidRPr="00E8358C" w:rsidRDefault="004C50DC" w:rsidP="004C50DC">
      <w:pPr>
        <w:spacing w:before="120" w:after="120"/>
        <w:jc w:val="both"/>
      </w:pPr>
      <w:r w:rsidRPr="00E8358C">
        <w:t>En France, la ville de Nantes a toujours eu un pas d’avance dans la mise en valeur des mémoires de l’esclavage. Déjà, en 1924, au musée de Salorges, une salle était consacrée à la Traite négrière</w:t>
      </w:r>
      <w:r>
        <w:t> </w:t>
      </w:r>
      <w:r w:rsidRPr="00E8358C">
        <w:rPr>
          <w:rStyle w:val="Appelnotedebasdep"/>
        </w:rPr>
        <w:footnoteReference w:id="271"/>
      </w:r>
      <w:r w:rsidRPr="00E8358C">
        <w:t xml:space="preserve">. </w:t>
      </w:r>
      <w:r w:rsidRPr="00E8358C">
        <w:rPr>
          <w:bCs/>
        </w:rPr>
        <w:t xml:space="preserve">L’association des « Anneaux de la mémoire » et la grande exposition </w:t>
      </w:r>
      <w:r w:rsidRPr="00E8358C">
        <w:t xml:space="preserve">historique, </w:t>
      </w:r>
      <w:r w:rsidRPr="00E8358C">
        <w:rPr>
          <w:bCs/>
        </w:rPr>
        <w:t>au château des ducs de Bretagne en 1990,</w:t>
      </w:r>
      <w:r w:rsidRPr="00E8358C">
        <w:t xml:space="preserve"> sur le commerce triangulaire et le rôle qu’y joua le port de Nantes</w:t>
      </w:r>
      <w:r>
        <w:t> </w:t>
      </w:r>
      <w:r w:rsidRPr="00E8358C">
        <w:rPr>
          <w:rStyle w:val="Appelnotedebasdep"/>
          <w:bCs/>
        </w:rPr>
        <w:footnoteReference w:id="272"/>
      </w:r>
      <w:r w:rsidRPr="00E8358C">
        <w:rPr>
          <w:bCs/>
        </w:rPr>
        <w:t xml:space="preserve"> ont été marquants. En amont, l’élite politique nantaise avait résisté, mais la pression des intellectuels et des progressistes avec l’aide des immigrants africains et caribéens ont permis d’aboutir à l'une des plus grandes expositions jamais réalisées en Europe. Ce fut un modèle des démarches dans le sens d’une patrimonialisation du passé esclavagiste dans un pays e</w:t>
      </w:r>
      <w:r w:rsidRPr="00E8358C">
        <w:rPr>
          <w:bCs/>
        </w:rPr>
        <w:t>u</w:t>
      </w:r>
      <w:r w:rsidRPr="00E8358C">
        <w:rPr>
          <w:bCs/>
        </w:rPr>
        <w:t>ropéen.</w:t>
      </w:r>
    </w:p>
    <w:p w:rsidR="004C50DC" w:rsidRPr="00E8358C" w:rsidRDefault="004C50DC" w:rsidP="004C50DC">
      <w:pPr>
        <w:spacing w:before="120" w:after="120"/>
        <w:jc w:val="both"/>
      </w:pPr>
      <w:r w:rsidRPr="00E8358C">
        <w:t>Des recherches scientifiques et des colloques ont été aussi organ</w:t>
      </w:r>
      <w:r w:rsidRPr="00E8358C">
        <w:t>i</w:t>
      </w:r>
      <w:r w:rsidRPr="00E8358C">
        <w:t xml:space="preserve">sés à Nantes juste avant l’inauguration du mémorial en 2012. C’est bien de se souvenir que la France a aboli l’esclavage, un « crime contre l’humanité », et ce mémorial peut être un cadre de mémoire </w:t>
      </w:r>
      <w:r>
        <w:t xml:space="preserve">[82] </w:t>
      </w:r>
      <w:r w:rsidRPr="00E8358C">
        <w:t>pour prendre connaissance de l’esclavage, de ce crime contre l’humanité. Cependant, un mémorial à Nantes, première ville négrière de France, suscite des controverses de la part des associations de de</w:t>
      </w:r>
      <w:r w:rsidRPr="00E8358C">
        <w:t>s</w:t>
      </w:r>
      <w:r w:rsidRPr="00E8358C">
        <w:t>cendants d’esclaves, car cette ville a été la dernière à accepter l’abolition de l’esclavage. Ériger un mémorial sur l’abolition à Nantes est donc une dérogation à la valeur historique du patrimoine. Cette réalisation peut embrouiller le message patrimonial. Le visiteur pou</w:t>
      </w:r>
      <w:r w:rsidRPr="00E8358C">
        <w:t>r</w:t>
      </w:r>
      <w:r w:rsidRPr="00E8358C">
        <w:t>rait retenir, à travers ce mémorial, que Nantes a été la ville fer-de-lance de l’abolition, alors qu’elle a tout fait pour la combattre. Un mémorial</w:t>
      </w:r>
      <w:r>
        <w:t> </w:t>
      </w:r>
      <w:r w:rsidRPr="00E8358C">
        <w:rPr>
          <w:rStyle w:val="Appelnotedebasdep"/>
        </w:rPr>
        <w:footnoteReference w:id="273"/>
      </w:r>
      <w:r w:rsidRPr="00E8358C">
        <w:t xml:space="preserve"> sur l’abolition apparaît comme une volonté, de la part de la ville de Nantes, de récupérer le renouveau d’intérêt international pour l’esclavage et les retombées touristiques et morales de la dénonci</w:t>
      </w:r>
      <w:r w:rsidRPr="00E8358C">
        <w:t>a</w:t>
      </w:r>
      <w:r w:rsidRPr="00E8358C">
        <w:t xml:space="preserve">tion. </w:t>
      </w:r>
    </w:p>
    <w:p w:rsidR="004C50DC" w:rsidRPr="00E8358C" w:rsidRDefault="004C50DC" w:rsidP="004C50DC">
      <w:pPr>
        <w:spacing w:before="120" w:after="120"/>
        <w:jc w:val="both"/>
      </w:pPr>
      <w:r w:rsidRPr="00E8358C">
        <w:t>Un mémorial apporte plus d’émotions que de connaissa</w:t>
      </w:r>
      <w:r w:rsidRPr="00E8358C">
        <w:t>n</w:t>
      </w:r>
      <w:r w:rsidRPr="00E8358C">
        <w:t>ces.Construit sous un vaste terrain de 7000 m</w:t>
      </w:r>
      <w:r w:rsidRPr="00E8358C">
        <w:rPr>
          <w:vertAlign w:val="superscript"/>
        </w:rPr>
        <w:t>2</w:t>
      </w:r>
      <w:r w:rsidRPr="00E8358C">
        <w:t>, le mémorial de Nantes permet d’évoquer les entreponts d’un bateau négrier. À l'intérieur, qui symbolise la cale, environ 2000 plaques de verre gravées présentent l’histoire de l’esclavage en général et notamment celle de l’implication de la ville de Nantes dans la traite négrière au XVIII</w:t>
      </w:r>
      <w:r w:rsidRPr="00E8358C">
        <w:rPr>
          <w:vertAlign w:val="superscript"/>
        </w:rPr>
        <w:t>e</w:t>
      </w:r>
      <w:r w:rsidRPr="00E8358C">
        <w:t xml:space="preserve"> siècle</w:t>
      </w:r>
      <w:r>
        <w:t> </w:t>
      </w:r>
      <w:r>
        <w:rPr>
          <w:rStyle w:val="Appelnotedebasdep"/>
        </w:rPr>
        <w:footnoteReference w:id="274"/>
      </w:r>
      <w:r w:rsidRPr="00E8358C">
        <w:t>. Par ce mémorial, « Nantes tourne la page, mais entre cyni</w:t>
      </w:r>
      <w:r w:rsidRPr="00E8358C">
        <w:t>s</w:t>
      </w:r>
      <w:r w:rsidRPr="00E8358C">
        <w:t>me et mauvaise conscience, elle est recouverte du manteau du silence et de l’oubli »</w:t>
      </w:r>
      <w:r>
        <w:t> </w:t>
      </w:r>
      <w:r>
        <w:rPr>
          <w:rStyle w:val="Appelnotedebasdep"/>
        </w:rPr>
        <w:footnoteReference w:id="275"/>
      </w:r>
      <w:r w:rsidRPr="00E8358C">
        <w:t>. Les autorités politiques veulent briser ce silence. Tout</w:t>
      </w:r>
      <w:r w:rsidRPr="00E8358C">
        <w:t>e</w:t>
      </w:r>
      <w:r w:rsidRPr="00E8358C">
        <w:t>fois, la représentation peut gêner au-delà même de cette volonté de réveiller les consciences. Les connaissances historiques sont aussi ut</w:t>
      </w:r>
      <w:r w:rsidRPr="00E8358C">
        <w:t>i</w:t>
      </w:r>
      <w:r w:rsidRPr="00E8358C">
        <w:t>les qu’importantes pour comprendre une démarche mémorielle sur l’esclavage et les esclaves, démarche qui doit aider aussi à découvrir l’image de la ville de Nantes dans sa réalité historique. Certes, on ne peut pas bannir les émotions, car on risquerait de banaliser aussi les faits représentés ; mais il serait important d’essayer de jouer à la fois sur les émotions et sur les connaissances.</w:t>
      </w:r>
    </w:p>
    <w:p w:rsidR="004C50DC" w:rsidRPr="00E8358C" w:rsidRDefault="004C50DC" w:rsidP="004C50DC">
      <w:pPr>
        <w:spacing w:before="120" w:after="120"/>
        <w:jc w:val="both"/>
      </w:pPr>
      <w:r w:rsidRPr="00E8358C">
        <w:t>Le discours des Anneaux de la mémoire</w:t>
      </w:r>
      <w:r>
        <w:t> </w:t>
      </w:r>
      <w:r w:rsidRPr="00E8358C">
        <w:rPr>
          <w:rStyle w:val="Appelnotedebasdep"/>
        </w:rPr>
        <w:footnoteReference w:id="276"/>
      </w:r>
      <w:r w:rsidRPr="00E8358C">
        <w:t>, le rapport à la chaîne et à l’avilissement humain forment un cadre scientifique pour inclure la Traite et l’esclavage des Noirs dans</w:t>
      </w:r>
      <w:r>
        <w:t xml:space="preserve"> [83]</w:t>
      </w:r>
      <w:r w:rsidRPr="00E8358C">
        <w:t xml:space="preserve"> l’histoire globale de la ville</w:t>
      </w:r>
      <w:r w:rsidRPr="00E8358C">
        <w:rPr>
          <w:i/>
        </w:rPr>
        <w:t>.</w:t>
      </w:r>
      <w:r w:rsidRPr="00E8358C">
        <w:t xml:space="preserve"> Nantes est la première ville de France à en avoir compris les enjeux. Elle est souvent appelée la ville de la diversité. Les Ultramarins en France cultivent une affection toute particulière pour Nantes. La prise en charge sociale, la manière d’accueillir les Noirs en général expl</w:t>
      </w:r>
      <w:r w:rsidRPr="00E8358C">
        <w:t>i</w:t>
      </w:r>
      <w:r w:rsidRPr="00E8358C">
        <w:t>quent cette attirance</w:t>
      </w:r>
      <w:r>
        <w:t> </w:t>
      </w:r>
      <w:r>
        <w:rPr>
          <w:rStyle w:val="Appelnotedebasdep"/>
        </w:rPr>
        <w:footnoteReference w:id="277"/>
      </w:r>
      <w:r w:rsidRPr="00E8358C">
        <w:t xml:space="preserve">. </w:t>
      </w:r>
    </w:p>
    <w:p w:rsidR="004C50DC" w:rsidRPr="00E8358C" w:rsidRDefault="004C50DC" w:rsidP="004C50DC">
      <w:pPr>
        <w:spacing w:before="120" w:after="120"/>
        <w:jc w:val="both"/>
      </w:pPr>
      <w:r w:rsidRPr="00E8358C">
        <w:t>Entre Nantes, qui a commencé à faire le travail de mémoire avec l’intégration des Noirs, et Bordeaux, il y a eu un basculement. Bo</w:t>
      </w:r>
      <w:r w:rsidRPr="00E8358C">
        <w:t>r</w:t>
      </w:r>
      <w:r w:rsidRPr="00E8358C">
        <w:t>deaux, c’est pratiquement le travail, le sang et la sueur des esclaves qui lui ont donné ce patrimoine. Entre le fleuve et le vin, il existe aussi le passé colonial. Second port négrier de France, Bordeaux bénéficiait des pratiques esclavagistes inscrites dans la traite des Noirs et dans l’économie de plantation dont les tragédies humaines qui en résultent ne cessent de nous interpeller sur les idées des Lumières. L’exposition de la mémoire de l’esclavage dans l’espace public bordelais a co</w:t>
      </w:r>
      <w:r w:rsidRPr="00E8358C">
        <w:t>m</w:t>
      </w:r>
      <w:r w:rsidRPr="00E8358C">
        <w:t>mencé avec l’inauguration du square Toussaint Louverture</w:t>
      </w:r>
      <w:r>
        <w:t> </w:t>
      </w:r>
      <w:r w:rsidRPr="00E8358C">
        <w:rPr>
          <w:rStyle w:val="Appelnotedebasdep"/>
        </w:rPr>
        <w:footnoteReference w:id="278"/>
      </w:r>
      <w:r w:rsidRPr="00E8358C">
        <w:t xml:space="preserve"> en juin 2005 sur la rive droite du quartier de La Bastide et la plaque</w:t>
      </w:r>
      <w:r>
        <w:t> </w:t>
      </w:r>
      <w:r w:rsidRPr="00E8358C">
        <w:rPr>
          <w:rStyle w:val="Appelnotedebasdep"/>
        </w:rPr>
        <w:footnoteReference w:id="279"/>
      </w:r>
      <w:r w:rsidRPr="00E8358C">
        <w:t xml:space="preserve"> (Figure 6) posée sur le quai des Chatrons, haut lieu de la traite négri</w:t>
      </w:r>
      <w:r w:rsidRPr="00E8358C">
        <w:t>è</w:t>
      </w:r>
      <w:r w:rsidRPr="00E8358C">
        <w:t>re de la ville. Tous les 10 mai, des associations culturelles et de défe</w:t>
      </w:r>
      <w:r w:rsidRPr="00E8358C">
        <w:t>n</w:t>
      </w:r>
      <w:r w:rsidRPr="00E8358C">
        <w:t xml:space="preserve">se des droits de la personne se réunissent autour de cette plaque. </w:t>
      </w:r>
    </w:p>
    <w:p w:rsidR="004C50DC" w:rsidRDefault="004C50DC" w:rsidP="004C50DC">
      <w:pPr>
        <w:spacing w:before="120" w:after="120"/>
        <w:jc w:val="both"/>
      </w:pPr>
      <w:r>
        <w:t>[84]</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378200" cy="2678430"/>
            <wp:effectExtent l="25400" t="25400" r="12700" b="13970"/>
            <wp:docPr id="11" name="Image 7" descr="IMG_2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descr="IMG_230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8200" cy="267843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106" w:name="_Toc417146052"/>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pPr>
      <w:bookmarkStart w:id="107" w:name="Memoire_fig_06"/>
      <w:r w:rsidRPr="009138F1">
        <w:t xml:space="preserve">Figure </w:t>
      </w:r>
      <w:r w:rsidRPr="009138F1">
        <w:fldChar w:fldCharType="begin"/>
      </w:r>
      <w:r w:rsidR="00EF1554">
        <w:instrText>SEQ</w:instrText>
      </w:r>
      <w:r w:rsidRPr="009138F1">
        <w:instrText xml:space="preserve"> Figure \* ARABIC </w:instrText>
      </w:r>
      <w:r w:rsidRPr="009138F1">
        <w:fldChar w:fldCharType="separate"/>
      </w:r>
      <w:r>
        <w:rPr>
          <w:noProof/>
        </w:rPr>
        <w:t>6</w:t>
      </w:r>
      <w:r w:rsidRPr="009138F1">
        <w:fldChar w:fldCharType="end"/>
      </w:r>
      <w:r w:rsidRPr="009138F1">
        <w:t>. Plaque commémorative posée sur le quai des Chatrons à Bordeaux</w:t>
      </w:r>
      <w:bookmarkEnd w:id="106"/>
      <w:r>
        <w:t>.</w:t>
      </w:r>
      <w:r>
        <w:br/>
      </w:r>
      <w:r w:rsidRPr="00E8358C">
        <w:rPr>
          <w:szCs w:val="18"/>
        </w:rPr>
        <w:t>Source. Photographie prise par l’auteur, juillet 2013</w:t>
      </w:r>
    </w:p>
    <w:bookmarkEnd w:id="107"/>
    <w:p w:rsidR="004C50DC" w:rsidRDefault="004C50DC" w:rsidP="004C50DC">
      <w:pPr>
        <w:spacing w:before="120" w:after="120"/>
        <w:jc w:val="both"/>
      </w:pPr>
    </w:p>
    <w:p w:rsidR="004C50DC" w:rsidRDefault="004C50DC" w:rsidP="004C50DC">
      <w:pPr>
        <w:spacing w:before="120" w:after="120"/>
        <w:jc w:val="both"/>
      </w:pPr>
    </w:p>
    <w:p w:rsidR="004C50DC" w:rsidRPr="00E8358C" w:rsidRDefault="004C50DC" w:rsidP="004C50DC">
      <w:pPr>
        <w:spacing w:before="120" w:after="120"/>
        <w:jc w:val="both"/>
      </w:pPr>
      <w:r w:rsidRPr="00E8358C">
        <w:t>Aujourd’hui, Bordeaux met de l’avant les idées de la diversité</w:t>
      </w:r>
      <w:r>
        <w:t> </w:t>
      </w:r>
      <w:r w:rsidRPr="00E8358C">
        <w:rPr>
          <w:rStyle w:val="Appelnotedebasdep"/>
        </w:rPr>
        <w:footnoteReference w:id="280"/>
      </w:r>
      <w:r w:rsidRPr="00E8358C">
        <w:t>, souhaitant rattraper l’esprit girondin de la Révolution. Les quatre sa</w:t>
      </w:r>
      <w:r w:rsidRPr="00E8358C">
        <w:t>l</w:t>
      </w:r>
      <w:r w:rsidRPr="00E8358C">
        <w:t>les dédiées à la mémoire au musée d’Aquitaine, baptisées « Bordeaux au XVIII</w:t>
      </w:r>
      <w:r w:rsidRPr="00E8358C">
        <w:rPr>
          <w:vertAlign w:val="superscript"/>
        </w:rPr>
        <w:t>e</w:t>
      </w:r>
      <w:r w:rsidRPr="00E8358C">
        <w:t xml:space="preserve"> siècle, le commerce atlantique et l’esclavage », constituent des outils pour l’éducation et la conscientisation. Cette exposition, que nous avons pu visiter durant trois mois, est le couronnement d’un d</w:t>
      </w:r>
      <w:r w:rsidRPr="00E8358C">
        <w:t>e</w:t>
      </w:r>
      <w:r w:rsidRPr="00E8358C">
        <w:t>voir de mémoire. Il est vrai que toute histoire est faite de zones d’ombre et de lumière. D’une manière exceptionnelle, cette exposition de la mémoire de la Traite négrière et de l’esclavage, qui sont des z</w:t>
      </w:r>
      <w:r w:rsidRPr="00E8358C">
        <w:t>o</w:t>
      </w:r>
      <w:r w:rsidRPr="00E8358C">
        <w:t>nes d’ombres, projette de la lumière. L’histoire, la mise en place et l’implication de la ville de Bordeaux dans le développement du sy</w:t>
      </w:r>
      <w:r w:rsidRPr="00E8358C">
        <w:t>s</w:t>
      </w:r>
      <w:r w:rsidRPr="00E8358C">
        <w:t>tème esclavagiste sont traitées dans les trois premières salles. La qu</w:t>
      </w:r>
      <w:r w:rsidRPr="00E8358C">
        <w:t>a</w:t>
      </w:r>
      <w:r w:rsidRPr="00E8358C">
        <w:t>trième salle est consacrée à l’héritage de ce passé ; un héritage inscrit dans la créolisation, le métissage, la littérature... dans « l’autre mo</w:t>
      </w:r>
      <w:r w:rsidRPr="00E8358C">
        <w:t>n</w:t>
      </w:r>
      <w:r w:rsidRPr="00E8358C">
        <w:t>de » comme disait Édouard Glissant</w:t>
      </w:r>
      <w:r>
        <w:t> </w:t>
      </w:r>
      <w:r w:rsidRPr="00E8358C">
        <w:rPr>
          <w:rStyle w:val="Appelnotedebasdep"/>
        </w:rPr>
        <w:footnoteReference w:id="281"/>
      </w:r>
      <w:r w:rsidRPr="00E8358C">
        <w:t>. Cet autre monde au-delà du m</w:t>
      </w:r>
      <w:r w:rsidRPr="00E8358C">
        <w:t>é</w:t>
      </w:r>
      <w:r w:rsidRPr="00E8358C">
        <w:t>tissage qui permet d’avoir une nouvelle perception des Créoles. Le mur (Figure 7) montre le côté métissage de l’immigration en France en général, et à Bordeaux en particulier.</w:t>
      </w:r>
    </w:p>
    <w:p w:rsidR="004C50DC" w:rsidRDefault="004C50DC" w:rsidP="004C50DC">
      <w:pPr>
        <w:spacing w:before="120" w:after="120"/>
        <w:jc w:val="both"/>
      </w:pPr>
      <w:r>
        <w:br w:type="page"/>
        <w:t>[85]</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463925" cy="2678430"/>
            <wp:effectExtent l="25400" t="25400" r="15875" b="13970"/>
            <wp:docPr id="12" name="Image 8" descr="IMG_2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descr="IMG_218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3925" cy="267843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108" w:name="_Toc417146053"/>
      <w:bookmarkStart w:id="109" w:name="Memoire_fig_07"/>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9138F1">
        <w:t xml:space="preserve">Figure </w:t>
      </w:r>
      <w:r w:rsidRPr="009138F1">
        <w:fldChar w:fldCharType="begin"/>
      </w:r>
      <w:r w:rsidR="00EF1554">
        <w:instrText>SEQ</w:instrText>
      </w:r>
      <w:r w:rsidRPr="009138F1">
        <w:instrText xml:space="preserve"> Figure \* ARABIC </w:instrText>
      </w:r>
      <w:r w:rsidRPr="009138F1">
        <w:fldChar w:fldCharType="separate"/>
      </w:r>
      <w:r>
        <w:rPr>
          <w:noProof/>
        </w:rPr>
        <w:t>7</w:t>
      </w:r>
      <w:r w:rsidRPr="009138F1">
        <w:fldChar w:fldCharType="end"/>
      </w:r>
      <w:r w:rsidRPr="009138F1">
        <w:t>. Mur qui expose et matérialise l’aspect métissage de l’immigration en France.</w:t>
      </w:r>
      <w:bookmarkEnd w:id="108"/>
      <w:r>
        <w:t xml:space="preserve"> </w:t>
      </w:r>
      <w:r w:rsidRPr="00E8358C">
        <w:rPr>
          <w:szCs w:val="18"/>
        </w:rPr>
        <w:t>Musée d’Aquitaine (Bordeaux)</w:t>
      </w:r>
      <w:r>
        <w:rPr>
          <w:szCs w:val="18"/>
        </w:rPr>
        <w:t xml:space="preserve">. </w:t>
      </w:r>
      <w:r w:rsidRPr="00E8358C">
        <w:rPr>
          <w:szCs w:val="18"/>
        </w:rPr>
        <w:t>Source : photographie prise par l’auteur, juillet 2013</w:t>
      </w:r>
    </w:p>
    <w:bookmarkEnd w:id="109"/>
    <w:p w:rsidR="004C50DC" w:rsidRDefault="004C50DC" w:rsidP="004C50DC">
      <w:pPr>
        <w:spacing w:before="120" w:after="120"/>
        <w:jc w:val="both"/>
      </w:pPr>
    </w:p>
    <w:p w:rsidR="004C50DC" w:rsidRPr="00E8358C" w:rsidRDefault="004C50DC" w:rsidP="004C50DC">
      <w:pPr>
        <w:spacing w:before="120" w:after="120"/>
        <w:jc w:val="both"/>
      </w:pPr>
      <w:r w:rsidRPr="00E8358C">
        <w:t>Avant, il était quasiment interdit de parler de l’esclavage à Bo</w:t>
      </w:r>
      <w:r w:rsidRPr="00E8358C">
        <w:t>r</w:t>
      </w:r>
      <w:r w:rsidRPr="00E8358C">
        <w:t xml:space="preserve">deaux. Quand Éric Saugera a publié son livre </w:t>
      </w:r>
      <w:r w:rsidRPr="00E8358C">
        <w:rPr>
          <w:i/>
        </w:rPr>
        <w:t>Bordeaux, port négrier</w:t>
      </w:r>
      <w:r w:rsidRPr="00E8358C">
        <w:t>, en 1995, ce fut presque un scandale. Certains Bordelais ne voulaient pas entendre ce discours. L’ouvrage est un hommage à l’histoire de la ville. Depuis 2009, le musée d’Aquitaine représente une vitrine pour toute la région. À travers cet espace public, les gens peuvent se rendre compte que Bordeaux est une ville créole et qu’il y a toujours eu des Créoles à Bordeaux</w:t>
      </w:r>
      <w:r>
        <w:t> </w:t>
      </w:r>
      <w:r>
        <w:rPr>
          <w:rStyle w:val="Appelnotedebasdep"/>
        </w:rPr>
        <w:footnoteReference w:id="282"/>
      </w:r>
      <w:r w:rsidRPr="00E8358C">
        <w:t>.</w:t>
      </w:r>
    </w:p>
    <w:p w:rsidR="004C50DC" w:rsidRDefault="004C50DC" w:rsidP="004C50DC">
      <w:pPr>
        <w:spacing w:before="120" w:after="120"/>
        <w:jc w:val="both"/>
      </w:pPr>
      <w:r w:rsidRPr="00E8358C">
        <w:t>L’exposition « Bordeaux au XVIII</w:t>
      </w:r>
      <w:r w:rsidRPr="00E8358C">
        <w:rPr>
          <w:vertAlign w:val="superscript"/>
        </w:rPr>
        <w:t>e</w:t>
      </w:r>
      <w:r w:rsidRPr="00E8358C">
        <w:t xml:space="preserve"> siècle, le commerce atlantique et l’esclavage » associe l’histoire et la mémoire pour mettre en valeur la mémoire de l’esclavage. C’est à la fois une exposition mémorielle du fait de sa conception et de sa réalisation, et du fait qu’elle témoigne des réalités de ce crime contre l’humanité qu’est l’esclavage. La m</w:t>
      </w:r>
      <w:r w:rsidRPr="00E8358C">
        <w:t>é</w:t>
      </w:r>
      <w:r w:rsidRPr="00E8358C">
        <w:t>moire se focalise essentiellement sur les questions de la Traite en pa</w:t>
      </w:r>
      <w:r w:rsidRPr="00E8358C">
        <w:t>r</w:t>
      </w:r>
      <w:r w:rsidRPr="00E8358C">
        <w:t>ticulier et de l’esclavage en général. Elle projette des rayons de lumi</w:t>
      </w:r>
      <w:r w:rsidRPr="00E8358C">
        <w:t>è</w:t>
      </w:r>
      <w:r w:rsidRPr="00E8358C">
        <w:t>re au moment de la communion des commémorations nationales qui se font le 10 mai en France. Elle permet aussi de comprendre les m</w:t>
      </w:r>
      <w:r w:rsidRPr="00E8358C">
        <w:t>é</w:t>
      </w:r>
      <w:r w:rsidRPr="00E8358C">
        <w:t xml:space="preserve">canismes et d’avoir une vision globale du système esclavagiste. </w:t>
      </w:r>
    </w:p>
    <w:p w:rsidR="004C50DC" w:rsidRPr="00E8358C" w:rsidRDefault="004C50DC" w:rsidP="004C50DC">
      <w:pPr>
        <w:spacing w:before="120" w:after="120"/>
        <w:jc w:val="both"/>
      </w:pPr>
      <w:r>
        <w:t>[86]</w:t>
      </w:r>
    </w:p>
    <w:p w:rsidR="004C50DC" w:rsidRPr="00E8358C" w:rsidRDefault="004C50DC" w:rsidP="004C50DC">
      <w:pPr>
        <w:spacing w:before="120" w:after="120"/>
        <w:jc w:val="both"/>
      </w:pPr>
      <w:r w:rsidRPr="00E8358C">
        <w:t xml:space="preserve">C’est une exposition d’histoire qui apporte de la connaissance et de la compréhension au sujet de l’implication de la ville de Bordeaux dans la traite et l’esclavage transatlantique. Elle raconte une longue histoire qui tient compte d’une historiographie actuelle pour porter chacun à appréhender cette tragédie humaine en toute conscience. Elle veut garder le côté de l’histoire et éviter la complexité des mémoires multiples comme le mentionne d’ailleurs l’ouvrage </w:t>
      </w:r>
      <w:r w:rsidRPr="00E8358C">
        <w:rPr>
          <w:rFonts w:eastAsia="Calibri"/>
          <w:i/>
          <w:lang w:eastAsia="ar-SA"/>
        </w:rPr>
        <w:t>Bordeaux au XVIII</w:t>
      </w:r>
      <w:r w:rsidRPr="00E8358C">
        <w:rPr>
          <w:rFonts w:eastAsia="Calibri"/>
          <w:i/>
          <w:vertAlign w:val="superscript"/>
          <w:lang w:eastAsia="ar-SA"/>
        </w:rPr>
        <w:t>e</w:t>
      </w:r>
      <w:r w:rsidRPr="00E8358C">
        <w:rPr>
          <w:rFonts w:eastAsia="Calibri"/>
          <w:i/>
          <w:lang w:eastAsia="ar-SA"/>
        </w:rPr>
        <w:t xml:space="preserve"> siècle. Le commerce atlantique et l’esclavage :</w:t>
      </w:r>
      <w:r w:rsidRPr="00E8358C">
        <w:t xml:space="preserve"> « C’est pou</w:t>
      </w:r>
      <w:r w:rsidRPr="00E8358C">
        <w:t>r</w:t>
      </w:r>
      <w:r w:rsidRPr="00E8358C">
        <w:t>quoi l’exposition au Musée d’Aquitaine et cet ouvrage se revend</w:t>
      </w:r>
      <w:r w:rsidRPr="00E8358C">
        <w:t>i</w:t>
      </w:r>
      <w:r w:rsidRPr="00E8358C">
        <w:t>quent des travaux d’histoire : il s’agit de mettre à la disposition des visiteurs du musée l’état des connaissances sur cette question, en pr</w:t>
      </w:r>
      <w:r w:rsidRPr="00E8358C">
        <w:t>é</w:t>
      </w:r>
      <w:r w:rsidRPr="00E8358C">
        <w:t>sentant des faits et leur enchaînement, et non des émotions et des j</w:t>
      </w:r>
      <w:r w:rsidRPr="00E8358C">
        <w:t>u</w:t>
      </w:r>
      <w:r w:rsidRPr="00E8358C">
        <w:t>gements forcément anachroniques »</w:t>
      </w:r>
      <w:r>
        <w:t> </w:t>
      </w:r>
      <w:r w:rsidRPr="00E8358C">
        <w:rPr>
          <w:rStyle w:val="Appelnotedebasdep"/>
        </w:rPr>
        <w:footnoteReference w:id="283"/>
      </w:r>
      <w:r w:rsidRPr="00E8358C">
        <w:t>. Elle répond davantage aux questions (comment la ville de Bordeaux a-t-elle connu cette opule</w:t>
      </w:r>
      <w:r w:rsidRPr="00E8358C">
        <w:t>n</w:t>
      </w:r>
      <w:r w:rsidRPr="00E8358C">
        <w:t xml:space="preserve">ce ? Et quels ont été les victimes, les enjeux, les pays concernés, les noms des navires et les témoignages ?). </w:t>
      </w:r>
    </w:p>
    <w:p w:rsidR="004C50DC" w:rsidRPr="00E8358C" w:rsidRDefault="004C50DC" w:rsidP="004C50DC">
      <w:pPr>
        <w:spacing w:before="120" w:after="120"/>
        <w:jc w:val="both"/>
      </w:pPr>
      <w:r w:rsidRPr="00E8358C">
        <w:t>L’exposition « Bordeaux au XVIII</w:t>
      </w:r>
      <w:r w:rsidRPr="00E8358C">
        <w:rPr>
          <w:vertAlign w:val="superscript"/>
        </w:rPr>
        <w:t>e</w:t>
      </w:r>
      <w:r w:rsidRPr="00E8358C">
        <w:t xml:space="preserve"> siècle, le commerce atlantique et l’esclavage »</w:t>
      </w:r>
      <w:r w:rsidRPr="00792DC7">
        <w:t xml:space="preserve"> présente </w:t>
      </w:r>
      <w:r w:rsidRPr="00E8358C">
        <w:t>un choix muséographique à la fois didactique et pédagogique qui donne au public l’impression de naviguer libr</w:t>
      </w:r>
      <w:r w:rsidRPr="00E8358C">
        <w:t>e</w:t>
      </w:r>
      <w:r w:rsidRPr="00E8358C">
        <w:t>ment entre différents espaces. La construction du parcours rappelle le commerce triangulaire. Le visiteur à l’entrée fait face aux maquettes qui rappellent le commerce colonial, avec le port qui fait la richesse et la fierté de « Bordeaux, la ville de pierre »,  puis il continue dans l’espace privé des riches familles d’armateurs et de négociants qui s’exposent parfois avec leurs esclaves, même si « la France ne peut admettre aucune servitude sur son sol »</w:t>
      </w:r>
      <w:r>
        <w:t> </w:t>
      </w:r>
      <w:r w:rsidRPr="00E8358C">
        <w:rPr>
          <w:rStyle w:val="Appelnotedebasdep"/>
        </w:rPr>
        <w:footnoteReference w:id="284"/>
      </w:r>
      <w:r w:rsidRPr="00E8358C">
        <w:t>. La vie culturelle et intelle</w:t>
      </w:r>
      <w:r w:rsidRPr="00E8358C">
        <w:t>c</w:t>
      </w:r>
      <w:r w:rsidRPr="00E8358C">
        <w:t xml:space="preserve">tuelle de la ville est aussi exposée. </w:t>
      </w:r>
    </w:p>
    <w:p w:rsidR="004C50DC" w:rsidRPr="00E8358C" w:rsidRDefault="004C50DC" w:rsidP="004C50DC">
      <w:pPr>
        <w:spacing w:before="120" w:after="120"/>
        <w:jc w:val="both"/>
      </w:pPr>
      <w:r w:rsidRPr="00E8358C">
        <w:t>En second lieu, le visiteur passe par l’Afrique avec la déportation des Africains. La traite est présentée dans la deuxième salle. L’organisation de la traite, les dispositions légales pour l’encourager, les difficultés et les horreurs de la traversée sont abordées. Les rival</w:t>
      </w:r>
      <w:r w:rsidRPr="00E8358C">
        <w:t>i</w:t>
      </w:r>
      <w:r w:rsidRPr="00E8358C">
        <w:t>tés entre les puissances coloniales pour dominer les routes comme</w:t>
      </w:r>
      <w:r w:rsidRPr="00E8358C">
        <w:t>r</w:t>
      </w:r>
      <w:r w:rsidRPr="00E8358C">
        <w:t>ciales sont aussi</w:t>
      </w:r>
      <w:r>
        <w:t xml:space="preserve"> [87]</w:t>
      </w:r>
      <w:r w:rsidRPr="00E8358C">
        <w:t xml:space="preserve"> présentes</w:t>
      </w:r>
      <w:r>
        <w:t> </w:t>
      </w:r>
      <w:r w:rsidRPr="00E8358C">
        <w:rPr>
          <w:rStyle w:val="Appelnotedebasdep"/>
        </w:rPr>
        <w:footnoteReference w:id="285"/>
      </w:r>
      <w:r w:rsidRPr="00E8358C">
        <w:t xml:space="preserve">. </w:t>
      </w:r>
    </w:p>
    <w:p w:rsidR="004C50DC" w:rsidRPr="00E8358C" w:rsidRDefault="004C50DC" w:rsidP="004C50DC">
      <w:pPr>
        <w:spacing w:before="120" w:after="120"/>
        <w:jc w:val="both"/>
      </w:pPr>
      <w:r w:rsidRPr="00E8358C">
        <w:t>Arrivé dans la troisième salle, le visiteur se retrouve aux Antilles où l’esclavage est présenté. Des maquettes d’habitations coloniales, des chaînes et des fers d’esclave, sans oublier des gravures qui décr</w:t>
      </w:r>
      <w:r w:rsidRPr="00E8358C">
        <w:t>i</w:t>
      </w:r>
      <w:r w:rsidRPr="00E8358C">
        <w:t xml:space="preserve">vent les dures réalités de l’esclavage sont exposées. Les esclaves sont loin d’être absents. Il fallait leur donner la parole. Les commissaires s’appuient sur les témoignages recueillis à l’époque et consignés dans les documents d’archives exposés. Ils ont restitué ces témoignages sur des bandes sonores qui donnent l’impression que ce sont les esclaves qui nous parlent aujourd’hui. Par exemple, la vidéo réalisée à partir du journal de bord du navire négrier la </w:t>
      </w:r>
      <w:r w:rsidRPr="00E8358C">
        <w:rPr>
          <w:i/>
        </w:rPr>
        <w:t>Licorne,</w:t>
      </w:r>
      <w:r w:rsidRPr="00E8358C">
        <w:t xml:space="preserve"> et le témoignage de son capitaine sur les péripéties de la traversée, expose la dimension ab</w:t>
      </w:r>
      <w:r w:rsidRPr="00E8358C">
        <w:t>o</w:t>
      </w:r>
      <w:r w:rsidRPr="00E8358C">
        <w:t xml:space="preserve">minable du passage du milieu. D’autres témoignages forts rapportent les atrocités qui se passaient dans la colonie de Saint-Domingue et les formes de résistance des esclaves. Nous citons le témoignage de cette esclave domestique qui a tué plus de soixante-dix enfants pour leur éviter la honte de l’esclavage.  </w:t>
      </w:r>
    </w:p>
    <w:p w:rsidR="004C50DC" w:rsidRPr="00E8358C" w:rsidRDefault="004C50DC" w:rsidP="004C50DC">
      <w:pPr>
        <w:spacing w:before="120" w:after="120"/>
        <w:jc w:val="both"/>
      </w:pPr>
      <w:r w:rsidRPr="00E8358C">
        <w:t>L’exposition se termine dans la quatrième salle, la « salle d’espoir », qui montre au-delà de cette ignominie, de cette condition inhumaine, de cette humiliation, de cette indignité, que les esclaves ont su créer une culture créole, une culture d’adaptation, voire de r</w:t>
      </w:r>
      <w:r w:rsidRPr="00E8358C">
        <w:t>é</w:t>
      </w:r>
      <w:r w:rsidRPr="00E8358C">
        <w:t>sistance. Toutefois, les moyens de survivance – le syncrétisme rel</w:t>
      </w:r>
      <w:r w:rsidRPr="00E8358C">
        <w:t>i</w:t>
      </w:r>
      <w:r w:rsidRPr="00E8358C">
        <w:t>gieux, l’art culinaire, la langue créole, les musiques, les danses – qui constituent l’âme de la résistance culturelle sont les grands absents de cette exposition. L’un des commissaires de l’exposition l’explique ainsi :</w:t>
      </w:r>
    </w:p>
    <w:p w:rsidR="004C50DC" w:rsidRDefault="004C50DC" w:rsidP="004C50DC">
      <w:pPr>
        <w:pStyle w:val="Citation0"/>
      </w:pPr>
    </w:p>
    <w:p w:rsidR="004C50DC" w:rsidRDefault="004C50DC" w:rsidP="004C50DC">
      <w:pPr>
        <w:pStyle w:val="Citation0"/>
      </w:pPr>
      <w:r w:rsidRPr="00E8358C">
        <w:t>Le cheminement muséographique choisi dans cette exposition veut éviter les polémiques entre les tendances complètement extrémistes de part et d’autre, entre ceux qui disaient que c’est exagéré, que l’histoire de Bo</w:t>
      </w:r>
      <w:r w:rsidRPr="00E8358C">
        <w:t>r</w:t>
      </w:r>
      <w:r w:rsidRPr="00E8358C">
        <w:t>deaux ne se résumait pas à la Traite et à l’esclavage. Les pos</w:t>
      </w:r>
      <w:r w:rsidRPr="00E8358C">
        <w:t>i</w:t>
      </w:r>
      <w:r w:rsidRPr="00E8358C">
        <w:t xml:space="preserve">tions étaient cristallisées ; une véritable intolérance s’est développée. Le discours sur la traite et l’esclavage était vraiment absent au début. Certains Bordelais n’hésitent pas à nous di re, « écoutez, vos histoires ne nous intéressent pas, parce qu’on n’arrive pas à démêler le vrai du faux ». </w:t>
      </w:r>
      <w:r>
        <w:t>(Baldé, entrevue, 23 juin 2013)</w:t>
      </w:r>
    </w:p>
    <w:p w:rsidR="004C50DC" w:rsidRPr="00E8358C" w:rsidRDefault="004C50DC" w:rsidP="004C50DC">
      <w:pPr>
        <w:pStyle w:val="Citation0"/>
      </w:pPr>
    </w:p>
    <w:p w:rsidR="004C50DC" w:rsidRPr="00E8358C" w:rsidRDefault="004C50DC" w:rsidP="004C50DC">
      <w:pPr>
        <w:spacing w:before="120" w:after="120"/>
        <w:jc w:val="both"/>
      </w:pPr>
      <w:r w:rsidRPr="00E8358C">
        <w:t>Ce faisant, chaque visiteur peut apparemment se faire une opinion sur cette exposition qui doit permettre de briser l’ensemble des préj</w:t>
      </w:r>
      <w:r w:rsidRPr="00E8358C">
        <w:t>u</w:t>
      </w:r>
      <w:r w:rsidRPr="00E8358C">
        <w:t>gés qui pouvaient exister de part et d’autre.</w:t>
      </w:r>
      <w:r>
        <w:t xml:space="preserve"> [88]</w:t>
      </w:r>
      <w:r w:rsidRPr="00E8358C">
        <w:t xml:space="preserve"> Des informations br</w:t>
      </w:r>
      <w:r w:rsidRPr="00E8358C">
        <w:t>u</w:t>
      </w:r>
      <w:r w:rsidRPr="00E8358C">
        <w:t>tes sont données au public dans le cadre de cette muséographie pour qu’il construise son propre discours. Ainsi, Denise, une Martiniquaise de vingt ans habitant Bordeaux, nous donne son avis sur l’exposition lors de sa visite :</w:t>
      </w:r>
    </w:p>
    <w:p w:rsidR="004C50DC" w:rsidRDefault="004C50DC" w:rsidP="004C50DC">
      <w:pPr>
        <w:pStyle w:val="Citation0"/>
      </w:pPr>
      <w:r w:rsidRPr="00E8358C">
        <w:t>Tout n’est pas dit dans cette exposition. J’aurais bien voulu en s</w:t>
      </w:r>
      <w:r w:rsidRPr="00E8358C">
        <w:t>a</w:t>
      </w:r>
      <w:r w:rsidRPr="00E8358C">
        <w:t>voir plus sur l’esclavage et découvrir réellement ce qui s’est passé d</w:t>
      </w:r>
      <w:r w:rsidRPr="00E8358C">
        <w:t>u</w:t>
      </w:r>
      <w:r w:rsidRPr="00E8358C">
        <w:t>rant les siècles d’esclavagisme. Dans les Antilles, on est longtemps resté sur notre soif de voir la France s’excuser pour les torts faits à nos aïeux. Cette exposition aurait pu être l’occasion de présenter un discours solennel en ce sens. (D</w:t>
      </w:r>
      <w:r w:rsidRPr="00E8358C">
        <w:t>e</w:t>
      </w:r>
      <w:r w:rsidRPr="00E8358C">
        <w:t>n</w:t>
      </w:r>
      <w:r>
        <w:t>ise, entrevue, 11 juillet 2013)</w:t>
      </w:r>
    </w:p>
    <w:p w:rsidR="004C50DC" w:rsidRPr="00E8358C" w:rsidRDefault="004C50DC" w:rsidP="004C50DC">
      <w:pPr>
        <w:pStyle w:val="Citation0"/>
      </w:pPr>
    </w:p>
    <w:p w:rsidR="004C50DC" w:rsidRPr="00E8358C" w:rsidRDefault="004C50DC" w:rsidP="004C50DC">
      <w:pPr>
        <w:spacing w:before="120" w:after="120"/>
        <w:jc w:val="both"/>
      </w:pPr>
      <w:r w:rsidRPr="00E8358C">
        <w:t>D’autres visiteurs critiquent aussi le peu d’informations sur la tra</w:t>
      </w:r>
      <w:r w:rsidRPr="00E8358C">
        <w:t>i</w:t>
      </w:r>
      <w:r w:rsidRPr="00E8358C">
        <w:t>te des Noirs et voient derrière cette exposition une volonté de culpab</w:t>
      </w:r>
      <w:r w:rsidRPr="00E8358C">
        <w:t>i</w:t>
      </w:r>
      <w:r w:rsidRPr="00E8358C">
        <w:t xml:space="preserve">liser les Africains. C’est ce qu’a tenté de nous expliquer Arthur, un visiteur d’origine camerounaise âgé de 41 ans : </w:t>
      </w:r>
    </w:p>
    <w:p w:rsidR="004C50DC" w:rsidRDefault="004C50DC" w:rsidP="004C50DC">
      <w:pPr>
        <w:pStyle w:val="Citation0"/>
      </w:pPr>
    </w:p>
    <w:p w:rsidR="004C50DC" w:rsidRDefault="004C50DC" w:rsidP="004C50DC">
      <w:pPr>
        <w:pStyle w:val="Citation0"/>
      </w:pPr>
      <w:r w:rsidRPr="00E8358C">
        <w:t>En visitant l’exposition, je m’attendais à apprendre beaucoup plus sur la Traite des Noirs. Je ne m’attendais pas à ce qu’on cherche à tenir un di</w:t>
      </w:r>
      <w:r w:rsidRPr="00E8358C">
        <w:t>s</w:t>
      </w:r>
      <w:r w:rsidRPr="00E8358C">
        <w:t>cours pour montrer que les chefs africains ont vendu leurs frères. Ils sont les premiers responsables de la tragédie de l’esclavage. Ces discours ne pourraient pas tenir dans le contexte du « vivre e</w:t>
      </w:r>
      <w:r w:rsidRPr="00E8358C">
        <w:t>n</w:t>
      </w:r>
      <w:r w:rsidRPr="00E8358C">
        <w:t>semble », car la vérité n’est pas dévoilée. La participation de la ville de Bordeaux se perd dans un discours général qui a du mal à démarrer parce qu’on ne veut pas trop aborder la question de la richesse de Bordeaux construite sur la Traite des Noirs et l’esclavage. (Arthur, entrevue, 11 juillet 2013)</w:t>
      </w:r>
    </w:p>
    <w:p w:rsidR="004C50DC" w:rsidRPr="00E8358C" w:rsidRDefault="004C50DC" w:rsidP="004C50DC">
      <w:pPr>
        <w:pStyle w:val="Citation0"/>
      </w:pPr>
    </w:p>
    <w:p w:rsidR="004C50DC" w:rsidRPr="00E8358C" w:rsidRDefault="004C50DC" w:rsidP="004C50DC">
      <w:pPr>
        <w:spacing w:before="120" w:after="120"/>
        <w:jc w:val="both"/>
        <w:rPr>
          <w:lang w:eastAsia="en-CA"/>
        </w:rPr>
      </w:pPr>
      <w:r w:rsidRPr="00E8358C">
        <w:rPr>
          <w:lang w:eastAsia="en-CA"/>
        </w:rPr>
        <w:t>Nous avons également pu interroger un Bordelais sur cette expos</w:t>
      </w:r>
      <w:r w:rsidRPr="00E8358C">
        <w:rPr>
          <w:lang w:eastAsia="en-CA"/>
        </w:rPr>
        <w:t>i</w:t>
      </w:r>
      <w:r w:rsidRPr="00E8358C">
        <w:rPr>
          <w:lang w:eastAsia="en-CA"/>
        </w:rPr>
        <w:t>tion portant sur les pratiques de remémoration de l’esclavage. Il s’agit de Vernet, 43 ans, Bordelais d’origine française, avec lequel nous nous sommes entretenu lors de sa visite du musée d’Aquitaine. Il nous a fait part de ses impressions :</w:t>
      </w:r>
    </w:p>
    <w:p w:rsidR="004C50DC" w:rsidRDefault="004C50DC" w:rsidP="004C50DC">
      <w:pPr>
        <w:pStyle w:val="Citation0"/>
      </w:pPr>
    </w:p>
    <w:p w:rsidR="004C50DC" w:rsidRDefault="004C50DC" w:rsidP="004C50DC">
      <w:pPr>
        <w:pStyle w:val="Citation0"/>
      </w:pPr>
      <w:r w:rsidRPr="00E8358C">
        <w:t>À Bordeaux, la traite négrière ne représente que 5% de l’activité portuaire, par rapport aux autres villes européennes. Toutefois, c’est une bonne in</w:t>
      </w:r>
      <w:r w:rsidRPr="00E8358C">
        <w:t>i</w:t>
      </w:r>
      <w:r w:rsidRPr="00E8358C">
        <w:t>tiative de confronter la ville à son histoire. J’ai beaucoup appris de cette exposition. Elle traite d’un sujet qui concerne l’humanité tout entière. J’encourage les autres villes à suivre l’exemple de Bordeaux. Le moment est venu de faire le travail de mémoire sur la traite et l’esclavage. Le mo</w:t>
      </w:r>
      <w:r w:rsidRPr="00E8358C">
        <w:t>n</w:t>
      </w:r>
      <w:r w:rsidRPr="00E8358C">
        <w:t>de doit savoir ce qui s’est passé exactement pour éviter que de pareils a</w:t>
      </w:r>
      <w:r w:rsidRPr="00E8358C">
        <w:t>c</w:t>
      </w:r>
      <w:r w:rsidRPr="00E8358C">
        <w:t>tes abominables se r</w:t>
      </w:r>
      <w:r w:rsidRPr="00E8358C">
        <w:t>e</w:t>
      </w:r>
      <w:r w:rsidRPr="00E8358C">
        <w:t>produisent aujourd’hui. (Vernet, entrevue, 12 juillet 2013)</w:t>
      </w:r>
    </w:p>
    <w:p w:rsidR="004C50DC" w:rsidRPr="00E8358C" w:rsidRDefault="004C50DC" w:rsidP="004C50DC">
      <w:pPr>
        <w:pStyle w:val="Citation0"/>
      </w:pPr>
    </w:p>
    <w:p w:rsidR="004C50DC" w:rsidRPr="00E8358C" w:rsidRDefault="004C50DC" w:rsidP="004C50DC">
      <w:pPr>
        <w:spacing w:before="120" w:after="120"/>
        <w:jc w:val="both"/>
      </w:pPr>
      <w:r w:rsidRPr="00E8358C">
        <w:t>Il est trop simpliste d’évaluer le travail de mémoire par le pource</w:t>
      </w:r>
      <w:r w:rsidRPr="00E8358C">
        <w:t>n</w:t>
      </w:r>
      <w:r w:rsidRPr="00E8358C">
        <w:t>tage de participation d’une ville à</w:t>
      </w:r>
      <w:r>
        <w:t xml:space="preserve"> </w:t>
      </w:r>
      <w:r w:rsidRPr="00E8358C">
        <w:t xml:space="preserve">la traite négrière. Ce crime contre l’humanité ne saurait se résumer à une approche statistique. Bordeaux reste le deuxième port négrier français. « La ville </w:t>
      </w:r>
      <w:r>
        <w:t xml:space="preserve">[89] </w:t>
      </w:r>
      <w:r w:rsidRPr="00E8358C">
        <w:t>n’occupait que la seconde place du trafic négrier (11%), loin derrière Nantes (41%) »</w:t>
      </w:r>
      <w:r>
        <w:t> </w:t>
      </w:r>
      <w:r>
        <w:rPr>
          <w:rStyle w:val="Appelnotedebasdep"/>
        </w:rPr>
        <w:footnoteReference w:id="286"/>
      </w:r>
      <w:r w:rsidRPr="00E8358C">
        <w:t>. Derrière cette statistique de 5% se cache la</w:t>
      </w:r>
      <w:r>
        <w:t xml:space="preserve"> </w:t>
      </w:r>
      <w:r w:rsidRPr="00E8358C">
        <w:t>dure réalité humaine de 120 000 à 150 000 déportés. Les 95% restants ne peuvent non plus être exemptés de la question de l’esclavage. Justement, c’est une vision globale sur l’esclavage qu’il faut mobiliser dans une patr</w:t>
      </w:r>
      <w:r w:rsidRPr="00E8358C">
        <w:t>i</w:t>
      </w:r>
      <w:r w:rsidRPr="00E8358C">
        <w:t>monialisation de ses mémoires à travers le monde.</w:t>
      </w:r>
    </w:p>
    <w:p w:rsidR="004C50DC" w:rsidRPr="00E8358C" w:rsidRDefault="004C50DC" w:rsidP="004C50DC">
      <w:pPr>
        <w:spacing w:before="120" w:after="120"/>
        <w:jc w:val="both"/>
      </w:pPr>
      <w:r w:rsidRPr="00E8358C">
        <w:t>Dans une exposition, on ne saurait tout mettre ni tout dire. Sinon le musée d’Aquitaine ne suffirait pas pour expliquer la Traite transatla</w:t>
      </w:r>
      <w:r w:rsidRPr="00E8358C">
        <w:t>n</w:t>
      </w:r>
      <w:r w:rsidRPr="00E8358C">
        <w:t>tique. Il est vrai que représenter l’histoire de l’esclavage dans son e</w:t>
      </w:r>
      <w:r w:rsidRPr="00E8358C">
        <w:t>n</w:t>
      </w:r>
      <w:r w:rsidRPr="00E8358C">
        <w:t>semble pourrait entraîner le visiteur dans des généralités ne prenant pas en compte la participation réelle de la ville et n’en déterminant pas les responsabilités. Comme dans la plupart des musées, le conserv</w:t>
      </w:r>
      <w:r w:rsidRPr="00E8358C">
        <w:t>a</w:t>
      </w:r>
      <w:r w:rsidRPr="00E8358C">
        <w:t>teur a choisi de mettre en relief les grandes pistes et propose des sujets de recherche. Il met en évidence des éléments importants pour po</w:t>
      </w:r>
      <w:r w:rsidRPr="00E8358C">
        <w:t>u</w:t>
      </w:r>
      <w:r w:rsidRPr="00E8358C">
        <w:t xml:space="preserve">voir inciter le visiteur à réfléchir et à sélectionner.  </w:t>
      </w:r>
    </w:p>
    <w:p w:rsidR="004C50DC" w:rsidRDefault="004C50DC" w:rsidP="004C50DC">
      <w:pPr>
        <w:spacing w:before="120" w:after="120"/>
        <w:jc w:val="both"/>
      </w:pPr>
      <w:bookmarkStart w:id="110" w:name="_Toc423347283"/>
      <w:bookmarkStart w:id="111" w:name="_Toc442280461"/>
    </w:p>
    <w:p w:rsidR="004C50DC" w:rsidRPr="00E8358C" w:rsidRDefault="004C50DC" w:rsidP="004C50DC">
      <w:pPr>
        <w:pStyle w:val="a"/>
      </w:pPr>
      <w:r w:rsidRPr="00E8358C">
        <w:t>2.2.2. Dans les Départements d’outre-mer français</w:t>
      </w:r>
      <w:bookmarkEnd w:id="110"/>
      <w:bookmarkEnd w:id="111"/>
    </w:p>
    <w:p w:rsidR="004C50DC" w:rsidRDefault="004C50DC" w:rsidP="004C50DC">
      <w:pPr>
        <w:spacing w:before="120" w:after="120"/>
        <w:jc w:val="both"/>
        <w:rPr>
          <w:lang w:eastAsia="en-CA"/>
        </w:rPr>
      </w:pPr>
    </w:p>
    <w:p w:rsidR="004C50DC" w:rsidRPr="00E8358C" w:rsidRDefault="004C50DC" w:rsidP="004C50DC">
      <w:pPr>
        <w:spacing w:before="120" w:after="120"/>
        <w:jc w:val="both"/>
        <w:rPr>
          <w:lang w:eastAsia="en-CA"/>
        </w:rPr>
      </w:pPr>
      <w:r w:rsidRPr="00E8358C">
        <w:rPr>
          <w:lang w:eastAsia="en-CA"/>
        </w:rPr>
        <w:t xml:space="preserve">Les Départements d’outre-mer français (Guadeloupe, Martinique, Guyane, Réunion…) ont assisté à l’ouverture de l’une des pages les plus sombres de leur passé : l’esclavage. </w:t>
      </w:r>
      <w:r w:rsidRPr="00E8358C">
        <w:rPr>
          <w:bCs/>
          <w:lang w:eastAsia="en-CA"/>
        </w:rPr>
        <w:t xml:space="preserve">En Martinique, </w:t>
      </w:r>
      <w:r w:rsidRPr="00E8358C">
        <w:rPr>
          <w:lang w:eastAsia="en-CA"/>
        </w:rPr>
        <w:t>on présente souvent des montages traitant des symboles du corps et de sa relation avec l’histoire</w:t>
      </w:r>
      <w:r>
        <w:rPr>
          <w:lang w:eastAsia="en-CA"/>
        </w:rPr>
        <w:t> </w:t>
      </w:r>
      <w:r w:rsidRPr="00E8358C">
        <w:rPr>
          <w:rStyle w:val="Appelnotedebasdep"/>
          <w:lang w:eastAsia="en-CA"/>
        </w:rPr>
        <w:footnoteReference w:id="287"/>
      </w:r>
      <w:r w:rsidRPr="00E8358C">
        <w:rPr>
          <w:lang w:eastAsia="en-CA"/>
        </w:rPr>
        <w:t>. À la Réunion, des actions culturelles comme une e</w:t>
      </w:r>
      <w:r w:rsidRPr="00E8358C">
        <w:rPr>
          <w:lang w:eastAsia="en-CA"/>
        </w:rPr>
        <w:t>x</w:t>
      </w:r>
      <w:r w:rsidRPr="00E8358C">
        <w:rPr>
          <w:lang w:eastAsia="en-CA"/>
        </w:rPr>
        <w:t>position sur l’abolition de l’esclavage, la vente de timbres et des conférences-débats animées par des professeurs de la chaire de l’UNESCO sont organisées depuis 2004. En Guyane, contrairement aux autres départements qui multiplient les lieux de mémoire, les in</w:t>
      </w:r>
      <w:r w:rsidRPr="00E8358C">
        <w:rPr>
          <w:lang w:eastAsia="en-CA"/>
        </w:rPr>
        <w:t>i</w:t>
      </w:r>
      <w:r w:rsidRPr="00E8358C">
        <w:rPr>
          <w:lang w:eastAsia="en-CA"/>
        </w:rPr>
        <w:t>tiatives sont moins nombreuses, car l’esclavage reste encore un sujet sensible</w:t>
      </w:r>
      <w:r>
        <w:rPr>
          <w:lang w:eastAsia="en-CA"/>
        </w:rPr>
        <w:t> </w:t>
      </w:r>
      <w:r w:rsidRPr="00E8358C">
        <w:rPr>
          <w:rStyle w:val="Appelnotedebasdep"/>
          <w:lang w:eastAsia="en-CA"/>
        </w:rPr>
        <w:footnoteReference w:id="288"/>
      </w:r>
      <w:r w:rsidRPr="00E8358C">
        <w:rPr>
          <w:lang w:eastAsia="en-CA"/>
        </w:rPr>
        <w:t>. En 2006, un mois a été consacré à la mémoire de l’esclavage pour la première fois, soit du 10 mai 2006</w:t>
      </w:r>
      <w:r>
        <w:rPr>
          <w:lang w:eastAsia="en-CA"/>
        </w:rPr>
        <w:t xml:space="preserve"> [90]</w:t>
      </w:r>
      <w:r w:rsidRPr="00E8358C">
        <w:rPr>
          <w:lang w:eastAsia="en-CA"/>
        </w:rPr>
        <w:t xml:space="preserve"> (Journée nationale de commémoration de la mémoire de la traite, de l’esclavage et de leurs abolitions) au 10 juin (Journée de commémor</w:t>
      </w:r>
      <w:r w:rsidRPr="00E8358C">
        <w:rPr>
          <w:lang w:eastAsia="en-CA"/>
        </w:rPr>
        <w:t>a</w:t>
      </w:r>
      <w:r w:rsidRPr="00E8358C">
        <w:rPr>
          <w:lang w:eastAsia="en-CA"/>
        </w:rPr>
        <w:t>tion de l’abolition de l’esclavage en Guyane)</w:t>
      </w:r>
      <w:r>
        <w:rPr>
          <w:lang w:eastAsia="en-CA"/>
        </w:rPr>
        <w:t> </w:t>
      </w:r>
      <w:r>
        <w:rPr>
          <w:rStyle w:val="Appelnotedebasdep"/>
          <w:lang w:eastAsia="en-CA"/>
        </w:rPr>
        <w:footnoteReference w:id="289"/>
      </w:r>
      <w:r w:rsidRPr="00E8358C">
        <w:rPr>
          <w:lang w:eastAsia="en-CA"/>
        </w:rPr>
        <w:t xml:space="preserve">. </w:t>
      </w:r>
      <w:r w:rsidRPr="00E8358C">
        <w:t>Les Guadeloupéens vivent encore l’affranchissement de l’esclavage comme si c’était une affaire  récente</w:t>
      </w:r>
      <w:r w:rsidRPr="00E8358C">
        <w:rPr>
          <w:lang w:eastAsia="en-CA"/>
        </w:rPr>
        <w:t>. Comment commémorer ce passé ? Au Fort de l’Épée, un festival « mémoire pour la liberté» a été réalisé en 2006 sur le th</w:t>
      </w:r>
      <w:r w:rsidRPr="00E8358C">
        <w:rPr>
          <w:lang w:eastAsia="en-CA"/>
        </w:rPr>
        <w:t>è</w:t>
      </w:r>
      <w:r w:rsidRPr="00E8358C">
        <w:rPr>
          <w:lang w:eastAsia="en-CA"/>
        </w:rPr>
        <w:t>me de l’abolition de l’esclavage</w:t>
      </w:r>
      <w:r>
        <w:rPr>
          <w:lang w:eastAsia="en-CA"/>
        </w:rPr>
        <w:t> </w:t>
      </w:r>
      <w:r>
        <w:rPr>
          <w:rStyle w:val="Appelnotedebasdep"/>
          <w:lang w:eastAsia="en-CA"/>
        </w:rPr>
        <w:footnoteReference w:id="290"/>
      </w:r>
      <w:r w:rsidRPr="00E8358C">
        <w:rPr>
          <w:lang w:eastAsia="en-CA"/>
        </w:rPr>
        <w:t xml:space="preserve">. </w:t>
      </w:r>
    </w:p>
    <w:p w:rsidR="004C50DC" w:rsidRPr="00E8358C" w:rsidRDefault="004C50DC" w:rsidP="004C50DC">
      <w:pPr>
        <w:spacing w:before="120" w:after="120"/>
        <w:jc w:val="both"/>
      </w:pPr>
      <w:r w:rsidRPr="00E8358C">
        <w:t>Le Mémorial ACTe en Guadeloupe</w:t>
      </w:r>
      <w:r>
        <w:t> </w:t>
      </w:r>
      <w:r>
        <w:rPr>
          <w:rStyle w:val="Appelnotedebasdep"/>
        </w:rPr>
        <w:footnoteReference w:id="291"/>
      </w:r>
      <w:r w:rsidRPr="00E8358C">
        <w:t xml:space="preserve"> permet d’avoir une vue gl</w:t>
      </w:r>
      <w:r w:rsidRPr="00E8358C">
        <w:t>o</w:t>
      </w:r>
      <w:r w:rsidRPr="00E8358C">
        <w:t>bale sur les esclavages. Il prend en compte les éléments fondateurs des esclavages et de la traite négrière transatlantique  (bateaux, denrées, esclaves, chaînes d’esclaves, plantations, etc.). Comme le rapporte Antoine Flandrin, « les visiteurs passent par les cales virtuelles d’un bateau. Ils en ressortent éblouis par un torrent de lumière, à la manière des esclaves africains débarquant sur les plages des Caraïbes. […] Ce Mémorial ACTe propose de sortir des logiques victimaires et rend hommage aux héros de la résistance à l’esclavage, au marronnage et aux différentes formes d’insoumission »</w:t>
      </w:r>
      <w:r>
        <w:t> </w:t>
      </w:r>
      <w:r>
        <w:rPr>
          <w:rStyle w:val="Appelnotedebasdep"/>
        </w:rPr>
        <w:footnoteReference w:id="292"/>
      </w:r>
      <w:r w:rsidRPr="00E8358C">
        <w:t>. Selon Victorin Lurel, le Mémorial ACTe est appelé à devenir « l’âme de la Guadeloupe », un instrument de réconciliation sociale</w:t>
      </w:r>
      <w:r>
        <w:t> </w:t>
      </w:r>
      <w:r>
        <w:rPr>
          <w:rStyle w:val="Appelnotedebasdep"/>
        </w:rPr>
        <w:footnoteReference w:id="293"/>
      </w:r>
      <w:r w:rsidRPr="00E8358C">
        <w:t>.  Cependant, il faut rappeler que le Mémorial ACTe ne fait pas l’unanimité chez les Guadelo</w:t>
      </w:r>
      <w:r w:rsidRPr="00E8358C">
        <w:t>u</w:t>
      </w:r>
      <w:r w:rsidRPr="00E8358C">
        <w:t xml:space="preserve">péens. Il reste un patrimoine en devenir.  </w:t>
      </w:r>
    </w:p>
    <w:p w:rsidR="004C50DC" w:rsidRPr="00E8358C" w:rsidRDefault="004C50DC" w:rsidP="004C50DC">
      <w:pPr>
        <w:spacing w:before="120" w:after="120"/>
        <w:jc w:val="both"/>
      </w:pPr>
      <w:r w:rsidRPr="00E8358C">
        <w:t>Plus de quatre-vingts millions d’euros ont été dépensés pour con</w:t>
      </w:r>
      <w:r w:rsidRPr="00E8358C">
        <w:t>s</w:t>
      </w:r>
      <w:r w:rsidRPr="00E8358C">
        <w:t>truire le Mémorial ACTe. Certains Guadeloupéens pensent qu’on a</w:t>
      </w:r>
      <w:r w:rsidRPr="00E8358C">
        <w:t>u</w:t>
      </w:r>
      <w:r w:rsidRPr="00E8358C">
        <w:t>rait dû investir cet argent dans d’autres projets sociaux pour réparer les conséquences de la tragédie de l’esclavage transatlantique ; d’autres s’interrogent sur la nécessité de cette construction dans la s</w:t>
      </w:r>
      <w:r w:rsidRPr="00E8358C">
        <w:t>o</w:t>
      </w:r>
      <w:r w:rsidRPr="00E8358C">
        <w:t>ciété guadeloupéenne aujourd’hui. Les critiques de Mélina Seymour, fondatrice du parti Ambition Guadeloupe,</w:t>
      </w:r>
      <w:r>
        <w:t xml:space="preserve"> [91]</w:t>
      </w:r>
      <w:r w:rsidRPr="00E8358C">
        <w:t xml:space="preserve"> vont dans le même sens : « cette somme aurait dû être investie pour créer des emplois, notamment pour les jeunes Guadeloupéens, dont plus de la moitié sont frappés par le chômage ». L’objectif de renforcer le développement du tourisme sur l’île semble être aussi l’un des axes principaux de la construction de cette œuvre imposante ; mais Mélina Seymour pense que « rien ne garantit que le Mémorial ACTe réussisse à attirer des touristes métropolitains et américains, et à relancer l'offre tourist</w:t>
      </w:r>
      <w:r w:rsidRPr="00E8358C">
        <w:t>i</w:t>
      </w:r>
      <w:r w:rsidRPr="00E8358C">
        <w:t>que»</w:t>
      </w:r>
      <w:r>
        <w:t> </w:t>
      </w:r>
      <w:r w:rsidRPr="00E8358C">
        <w:rPr>
          <w:rStyle w:val="Appelnotedebasdep"/>
        </w:rPr>
        <w:footnoteReference w:id="294"/>
      </w:r>
      <w:r w:rsidRPr="00E8358C">
        <w:t>.</w:t>
      </w:r>
    </w:p>
    <w:p w:rsidR="004C50DC" w:rsidRPr="00E8358C" w:rsidRDefault="004C50DC" w:rsidP="004C50DC">
      <w:pPr>
        <w:spacing w:before="120" w:after="120"/>
        <w:jc w:val="both"/>
      </w:pPr>
      <w:r w:rsidRPr="00E8358C">
        <w:rPr>
          <w:bCs/>
        </w:rPr>
        <w:t>L</w:t>
      </w:r>
      <w:r w:rsidRPr="00E8358C">
        <w:rPr>
          <w:lang w:eastAsia="en-CA"/>
        </w:rPr>
        <w:t xml:space="preserve">a complexité des processus de patrimonialisation des lieux de mémoire </w:t>
      </w:r>
      <w:r w:rsidRPr="00E8358C">
        <w:rPr>
          <w:bCs/>
        </w:rPr>
        <w:t xml:space="preserve">de l’esclavage peut s’expliquer par </w:t>
      </w:r>
      <w:r w:rsidRPr="00E8358C">
        <w:rPr>
          <w:lang w:eastAsia="en-CA"/>
        </w:rPr>
        <w:t>la mémoire qui engage à la fois l’identité des habitants des territoires ultramarins, leur sensibil</w:t>
      </w:r>
      <w:r w:rsidRPr="00E8358C">
        <w:rPr>
          <w:lang w:eastAsia="en-CA"/>
        </w:rPr>
        <w:t>i</w:t>
      </w:r>
      <w:r w:rsidRPr="00E8358C">
        <w:rPr>
          <w:lang w:eastAsia="en-CA"/>
        </w:rPr>
        <w:t>té vis-à-vis du passé</w:t>
      </w:r>
      <w:r w:rsidRPr="00E8358C">
        <w:rPr>
          <w:bCs/>
        </w:rPr>
        <w:t xml:space="preserve"> et la volonté </w:t>
      </w:r>
      <w:r w:rsidRPr="00E8358C">
        <w:rPr>
          <w:lang w:eastAsia="en-CA"/>
        </w:rPr>
        <w:t>de faire émerger et revivre le souv</w:t>
      </w:r>
      <w:r w:rsidRPr="00E8358C">
        <w:rPr>
          <w:lang w:eastAsia="en-CA"/>
        </w:rPr>
        <w:t>e</w:t>
      </w:r>
      <w:r w:rsidRPr="00E8358C">
        <w:rPr>
          <w:lang w:eastAsia="en-CA"/>
        </w:rPr>
        <w:t>nir des esclaves qui a été jusqu’ici négligé après « un siècle et demi d’oubli »</w:t>
      </w:r>
      <w:r>
        <w:rPr>
          <w:lang w:eastAsia="en-CA"/>
        </w:rPr>
        <w:t> </w:t>
      </w:r>
      <w:r w:rsidRPr="00E8358C">
        <w:rPr>
          <w:rStyle w:val="Appelnotedebasdep"/>
          <w:lang w:eastAsia="en-CA"/>
        </w:rPr>
        <w:footnoteReference w:id="295"/>
      </w:r>
      <w:r w:rsidRPr="00E8358C">
        <w:rPr>
          <w:bCs/>
        </w:rPr>
        <w:t xml:space="preserve"> par </w:t>
      </w:r>
      <w:r w:rsidRPr="00E8358C">
        <w:rPr>
          <w:lang w:eastAsia="en-CA"/>
        </w:rPr>
        <w:t xml:space="preserve">toutes les composantes de la société. </w:t>
      </w:r>
      <w:r w:rsidRPr="00E8358C">
        <w:rPr>
          <w:bCs/>
        </w:rPr>
        <w:t>Pour Thierry N</w:t>
      </w:r>
      <w:r w:rsidRPr="00E8358C">
        <w:rPr>
          <w:bCs/>
        </w:rPr>
        <w:t>i</w:t>
      </w:r>
      <w:r w:rsidRPr="00E8358C">
        <w:rPr>
          <w:bCs/>
        </w:rPr>
        <w:t>colas</w:t>
      </w:r>
      <w:r>
        <w:rPr>
          <w:bCs/>
        </w:rPr>
        <w:t> </w:t>
      </w:r>
      <w:r>
        <w:rPr>
          <w:rStyle w:val="Appelnotedebasdep"/>
          <w:bCs/>
        </w:rPr>
        <w:footnoteReference w:id="296"/>
      </w:r>
      <w:r w:rsidRPr="00E8358C">
        <w:rPr>
          <w:bCs/>
        </w:rPr>
        <w:t xml:space="preserve">, </w:t>
      </w:r>
      <w:r w:rsidRPr="00E8358C">
        <w:t>« ces lieux pourvus d’un sens nouveau peinent à accéder au statut d’éléments du patrimoine. De façon paradoxale, les obstacles à leur patrimonialisation ne tiennent pas à l’idée que de tels lieux pou</w:t>
      </w:r>
      <w:r w:rsidRPr="00E8358C">
        <w:t>r</w:t>
      </w:r>
      <w:r w:rsidRPr="00E8358C">
        <w:t>raient constituer des symptômes de la résurgence d’une idéologie n</w:t>
      </w:r>
      <w:r w:rsidRPr="00E8358C">
        <w:t>a</w:t>
      </w:r>
      <w:r w:rsidRPr="00E8358C">
        <w:t xml:space="preserve">tionaliste, mais résident plutôt dans leur déficit d’historicité ». </w:t>
      </w:r>
      <w:r w:rsidRPr="00E8358C">
        <w:rPr>
          <w:lang w:eastAsia="en-CA"/>
        </w:rPr>
        <w:t>Selon les historiens Jean Poirier et Sudel Fuma</w:t>
      </w:r>
      <w:r>
        <w:rPr>
          <w:lang w:eastAsia="en-CA"/>
        </w:rPr>
        <w:t> </w:t>
      </w:r>
      <w:r>
        <w:rPr>
          <w:rStyle w:val="Appelnotedebasdep"/>
          <w:lang w:eastAsia="en-CA"/>
        </w:rPr>
        <w:footnoteReference w:id="297"/>
      </w:r>
      <w:r w:rsidRPr="00E8358C">
        <w:rPr>
          <w:lang w:eastAsia="en-CA"/>
        </w:rPr>
        <w:t>, « les descendants d’affranchis éprouvaient une réserve puisqu’il leur paraissait honteux d’avoir eu des ascendants en servitude ». Il a fallu « la revendication séparatiste des années 1990 et la capacité des descendants d’esclaves à affronter ce passé pour que la mémoire de l’esclavage trouve un contexte propice à son expression »</w:t>
      </w:r>
      <w:r w:rsidRPr="00E8358C">
        <w:rPr>
          <w:rStyle w:val="Appelnotedebasdep"/>
          <w:lang w:eastAsia="en-CA"/>
        </w:rPr>
        <w:footnoteReference w:id="298"/>
      </w:r>
      <w:r w:rsidRPr="00E8358C">
        <w:rPr>
          <w:lang w:eastAsia="en-CA"/>
        </w:rPr>
        <w:t xml:space="preserve">.  </w:t>
      </w:r>
    </w:p>
    <w:p w:rsidR="004C50DC" w:rsidRPr="00E8358C" w:rsidRDefault="004C50DC" w:rsidP="004C50DC">
      <w:pPr>
        <w:spacing w:before="120" w:after="120"/>
        <w:jc w:val="both"/>
        <w:rPr>
          <w:lang w:eastAsia="en-CA"/>
        </w:rPr>
      </w:pPr>
      <w:r w:rsidRPr="00E8358C">
        <w:rPr>
          <w:lang w:eastAsia="en-CA"/>
        </w:rPr>
        <w:t>Cette situation amène à revoir la question de la mémoire collective à la Martinique où la  patrimonialisation des représentations de l’esclavage se heurte à de vrais obstacles. Les récents lieux de mémo</w:t>
      </w:r>
      <w:r w:rsidRPr="00E8358C">
        <w:rPr>
          <w:lang w:eastAsia="en-CA"/>
        </w:rPr>
        <w:t>i</w:t>
      </w:r>
      <w:r w:rsidRPr="00E8358C">
        <w:rPr>
          <w:lang w:eastAsia="en-CA"/>
        </w:rPr>
        <w:t>re souffrent d’un problème de reconnaissance institutionnelle et ont</w:t>
      </w:r>
      <w:r>
        <w:rPr>
          <w:lang w:eastAsia="en-CA"/>
        </w:rPr>
        <w:t xml:space="preserve"> [92]</w:t>
      </w:r>
      <w:r w:rsidRPr="00E8358C">
        <w:rPr>
          <w:lang w:eastAsia="en-CA"/>
        </w:rPr>
        <w:t xml:space="preserve"> du mal à acquérir une dimension historique</w:t>
      </w:r>
      <w:r>
        <w:rPr>
          <w:lang w:eastAsia="en-CA"/>
        </w:rPr>
        <w:t> </w:t>
      </w:r>
      <w:r w:rsidRPr="00E8358C">
        <w:rPr>
          <w:rStyle w:val="Appelnotedebasdep"/>
          <w:lang w:eastAsia="en-CA"/>
        </w:rPr>
        <w:footnoteReference w:id="299"/>
      </w:r>
      <w:r w:rsidRPr="00E8358C">
        <w:rPr>
          <w:lang w:eastAsia="en-CA"/>
        </w:rPr>
        <w:t>. La relecture de l’histoire de la Nation est mal vue. Pour certains intellectuels et ho</w:t>
      </w:r>
      <w:r w:rsidRPr="00E8358C">
        <w:rPr>
          <w:lang w:eastAsia="en-CA"/>
        </w:rPr>
        <w:t>m</w:t>
      </w:r>
      <w:r w:rsidRPr="00E8358C">
        <w:rPr>
          <w:lang w:eastAsia="en-CA"/>
        </w:rPr>
        <w:t>mes politiques, il faut préserver le récit national, en finir avec la r</w:t>
      </w:r>
      <w:r w:rsidRPr="00E8358C">
        <w:rPr>
          <w:lang w:eastAsia="en-CA"/>
        </w:rPr>
        <w:t>e</w:t>
      </w:r>
      <w:r w:rsidRPr="00E8358C">
        <w:rPr>
          <w:lang w:eastAsia="en-CA"/>
        </w:rPr>
        <w:t>pentance et oublier les pages sombres du passé colonial. Donc il faut combattre ce mal « typiquement français »</w:t>
      </w:r>
      <w:r>
        <w:rPr>
          <w:lang w:eastAsia="en-CA"/>
        </w:rPr>
        <w:t> </w:t>
      </w:r>
      <w:r>
        <w:rPr>
          <w:rStyle w:val="Appelnotedebasdep"/>
          <w:lang w:eastAsia="en-CA"/>
        </w:rPr>
        <w:footnoteReference w:id="300"/>
      </w:r>
      <w:r w:rsidRPr="00E8358C">
        <w:rPr>
          <w:lang w:eastAsia="en-CA"/>
        </w:rPr>
        <w:t>. Mais, selon Myriam Co</w:t>
      </w:r>
      <w:r w:rsidRPr="00E8358C">
        <w:rPr>
          <w:lang w:eastAsia="en-CA"/>
        </w:rPr>
        <w:t>t</w:t>
      </w:r>
      <w:r w:rsidRPr="00E8358C">
        <w:rPr>
          <w:lang w:eastAsia="en-CA"/>
        </w:rPr>
        <w:t>tias</w:t>
      </w:r>
      <w:r>
        <w:rPr>
          <w:lang w:eastAsia="en-CA"/>
        </w:rPr>
        <w:t> </w:t>
      </w:r>
      <w:r w:rsidRPr="00E8358C">
        <w:rPr>
          <w:rStyle w:val="Appelnotedebasdep"/>
          <w:lang w:eastAsia="en-CA"/>
        </w:rPr>
        <w:footnoteReference w:id="301"/>
      </w:r>
      <w:r w:rsidRPr="00E8358C">
        <w:rPr>
          <w:lang w:eastAsia="en-CA"/>
        </w:rPr>
        <w:t>,</w:t>
      </w:r>
    </w:p>
    <w:p w:rsidR="004C50DC" w:rsidRDefault="004C50DC" w:rsidP="004C50DC">
      <w:pPr>
        <w:pStyle w:val="Citation0"/>
        <w:rPr>
          <w:lang w:eastAsia="en-CA"/>
        </w:rPr>
      </w:pPr>
    </w:p>
    <w:p w:rsidR="004C50DC" w:rsidRDefault="004C50DC" w:rsidP="004C50DC">
      <w:pPr>
        <w:pStyle w:val="Citation0"/>
        <w:rPr>
          <w:lang w:eastAsia="en-CA"/>
        </w:rPr>
      </w:pPr>
      <w:r w:rsidRPr="00E8358C">
        <w:rPr>
          <w:lang w:eastAsia="en-CA"/>
        </w:rPr>
        <w:t>l’histoire objective ou subjective a ainsi toujours fait silence sur une hi</w:t>
      </w:r>
      <w:r w:rsidRPr="00E8358C">
        <w:rPr>
          <w:lang w:eastAsia="en-CA"/>
        </w:rPr>
        <w:t>s</w:t>
      </w:r>
      <w:r w:rsidRPr="00E8358C">
        <w:rPr>
          <w:lang w:eastAsia="en-CA"/>
        </w:rPr>
        <w:t>toire de l’esclavage et, plus largement, une histoire coloniale qui revient en force actuellement pour interroger et secouer l’universalisme républ</w:t>
      </w:r>
      <w:r w:rsidRPr="00E8358C">
        <w:rPr>
          <w:lang w:eastAsia="en-CA"/>
        </w:rPr>
        <w:t>i</w:t>
      </w:r>
      <w:r w:rsidRPr="00E8358C">
        <w:rPr>
          <w:lang w:eastAsia="en-CA"/>
        </w:rPr>
        <w:t>cain, car de nombreux acteurs de la société française sont porteurs de cette histoire […]Sans un travail d’histoire et de mémoire, il est à craindre que le terme « esclavage » soit une sorte de mot-valise où l’expérience des a</w:t>
      </w:r>
      <w:r w:rsidRPr="00E8358C">
        <w:rPr>
          <w:lang w:eastAsia="en-CA"/>
        </w:rPr>
        <w:t>c</w:t>
      </w:r>
      <w:r w:rsidRPr="00E8358C">
        <w:rPr>
          <w:lang w:eastAsia="en-CA"/>
        </w:rPr>
        <w:t>teurs sociaux serait compl</w:t>
      </w:r>
      <w:r w:rsidRPr="00E8358C">
        <w:rPr>
          <w:lang w:eastAsia="en-CA"/>
        </w:rPr>
        <w:t>è</w:t>
      </w:r>
      <w:r w:rsidRPr="00E8358C">
        <w:rPr>
          <w:lang w:eastAsia="en-CA"/>
        </w:rPr>
        <w:t>tement gommée une nouvelle fois, mais où se retrouveraient toutes les attentes politiques du moment. En ce sens, l’utilisation du terme ne serait qu’un ressort politique qui permettrait d’atteindre des objectifs situés en dehors du champ partagé des attentes sociales</w:t>
      </w:r>
      <w:r>
        <w:rPr>
          <w:lang w:eastAsia="en-CA"/>
        </w:rPr>
        <w:t> </w:t>
      </w:r>
      <w:r w:rsidRPr="00E8358C">
        <w:rPr>
          <w:rStyle w:val="Appelnotedebasdep"/>
          <w:szCs w:val="22"/>
          <w:lang w:eastAsia="en-CA"/>
        </w:rPr>
        <w:footnoteReference w:id="302"/>
      </w:r>
      <w:r w:rsidRPr="00E8358C">
        <w:rPr>
          <w:lang w:eastAsia="en-CA"/>
        </w:rPr>
        <w:t xml:space="preserve">. </w:t>
      </w:r>
    </w:p>
    <w:p w:rsidR="004C50DC" w:rsidRPr="00E8358C" w:rsidRDefault="004C50DC" w:rsidP="004C50DC">
      <w:pPr>
        <w:pStyle w:val="Citation0"/>
        <w:rPr>
          <w:lang w:eastAsia="en-CA"/>
        </w:rPr>
      </w:pPr>
    </w:p>
    <w:p w:rsidR="004C50DC" w:rsidRPr="00E8358C" w:rsidRDefault="004C50DC" w:rsidP="004C50DC">
      <w:pPr>
        <w:spacing w:before="120" w:after="120"/>
        <w:jc w:val="both"/>
      </w:pPr>
      <w:r w:rsidRPr="00E8358C">
        <w:t xml:space="preserve">Entre-temps, d’autres </w:t>
      </w:r>
      <w:r w:rsidRPr="00E8358C">
        <w:rPr>
          <w:lang w:eastAsia="en-CA"/>
        </w:rPr>
        <w:t xml:space="preserve">travaux universitaires </w:t>
      </w:r>
      <w:r w:rsidRPr="00E8358C">
        <w:t>continuent d’alimenter l’historiographie de l’esclavage en utilisant diverses méthodes. L’anthropologue et géographe française Christine Chivallon, dans son dernier ouvrage, propose une étude de grande envergure, première du genre, sur la mémoire et le souvenir de l’esclavage. En analysant les débats politiques et académiques des vingt dernières années, l’auteur dégage deux approches : celle du soupçon politique (victimisation, instrumentalisation, surenchère) et celle du doute anthropologique (fragilité, absence, vide). Elle part à la recherche des traces du souv</w:t>
      </w:r>
      <w:r w:rsidRPr="00E8358C">
        <w:t>e</w:t>
      </w:r>
      <w:r w:rsidRPr="00E8358C">
        <w:t>nir de l’esclavage, ainsi que des témoins qui les transmettent, pour comprendre la teneur des expressions mémorielles issues de l’expérience esclavagiste</w:t>
      </w:r>
      <w:r>
        <w:t> </w:t>
      </w:r>
      <w:r w:rsidRPr="00E8358C">
        <w:rPr>
          <w:rStyle w:val="Appelnotedebasdep"/>
        </w:rPr>
        <w:footnoteReference w:id="303"/>
      </w:r>
      <w:r w:rsidRPr="00E8358C">
        <w:t xml:space="preserve">. </w:t>
      </w:r>
    </w:p>
    <w:p w:rsidR="004C50DC" w:rsidRPr="00E8358C" w:rsidRDefault="004C50DC" w:rsidP="004C50DC">
      <w:pPr>
        <w:spacing w:before="120" w:after="120"/>
        <w:jc w:val="both"/>
      </w:pPr>
      <w:r w:rsidRPr="00E8358C">
        <w:t>Le discours colonial de la Martinique est présent dans la vie des populations, mais il se heurte au récit inventé des autorités françaises qui tentent d’affaiblir la portée de l’héritage esclavagiste. En fait, « le passé collectif et historique martiniquais est celui des mémoires min</w:t>
      </w:r>
      <w:r w:rsidRPr="00E8358C">
        <w:t>o</w:t>
      </w:r>
      <w:r w:rsidRPr="00E8358C">
        <w:t>rées, diffuses et diluées dans le discours colonial dominant, seul à avoir été en mesure</w:t>
      </w:r>
      <w:r>
        <w:t xml:space="preserve"> [93]</w:t>
      </w:r>
      <w:r w:rsidRPr="00E8358C">
        <w:t xml:space="preserve"> d’imposer sa chronologie officielle »</w:t>
      </w:r>
      <w:r>
        <w:t> </w:t>
      </w:r>
      <w:r>
        <w:rPr>
          <w:rStyle w:val="Appelnotedebasdep"/>
        </w:rPr>
        <w:footnoteReference w:id="304"/>
      </w:r>
      <w:r w:rsidRPr="00E8358C">
        <w:t>. C</w:t>
      </w:r>
      <w:r w:rsidRPr="00E8358C">
        <w:t>e</w:t>
      </w:r>
      <w:r w:rsidRPr="00E8358C">
        <w:t>pendant, en 2001, des musées s’inscrivant dans une démarche de p</w:t>
      </w:r>
      <w:r w:rsidRPr="00E8358C">
        <w:t>a</w:t>
      </w:r>
      <w:r w:rsidRPr="00E8358C">
        <w:t xml:space="preserve">trimonialisation exposaient et valorisaient des vestiges supportant à la fois le symbolisme du matériel et de l’immatériel du passé colonial, esclavagiste, indispensable à la réappropriation de l’identité culturelle du peuple martiniquais. </w:t>
      </w:r>
    </w:p>
    <w:p w:rsidR="004C50DC" w:rsidRDefault="004C50DC" w:rsidP="004C50DC">
      <w:pPr>
        <w:spacing w:before="120" w:after="120"/>
        <w:jc w:val="both"/>
      </w:pPr>
      <w:bookmarkStart w:id="112" w:name="_Toc423347284"/>
      <w:bookmarkStart w:id="113" w:name="_Toc442280462"/>
    </w:p>
    <w:p w:rsidR="004C50DC" w:rsidRPr="00E8358C" w:rsidRDefault="004C50DC" w:rsidP="004C50DC">
      <w:pPr>
        <w:pStyle w:val="a"/>
      </w:pPr>
      <w:r w:rsidRPr="00E8358C">
        <w:t>2.2.3. En Afrique</w:t>
      </w:r>
      <w:bookmarkEnd w:id="112"/>
      <w:bookmarkEnd w:id="113"/>
    </w:p>
    <w:p w:rsidR="004C50DC" w:rsidRDefault="004C50DC" w:rsidP="004C50DC">
      <w:pPr>
        <w:spacing w:before="120" w:after="120"/>
        <w:jc w:val="both"/>
        <w:rPr>
          <w:lang w:eastAsia="en-CA"/>
        </w:rPr>
      </w:pPr>
    </w:p>
    <w:p w:rsidR="004C50DC" w:rsidRPr="00E8358C" w:rsidRDefault="004C50DC" w:rsidP="004C50DC">
      <w:pPr>
        <w:spacing w:before="120" w:after="120"/>
        <w:jc w:val="both"/>
      </w:pPr>
      <w:r w:rsidRPr="00E8358C">
        <w:rPr>
          <w:lang w:eastAsia="en-CA"/>
        </w:rPr>
        <w:t>Échanges scientifiques</w:t>
      </w:r>
      <w:r>
        <w:rPr>
          <w:lang w:eastAsia="en-CA"/>
        </w:rPr>
        <w:t> </w:t>
      </w:r>
      <w:r>
        <w:rPr>
          <w:rStyle w:val="Appelnotedebasdep"/>
          <w:lang w:eastAsia="en-CA"/>
        </w:rPr>
        <w:footnoteReference w:id="305"/>
      </w:r>
      <w:r w:rsidRPr="00E8358C">
        <w:rPr>
          <w:lang w:eastAsia="en-CA"/>
        </w:rPr>
        <w:t>, recherches, commémorations, concerts, festivals sont, entre autres, des activités qui caractérisent la patrim</w:t>
      </w:r>
      <w:r w:rsidRPr="00E8358C">
        <w:rPr>
          <w:lang w:eastAsia="en-CA"/>
        </w:rPr>
        <w:t>o</w:t>
      </w:r>
      <w:r w:rsidRPr="00E8358C">
        <w:rPr>
          <w:lang w:eastAsia="en-CA"/>
        </w:rPr>
        <w:t xml:space="preserve">nialisation des mémoires de l’esclavage en Afrique. Au </w:t>
      </w:r>
      <w:r w:rsidRPr="00E8358C">
        <w:t>Bénin (Ou</w:t>
      </w:r>
      <w:r w:rsidRPr="00E8358C">
        <w:t>i</w:t>
      </w:r>
      <w:r w:rsidRPr="00E8358C">
        <w:t>dah), au Sénégal (Gorée), au Ghana (</w:t>
      </w:r>
      <w:r w:rsidRPr="00E8358C">
        <w:rPr>
          <w:lang w:eastAsia="en-CA"/>
        </w:rPr>
        <w:t>Cape Coast),</w:t>
      </w:r>
      <w:r w:rsidRPr="00E8358C">
        <w:t xml:space="preserve"> au Gabon (</w:t>
      </w:r>
      <w:r w:rsidRPr="00E8358C">
        <w:rPr>
          <w:lang w:eastAsia="en-CA"/>
        </w:rPr>
        <w:t>Loa</w:t>
      </w:r>
      <w:r w:rsidRPr="00E8358C">
        <w:rPr>
          <w:lang w:eastAsia="en-CA"/>
        </w:rPr>
        <w:t>n</w:t>
      </w:r>
      <w:r w:rsidRPr="00E8358C">
        <w:rPr>
          <w:lang w:eastAsia="en-CA"/>
        </w:rPr>
        <w:t xml:space="preserve">go), les travaux sur la traite négrière et l’esclavage se sont multipliés et des lieux d’histoire et de mémoire sont intégrés dans des projets scientifiques et mémoriels, des projets touristiques et des programmes scolaires, bien que leur entrée </w:t>
      </w:r>
      <w:r w:rsidRPr="00E8358C">
        <w:t>en patrimoine soulève toujours des p</w:t>
      </w:r>
      <w:r w:rsidRPr="00E8358C">
        <w:t>o</w:t>
      </w:r>
      <w:r w:rsidRPr="00E8358C">
        <w:t xml:space="preserve">lémiques qui remettent en question les politiques culturelles des États et les rôles des acteurs (descendants d’esclaves, descendants d’esclavagistes, UNESCO). </w:t>
      </w:r>
    </w:p>
    <w:p w:rsidR="004C50DC" w:rsidRPr="00E8358C" w:rsidRDefault="004C50DC" w:rsidP="004C50DC">
      <w:pPr>
        <w:spacing w:before="120" w:after="120"/>
        <w:jc w:val="both"/>
        <w:rPr>
          <w:lang w:eastAsia="en-CA"/>
        </w:rPr>
      </w:pPr>
      <w:r w:rsidRPr="00E8358C">
        <w:rPr>
          <w:lang w:eastAsia="en-CA"/>
        </w:rPr>
        <w:t>Le gouvernement sénégalais commémore chaque année, depuis 2006, sur la symbolique Ile de Gorée, une Journée des mémoires de la traite négrière, de l’esclavage et de leurs abolitions. Le gouvernement français se fait toujours représenter et encourage cette initiative pour marquer « la volonté de la France de participer à la construction d’une mémoire partagée de l’esclavage avec le Sénégal et, au-delà, avec l’Afrique »</w:t>
      </w:r>
      <w:r>
        <w:rPr>
          <w:lang w:eastAsia="en-CA"/>
        </w:rPr>
        <w:t> </w:t>
      </w:r>
      <w:r>
        <w:rPr>
          <w:rStyle w:val="Appelnotedebasdep"/>
          <w:lang w:eastAsia="en-CA"/>
        </w:rPr>
        <w:footnoteReference w:id="306"/>
      </w:r>
      <w:r w:rsidRPr="00E8358C">
        <w:rPr>
          <w:lang w:eastAsia="en-CA"/>
        </w:rPr>
        <w:t xml:space="preserve">. </w:t>
      </w:r>
    </w:p>
    <w:p w:rsidR="004C50DC" w:rsidRPr="00E8358C" w:rsidRDefault="004C50DC" w:rsidP="004C50DC">
      <w:pPr>
        <w:spacing w:before="120" w:after="120"/>
        <w:jc w:val="both"/>
        <w:rPr>
          <w:lang w:eastAsia="en-CA"/>
        </w:rPr>
      </w:pPr>
      <w:r w:rsidRPr="00E8358C">
        <w:rPr>
          <w:lang w:eastAsia="en-CA"/>
        </w:rPr>
        <w:t>Au Cameroun, dans les programmes d’histoire, la mémoire de l’esclavage est évoquée pour expliquer la traite négrière et l’esclavage. C’est un projet soutenu par l’UNESCO dans le cadre du projet de la « Route de l’esclave » visant à éduquer les enfants. La mémoire de l’esclavage est présente aussi à travers les vestiges du site de Bimbia dans la</w:t>
      </w:r>
      <w:r>
        <w:rPr>
          <w:lang w:eastAsia="en-CA"/>
        </w:rPr>
        <w:t xml:space="preserve"> [94]</w:t>
      </w:r>
      <w:r w:rsidRPr="00E8358C">
        <w:rPr>
          <w:lang w:eastAsia="en-CA"/>
        </w:rPr>
        <w:t xml:space="preserve"> région du Sud-ouest. Bimbia constituait par le passé un port d’embarquement d’esclaves. La mise en valeur du site a permis de se souvenir du commerce triangulaire et de l’esclavage à partir du tangible et du paysage qui incitent les visiteurs à réfléchir aux conséquences, aujourd’hui, de cette ignominie dans la société c</w:t>
      </w:r>
      <w:r w:rsidRPr="00E8358C">
        <w:rPr>
          <w:lang w:eastAsia="en-CA"/>
        </w:rPr>
        <w:t>a</w:t>
      </w:r>
      <w:r w:rsidRPr="00E8358C">
        <w:rPr>
          <w:lang w:eastAsia="en-CA"/>
        </w:rPr>
        <w:t>merounaise. Des chaînes qui servaient à attacher les esclaves, des comptoirs et des podiums montés en parpaing pour présenter les ca</w:t>
      </w:r>
      <w:r w:rsidRPr="00E8358C">
        <w:rPr>
          <w:lang w:eastAsia="en-CA"/>
        </w:rPr>
        <w:t>p</w:t>
      </w:r>
      <w:r w:rsidRPr="00E8358C">
        <w:rPr>
          <w:lang w:eastAsia="en-CA"/>
        </w:rPr>
        <w:t xml:space="preserve">tifs destinés à être vendus aux négriers européens sont exposés. C’est un exemple de site propice au tourisme de mémoire.  </w:t>
      </w:r>
    </w:p>
    <w:p w:rsidR="004C50DC" w:rsidRPr="00E8358C" w:rsidRDefault="004C50DC" w:rsidP="004C50DC">
      <w:pPr>
        <w:spacing w:before="120" w:after="120"/>
        <w:jc w:val="both"/>
        <w:rPr>
          <w:lang w:eastAsia="en-CA"/>
        </w:rPr>
      </w:pPr>
      <w:r w:rsidRPr="00E8358C">
        <w:rPr>
          <w:lang w:eastAsia="en-CA"/>
        </w:rPr>
        <w:t>Comment l’État camerounais, dans ses politiques, intègre-t-il la question de la mémoire  de l’esclavage ? Ben, 29 ans, étudiant cam</w:t>
      </w:r>
      <w:r w:rsidRPr="00E8358C">
        <w:rPr>
          <w:lang w:eastAsia="en-CA"/>
        </w:rPr>
        <w:t>e</w:t>
      </w:r>
      <w:r w:rsidRPr="00E8358C">
        <w:rPr>
          <w:lang w:eastAsia="en-CA"/>
        </w:rPr>
        <w:t>rounais au département des Sciences historiques de l’Université Laval à Québec, nous expose sa compréhension de la situation :</w:t>
      </w:r>
    </w:p>
    <w:p w:rsidR="004C50DC" w:rsidRDefault="004C50DC" w:rsidP="004C50DC">
      <w:pPr>
        <w:pStyle w:val="Citation0"/>
        <w:rPr>
          <w:lang w:eastAsia="en-CA"/>
        </w:rPr>
      </w:pPr>
    </w:p>
    <w:p w:rsidR="004C50DC" w:rsidRDefault="004C50DC" w:rsidP="004C50DC">
      <w:pPr>
        <w:pStyle w:val="Citation0"/>
        <w:rPr>
          <w:lang w:eastAsia="en-CA"/>
        </w:rPr>
      </w:pPr>
      <w:r w:rsidRPr="00E8358C">
        <w:rPr>
          <w:lang w:eastAsia="en-CA"/>
        </w:rPr>
        <w:t>Sur le plan étatique, à notre connaissance aucune politique cult</w:t>
      </w:r>
      <w:r w:rsidRPr="00E8358C">
        <w:rPr>
          <w:lang w:eastAsia="en-CA"/>
        </w:rPr>
        <w:t>u</w:t>
      </w:r>
      <w:r w:rsidRPr="00E8358C">
        <w:rPr>
          <w:lang w:eastAsia="en-CA"/>
        </w:rPr>
        <w:t>relle n’évoque la patrimonialisation des mémoires de la traite négrière et de l’esclavage. Ce n’est pas une question qui fait l’actualité. C’est dans des cercles restreints de professeurs d’histoire, de chercheurs, de conservateurs de musée, de chefs traditionnels qu’un tel sujet peut être discuté et qu’un discours peut être soutenu. Des ouvrages ont été p</w:t>
      </w:r>
      <w:r w:rsidRPr="00E8358C">
        <w:rPr>
          <w:lang w:eastAsia="en-CA"/>
        </w:rPr>
        <w:t>u</w:t>
      </w:r>
      <w:r w:rsidRPr="00E8358C">
        <w:rPr>
          <w:lang w:eastAsia="en-CA"/>
        </w:rPr>
        <w:t>bliés sur le sujet. C’est surtout le résultat des recherches d’universitaires ou d’étudiants pour avoir leurs diplômes ou progre</w:t>
      </w:r>
      <w:r w:rsidRPr="00E8358C">
        <w:rPr>
          <w:lang w:eastAsia="en-CA"/>
        </w:rPr>
        <w:t>s</w:t>
      </w:r>
      <w:r w:rsidRPr="00E8358C">
        <w:rPr>
          <w:lang w:eastAsia="en-CA"/>
        </w:rPr>
        <w:t>ser dans leurs carrières. Mais dans la vie de tous les jours, le sujet est tabou. (Ben, entrevue, 12 janvier 2014)</w:t>
      </w:r>
    </w:p>
    <w:p w:rsidR="004C50DC" w:rsidRPr="00E8358C" w:rsidRDefault="004C50DC" w:rsidP="004C50DC">
      <w:pPr>
        <w:pStyle w:val="Citation0"/>
        <w:rPr>
          <w:lang w:eastAsia="en-CA"/>
        </w:rPr>
      </w:pPr>
    </w:p>
    <w:p w:rsidR="004C50DC" w:rsidRPr="00E8358C" w:rsidRDefault="004C50DC" w:rsidP="004C50DC">
      <w:pPr>
        <w:spacing w:before="120" w:after="120"/>
        <w:jc w:val="both"/>
        <w:rPr>
          <w:lang w:eastAsia="en-CA"/>
        </w:rPr>
      </w:pPr>
      <w:r w:rsidRPr="00E8358C">
        <w:rPr>
          <w:lang w:eastAsia="en-CA"/>
        </w:rPr>
        <w:t>La question de la mémoire de l’esclavage intéresse peu les autor</w:t>
      </w:r>
      <w:r w:rsidRPr="00E8358C">
        <w:rPr>
          <w:lang w:eastAsia="en-CA"/>
        </w:rPr>
        <w:t>i</w:t>
      </w:r>
      <w:r w:rsidRPr="00E8358C">
        <w:rPr>
          <w:lang w:eastAsia="en-CA"/>
        </w:rPr>
        <w:t>tés étatiques au Cameroun, à tel point que le peuple ne s’en soucie même pas, et qu’elle n’est pas inscrite dans une politique culturelle. Le débat sur la mémoire de l’esclavage est davantage une préoccup</w:t>
      </w:r>
      <w:r w:rsidRPr="00E8358C">
        <w:rPr>
          <w:lang w:eastAsia="en-CA"/>
        </w:rPr>
        <w:t>a</w:t>
      </w:r>
      <w:r w:rsidRPr="00E8358C">
        <w:rPr>
          <w:lang w:eastAsia="en-CA"/>
        </w:rPr>
        <w:t>tion intellectuelle et une affaire de villages. Les préoccupations liées à l’exercice du pouvoir et aux problèmes économiques sont plus impo</w:t>
      </w:r>
      <w:r w:rsidRPr="00E8358C">
        <w:rPr>
          <w:lang w:eastAsia="en-CA"/>
        </w:rPr>
        <w:t>r</w:t>
      </w:r>
      <w:r w:rsidRPr="00E8358C">
        <w:rPr>
          <w:lang w:eastAsia="en-CA"/>
        </w:rPr>
        <w:t xml:space="preserve">tantes. Il faut trouver des solutions ponctuelles pour améliorer les conditions de vie des habitants. Devant cette situation qui ne favorise pas la patrimonialisation de la mémoire de l’esclavage au Cameroun, nul doute que la construction du rapport à ce passé est à travailler, à penser ou à repenser régulièrement. </w:t>
      </w:r>
    </w:p>
    <w:p w:rsidR="004C50DC" w:rsidRPr="00E8358C" w:rsidRDefault="004C50DC" w:rsidP="004C50DC">
      <w:pPr>
        <w:spacing w:before="120" w:after="120"/>
        <w:jc w:val="both"/>
      </w:pPr>
      <w:r w:rsidRPr="00E8358C">
        <w:t>À l’île Maurice, par exemple, les éléments de la culture créole (langue, danses, chants, cuisine) sont devenus, au fil des années, le patrimoine culturel constitutif de l’identité de tous les Mauriciens i</w:t>
      </w:r>
      <w:r w:rsidRPr="00E8358C">
        <w:t>n</w:t>
      </w:r>
      <w:r w:rsidRPr="00E8358C">
        <w:t xml:space="preserve">distinctement (descendants d’affranchis et descendants d’esclaves). </w:t>
      </w:r>
      <w:r>
        <w:t xml:space="preserve">[95] </w:t>
      </w:r>
      <w:r w:rsidRPr="00E8358C">
        <w:t>En ce sens, David Brown</w:t>
      </w:r>
      <w:r>
        <w:t> </w:t>
      </w:r>
      <w:r w:rsidRPr="00E8358C">
        <w:rPr>
          <w:rStyle w:val="Appelnotedebasdep"/>
        </w:rPr>
        <w:footnoteReference w:id="307"/>
      </w:r>
      <w:r w:rsidRPr="00E8358C">
        <w:t xml:space="preserve"> a eu raison de souligner que l’interprétation</w:t>
      </w:r>
      <w:r w:rsidRPr="00E8358C">
        <w:rPr>
          <w:i/>
        </w:rPr>
        <w:t xml:space="preserve"> situationaliste</w:t>
      </w:r>
      <w:r w:rsidRPr="00E8358C">
        <w:t xml:space="preserve"> de l’ethnicité est souvent la réponse d’un groupe qui se sent exclu et en danger, et qui tente de se forger une nouvelle identité à travers une réappropriation de son passé par l’élaboration d’une contre-histoire à travers une redéfinition de sa culture pour des besoins de mobilisation sociopolitique. Laval Jocelyn Chan Low mentionne que dans le cas de l’île Maurice, cette mobilis</w:t>
      </w:r>
      <w:r w:rsidRPr="00E8358C">
        <w:t>a</w:t>
      </w:r>
      <w:r w:rsidRPr="00E8358C">
        <w:t xml:space="preserve">tion ethnique est perçue comme étant une condition </w:t>
      </w:r>
      <w:r w:rsidRPr="00E8358C">
        <w:rPr>
          <w:i/>
        </w:rPr>
        <w:t>sine qua non</w:t>
      </w:r>
      <w:r w:rsidRPr="00E8358C">
        <w:t xml:space="preserve"> de l’obtention d’une part équitable des ressources de l’État mauricien. Aujourd’hui, les descendants d’esclaves se rendent compte qu’ils sont des hommes et des femmes pleins de dignité et se disent : « Nous étions des esclaves, certains se sont servi de nous et [...] il est temps de lever la tête »</w:t>
      </w:r>
      <w:r>
        <w:t> </w:t>
      </w:r>
      <w:r>
        <w:rPr>
          <w:rStyle w:val="Appelnotedebasdep"/>
        </w:rPr>
        <w:footnoteReference w:id="308"/>
      </w:r>
      <w:r w:rsidRPr="00E8358C">
        <w:t xml:space="preserve">. </w:t>
      </w:r>
    </w:p>
    <w:p w:rsidR="004C50DC" w:rsidRDefault="004C50DC" w:rsidP="004C50DC">
      <w:pPr>
        <w:spacing w:before="120" w:after="120"/>
        <w:jc w:val="both"/>
      </w:pPr>
      <w:bookmarkStart w:id="114" w:name="_Toc423347285"/>
      <w:bookmarkStart w:id="115" w:name="_Toc442280463"/>
    </w:p>
    <w:p w:rsidR="004C50DC" w:rsidRDefault="004C50DC" w:rsidP="004C50DC">
      <w:pPr>
        <w:pStyle w:val="a"/>
      </w:pPr>
      <w:r w:rsidRPr="00E8358C">
        <w:t>2.2.4. Dans les Amériques</w:t>
      </w:r>
      <w:bookmarkEnd w:id="114"/>
      <w:bookmarkEnd w:id="115"/>
    </w:p>
    <w:p w:rsidR="004C50DC" w:rsidRPr="00E8358C" w:rsidRDefault="004C50DC" w:rsidP="004C50DC">
      <w:pPr>
        <w:spacing w:before="120" w:after="120"/>
        <w:jc w:val="both"/>
      </w:pPr>
    </w:p>
    <w:p w:rsidR="004C50DC" w:rsidRPr="00E8358C" w:rsidRDefault="004C50DC" w:rsidP="004C50DC">
      <w:pPr>
        <w:spacing w:before="120" w:after="120"/>
        <w:jc w:val="both"/>
        <w:rPr>
          <w:shd w:val="clear" w:color="auto" w:fill="FFFFFF"/>
        </w:rPr>
      </w:pPr>
      <w:r w:rsidRPr="00E8358C">
        <w:t xml:space="preserve">Dans les Amériques, les barrières contre la mémoire de l’esclavage sont nombreuses. Le processus de « blanchiment » de la population en République dominicaine </w:t>
      </w:r>
      <w:r w:rsidRPr="00792DC7">
        <w:t>sous la dictature de Rafael Leónidas Trujillo y Molina (1930-1961) avait encouragé certains Européens et des Blancs américains à venir s’y installer et enfanter avec la population noire. Le « blanchiment » de la population soutient une politique r</w:t>
      </w:r>
      <w:r w:rsidRPr="00792DC7">
        <w:t>a</w:t>
      </w:r>
      <w:r w:rsidRPr="00792DC7">
        <w:t>ciste qui a nourri « el Corte », plus connu sous le nom de « massacre du Persil » en octobre 1937, au cours duquel des milliers d’Haïtiens ont trouvé la mort. Toutefois, la population dominicaine actuelle reste le fruit d’un métissage très large entre les descendants des esclaves africains et les colons européens</w:t>
      </w:r>
      <w:r>
        <w:t> </w:t>
      </w:r>
      <w:r>
        <w:rPr>
          <w:rStyle w:val="Appelnotedebasdep"/>
        </w:rPr>
        <w:footnoteReference w:id="309"/>
      </w:r>
      <w:r w:rsidRPr="00792DC7">
        <w:t>, bien qu’ils veuillent s’identifier à des descendants d’Amérindiens</w:t>
      </w:r>
      <w:r>
        <w:t> </w:t>
      </w:r>
      <w:r>
        <w:rPr>
          <w:rStyle w:val="Appelnotedebasdep"/>
        </w:rPr>
        <w:footnoteReference w:id="310"/>
      </w:r>
      <w:r w:rsidRPr="00792DC7">
        <w:t xml:space="preserve">. </w:t>
      </w:r>
      <w:r w:rsidRPr="00E8358C">
        <w:t>Le</w:t>
      </w:r>
      <w:r>
        <w:t xml:space="preserve"> [96]</w:t>
      </w:r>
      <w:r w:rsidRPr="00E8358C">
        <w:t xml:space="preserve"> même processus de « blanchiment » a été aussi constaté à Porto-Rico, à partir des Eur</w:t>
      </w:r>
      <w:r w:rsidRPr="00E8358C">
        <w:t>o</w:t>
      </w:r>
      <w:r w:rsidRPr="00E8358C">
        <w:t>péens, pour la plupart des Espagnols d’origine paysanne. Aujourd’hui, les Portoricains sont appelés les « Blancs de l’Amérique latine ». Ces deux démarches peuvent être traduites comme un acte de refus de la mémoire de l’esclavage, de ce passé, de tout lien avec l’Afrique. Elles visent à faire oublier complètement les traces de l’esclavage dans ces populations. La question de la mémoire de l’esclavage est occultée. Certains Dominicains continuent à croire et enseignent encore qu’il existe un rapport entre « esclavage,  Haïti, vodou et Afrique » qui n’est pas évident dans leur cas.  Ils n’ont rien à voir avec le passé hi</w:t>
      </w:r>
      <w:r w:rsidRPr="00E8358C">
        <w:t>s</w:t>
      </w:r>
      <w:r w:rsidRPr="00E8358C">
        <w:t>torique esclavagiste et l’origine africaine. C’est, en effet, un silence et un oubli dans l’historiographie de cette société.</w:t>
      </w:r>
    </w:p>
    <w:p w:rsidR="004C50DC" w:rsidRPr="00E8358C" w:rsidRDefault="004C50DC" w:rsidP="004C50DC">
      <w:pPr>
        <w:spacing w:before="120" w:after="120"/>
        <w:jc w:val="both"/>
      </w:pPr>
      <w:r w:rsidRPr="00E8358C">
        <w:t>Au cours des années 1970 et jusqu’à très récemment, certains chercheurs et universitaires ont commencé à poser le problème de la place de l’esclavage noir en République dominicaine, dans leur histo</w:t>
      </w:r>
      <w:r w:rsidRPr="00E8358C">
        <w:t>i</w:t>
      </w:r>
      <w:r w:rsidRPr="00E8358C">
        <w:t>re et leur mémoire collective</w:t>
      </w:r>
      <w:r>
        <w:t> </w:t>
      </w:r>
      <w:r w:rsidRPr="00E8358C">
        <w:rPr>
          <w:rStyle w:val="Appelnotedebasdep"/>
        </w:rPr>
        <w:footnoteReference w:id="311"/>
      </w:r>
      <w:r w:rsidRPr="00E8358C">
        <w:t>. L’Arrêt 168/13 du 23 septembre 2013 de la Cour constitutionnelle de la République dominicaine visant à enlever leur nationalité dominicaine à des centaines de milliers de Dominicaines et de Dominicains d’ascendance étrangère depuis les années 1929 a  encore soulevé le débat autour de la volonté des ho</w:t>
      </w:r>
      <w:r w:rsidRPr="00E8358C">
        <w:t>m</w:t>
      </w:r>
      <w:r w:rsidRPr="00E8358C">
        <w:t>mes politiques dominicains de faire un « nettoyage ethnique virtuel » en dehors de tous les principes de droits humains</w:t>
      </w:r>
      <w:r>
        <w:t> </w:t>
      </w:r>
      <w:r>
        <w:rPr>
          <w:rStyle w:val="Appelnotedebasdep"/>
        </w:rPr>
        <w:footnoteReference w:id="312"/>
      </w:r>
      <w:r w:rsidRPr="00E8358C">
        <w:t xml:space="preserve">.  </w:t>
      </w:r>
    </w:p>
    <w:p w:rsidR="004C50DC" w:rsidRPr="00E8358C" w:rsidRDefault="004C50DC" w:rsidP="004C50DC">
      <w:pPr>
        <w:spacing w:before="120" w:after="120"/>
        <w:jc w:val="both"/>
        <w:rPr>
          <w:lang w:eastAsia="en-CA"/>
        </w:rPr>
      </w:pPr>
      <w:r w:rsidRPr="00E8358C">
        <w:rPr>
          <w:lang w:eastAsia="en-CA"/>
        </w:rPr>
        <w:t>Des intellectuels comme  J.C. Malone et Avelino Stanley fustigent cette décision. J.C. Malone condamne vivement les visées de cette Cour dominicaine : « nous avons là un groupuscule de néo-trujillistes, néonazis déguisés en nationalistes libéraux détenant le pouvoir absolu, faisant la promotion de marches anti-haïtiennes, organisant des ly</w:t>
      </w:r>
      <w:r w:rsidRPr="00E8358C">
        <w:rPr>
          <w:lang w:eastAsia="en-CA"/>
        </w:rPr>
        <w:t>n</w:t>
      </w:r>
      <w:r w:rsidRPr="00E8358C">
        <w:rPr>
          <w:lang w:eastAsia="en-CA"/>
        </w:rPr>
        <w:t>chages et leurs réponses, ce sont des pyromanes politiques préparant une grande virée »</w:t>
      </w:r>
      <w:r>
        <w:rPr>
          <w:lang w:eastAsia="en-CA"/>
        </w:rPr>
        <w:t> </w:t>
      </w:r>
      <w:r>
        <w:rPr>
          <w:rStyle w:val="Appelnotedebasdep"/>
          <w:lang w:eastAsia="en-CA"/>
        </w:rPr>
        <w:footnoteReference w:id="313"/>
      </w:r>
      <w:r w:rsidRPr="00E8358C">
        <w:rPr>
          <w:lang w:eastAsia="en-CA"/>
        </w:rPr>
        <w:t>. Avelino Stanley, pour sa part, trouve ridicule la prétention de refuser aux descendants</w:t>
      </w:r>
      <w:r>
        <w:rPr>
          <w:lang w:eastAsia="en-CA"/>
        </w:rPr>
        <w:t xml:space="preserve"> [97]</w:t>
      </w:r>
      <w:r w:rsidRPr="00E8358C">
        <w:rPr>
          <w:lang w:eastAsia="en-CA"/>
        </w:rPr>
        <w:t xml:space="preserve"> d’immigrants « une nati</w:t>
      </w:r>
      <w:r w:rsidRPr="00E8358C">
        <w:rPr>
          <w:lang w:eastAsia="en-CA"/>
        </w:rPr>
        <w:t>o</w:t>
      </w:r>
      <w:r w:rsidRPr="00E8358C">
        <w:rPr>
          <w:lang w:eastAsia="en-CA"/>
        </w:rPr>
        <w:t>nalité gagnée au prix de la transpiration, de la sueur, de la faim, des mauvais traitements et de l’exploitation la plus vile »</w:t>
      </w:r>
      <w:r>
        <w:rPr>
          <w:lang w:eastAsia="en-CA"/>
        </w:rPr>
        <w:t> </w:t>
      </w:r>
      <w:r>
        <w:rPr>
          <w:rStyle w:val="Appelnotedebasdep"/>
          <w:lang w:eastAsia="en-CA"/>
        </w:rPr>
        <w:footnoteReference w:id="314"/>
      </w:r>
      <w:r>
        <w:rPr>
          <w:lang w:eastAsia="en-CA"/>
        </w:rPr>
        <w:t>.</w:t>
      </w:r>
    </w:p>
    <w:p w:rsidR="004C50DC" w:rsidRPr="00E8358C" w:rsidRDefault="004C50DC" w:rsidP="004C50DC">
      <w:pPr>
        <w:spacing w:before="120" w:after="120"/>
        <w:jc w:val="both"/>
        <w:rPr>
          <w:lang w:eastAsia="en-CA"/>
        </w:rPr>
      </w:pPr>
      <w:r w:rsidRPr="00E8358C">
        <w:t>Dans les communautés d’Amérique latine comme en Uruguay, au Chili et au Pérou, la problématique de la présence des Noirs, de leur lien avec l’Afrique et du passé colonial esclavagiste commencent à être traités. Les populations prennent conscience de ce qui s’est passé grâce aux efforts de nombreux chercheurs et universitaires. Jusqu’en 1873, on pouvait compter des Noirs dans la population d’Argentine. Les recherches ont démontré que le tango</w:t>
      </w:r>
      <w:r>
        <w:t> </w:t>
      </w:r>
      <w:r>
        <w:rPr>
          <w:rStyle w:val="Appelnotedebasdep"/>
        </w:rPr>
        <w:footnoteReference w:id="315"/>
      </w:r>
      <w:r w:rsidRPr="00E8358C">
        <w:t xml:space="preserve"> provient de pratiques culturelles venues directement de la communauté noire d’Amérique latine issue de l’esclavage. </w:t>
      </w:r>
      <w:r w:rsidRPr="00E8358C">
        <w:rPr>
          <w:lang w:eastAsia="en-CA"/>
        </w:rPr>
        <w:t>Michel Plisson, en peu de mots, relate que « les Noirs [anciens esclaves] empruntent de leurs anciens maîtres les danses de couples que la tradition africaine ignore. Les danses de s</w:t>
      </w:r>
      <w:r w:rsidRPr="00E8358C">
        <w:rPr>
          <w:lang w:eastAsia="en-CA"/>
        </w:rPr>
        <w:t>a</w:t>
      </w:r>
      <w:r w:rsidRPr="00E8358C">
        <w:rPr>
          <w:lang w:eastAsia="en-CA"/>
        </w:rPr>
        <w:t xml:space="preserve">lons européennes comme la </w:t>
      </w:r>
      <w:r w:rsidRPr="00E8358C">
        <w:rPr>
          <w:i/>
          <w:lang w:eastAsia="en-CA"/>
        </w:rPr>
        <w:t>mazurka</w:t>
      </w:r>
      <w:r w:rsidRPr="00E8358C">
        <w:rPr>
          <w:lang w:eastAsia="en-CA"/>
        </w:rPr>
        <w:t xml:space="preserve">, la </w:t>
      </w:r>
      <w:r w:rsidRPr="00E8358C">
        <w:rPr>
          <w:i/>
          <w:lang w:eastAsia="en-CA"/>
        </w:rPr>
        <w:t>polka</w:t>
      </w:r>
      <w:r w:rsidRPr="00E8358C">
        <w:rPr>
          <w:lang w:eastAsia="en-CA"/>
        </w:rPr>
        <w:t xml:space="preserve"> se déforment à leur contact, car les Noirs les investissent d’éléments culturels qui sont étrangers à ces danses. Le </w:t>
      </w:r>
      <w:r w:rsidRPr="00E8358C">
        <w:rPr>
          <w:i/>
          <w:lang w:eastAsia="en-CA"/>
        </w:rPr>
        <w:t>compadrito</w:t>
      </w:r>
      <w:r w:rsidRPr="00E8358C">
        <w:rPr>
          <w:lang w:eastAsia="en-CA"/>
        </w:rPr>
        <w:t xml:space="preserve"> reprend des Noirs ces formules nouvelles, sans se rendre compte qu’en se moquant des Noirs, il i</w:t>
      </w:r>
      <w:r w:rsidRPr="00E8358C">
        <w:rPr>
          <w:lang w:eastAsia="en-CA"/>
        </w:rPr>
        <w:t>n</w:t>
      </w:r>
      <w:r w:rsidRPr="00E8358C">
        <w:rPr>
          <w:lang w:eastAsia="en-CA"/>
        </w:rPr>
        <w:t>vente dans la danse des pas nouveaux. Issue des figures du cando</w:t>
      </w:r>
      <w:r w:rsidRPr="00E8358C">
        <w:rPr>
          <w:lang w:eastAsia="en-CA"/>
        </w:rPr>
        <w:t>m</w:t>
      </w:r>
      <w:r w:rsidRPr="00E8358C">
        <w:rPr>
          <w:lang w:eastAsia="en-CA"/>
        </w:rPr>
        <w:t>blé, c’est dans les bas-fonds et les bordels que cette alchimie se pr</w:t>
      </w:r>
      <w:r w:rsidRPr="00E8358C">
        <w:rPr>
          <w:lang w:eastAsia="en-CA"/>
        </w:rPr>
        <w:t>o</w:t>
      </w:r>
      <w:r w:rsidRPr="00E8358C">
        <w:rPr>
          <w:lang w:eastAsia="en-CA"/>
        </w:rPr>
        <w:t>duit »</w:t>
      </w:r>
      <w:r>
        <w:rPr>
          <w:lang w:eastAsia="en-CA"/>
        </w:rPr>
        <w:t> </w:t>
      </w:r>
      <w:r>
        <w:rPr>
          <w:rStyle w:val="Appelnotedebasdep"/>
          <w:lang w:eastAsia="en-CA"/>
        </w:rPr>
        <w:footnoteReference w:id="316"/>
      </w:r>
      <w:r w:rsidRPr="00E8358C">
        <w:rPr>
          <w:lang w:eastAsia="en-CA"/>
        </w:rPr>
        <w:t>.</w:t>
      </w:r>
    </w:p>
    <w:p w:rsidR="004C50DC" w:rsidRDefault="004C50DC" w:rsidP="004C50DC">
      <w:pPr>
        <w:spacing w:before="120" w:after="120"/>
        <w:jc w:val="both"/>
      </w:pPr>
      <w:r w:rsidRPr="00E8358C">
        <w:t>La contribution brésilienne à la recherche sur l’esclavage est l’une des plus riches dans les Amériques. L</w:t>
      </w:r>
      <w:r w:rsidRPr="00E8358C">
        <w:rPr>
          <w:lang w:eastAsia="en-CA"/>
        </w:rPr>
        <w:t>e marxisme influence l’historiographie brésilienne de l’esclavage. Des historiens et sociol</w:t>
      </w:r>
      <w:r w:rsidRPr="00E8358C">
        <w:rPr>
          <w:lang w:eastAsia="en-CA"/>
        </w:rPr>
        <w:t>o</w:t>
      </w:r>
      <w:r w:rsidRPr="00E8358C">
        <w:rPr>
          <w:lang w:eastAsia="en-CA"/>
        </w:rPr>
        <w:t>gues de l’École de sociologie de Sâo Paulo (Caio Prado Junior, Fl</w:t>
      </w:r>
      <w:r w:rsidRPr="00E8358C">
        <w:rPr>
          <w:lang w:eastAsia="en-CA"/>
        </w:rPr>
        <w:t>o</w:t>
      </w:r>
      <w:r w:rsidRPr="00E8358C">
        <w:rPr>
          <w:lang w:eastAsia="en-CA"/>
        </w:rPr>
        <w:t>restan Fernandes, Roger Bastide, Celso Furtado, Octavio Ianni) ont grandement contribué à ce mouvement</w:t>
      </w:r>
      <w:r>
        <w:rPr>
          <w:lang w:eastAsia="en-CA"/>
        </w:rPr>
        <w:t> </w:t>
      </w:r>
      <w:r w:rsidRPr="00E8358C">
        <w:rPr>
          <w:rStyle w:val="Appelnotedebasdep"/>
          <w:lang w:eastAsia="en-CA"/>
        </w:rPr>
        <w:footnoteReference w:id="317"/>
      </w:r>
      <w:r w:rsidRPr="00E8358C">
        <w:rPr>
          <w:lang w:eastAsia="en-CA"/>
        </w:rPr>
        <w:t xml:space="preserve">. </w:t>
      </w:r>
      <w:r w:rsidRPr="00E8358C">
        <w:t>Ana Lucia Araujo et Anna Seiderer révèlent des contrastes dans le développement de la mémoire de l’esclavage au Brésil. Selon elles, la valorisation de cette mémoire y est très controversée.</w:t>
      </w:r>
    </w:p>
    <w:p w:rsidR="004C50DC" w:rsidRPr="00E8358C" w:rsidRDefault="004C50DC" w:rsidP="004C50DC">
      <w:pPr>
        <w:spacing w:before="120" w:after="120"/>
        <w:jc w:val="both"/>
      </w:pPr>
      <w:r>
        <w:t>[98]</w:t>
      </w:r>
    </w:p>
    <w:p w:rsidR="004C50DC" w:rsidRDefault="004C50DC" w:rsidP="004C50DC">
      <w:pPr>
        <w:pStyle w:val="Citation0"/>
      </w:pPr>
    </w:p>
    <w:p w:rsidR="004C50DC" w:rsidRDefault="004C50DC" w:rsidP="004C50DC">
      <w:pPr>
        <w:pStyle w:val="Citation0"/>
      </w:pPr>
      <w:r w:rsidRPr="00E8358C">
        <w:t>Au Brésil, pays des Amériques qui a reçu le plus grand nombre d’esclaves africains, les conflits mémoriels se présentent par le biais de la lutte pour l’implantation d’actions affirmatives pour abolir l’exclusion sociale dont les Afro-descendants sont les victimes depuis des siècles. Cependant, m</w:t>
      </w:r>
      <w:r w:rsidRPr="00E8358C">
        <w:t>ê</w:t>
      </w:r>
      <w:r w:rsidRPr="00E8358C">
        <w:t>me si la mémoire de l’esclavage occupe l’espace public brésilien de façon inégale, la culture afro-brésilienne s’affirme à l’intérieur et à l’extérieur du pays par la musique, le carnaval, le candomblé et les arts visuels. La val</w:t>
      </w:r>
      <w:r w:rsidRPr="00E8358C">
        <w:t>o</w:t>
      </w:r>
      <w:r w:rsidRPr="00E8358C">
        <w:t>risation de la mémoire de l’esclavage prend souvent forme de conflit m</w:t>
      </w:r>
      <w:r w:rsidRPr="00E8358C">
        <w:t>é</w:t>
      </w:r>
      <w:r w:rsidRPr="00E8358C">
        <w:t>moriel</w:t>
      </w:r>
      <w:r>
        <w:t> </w:t>
      </w:r>
      <w:r>
        <w:rPr>
          <w:rStyle w:val="Appelnotedebasdep"/>
        </w:rPr>
        <w:footnoteReference w:id="318"/>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Cette mémoire est présente aussi dans des institutions comme les musées (Musée Afro-brésilien à Salvador de Bahia consacré à l’art africain et à la place de la culture africaine au Brésil, Musée de l’abolition de l’esclavage à Recife) qui se donnent pour mission de la valoriser et de la transmettre. </w:t>
      </w:r>
      <w:r w:rsidRPr="00E8358C">
        <w:rPr>
          <w:rFonts w:eastAsia="Code2000"/>
          <w:lang w:eastAsia="en-CA"/>
        </w:rPr>
        <w:t>Selon Carlo Avierl Célius,</w:t>
      </w:r>
      <w:r w:rsidRPr="00E8358C">
        <w:t xml:space="preserve"> l’</w:t>
      </w:r>
      <w:r w:rsidRPr="00E8358C">
        <w:rPr>
          <w:rFonts w:eastAsia="Code2000"/>
          <w:lang w:eastAsia="en-CA"/>
        </w:rPr>
        <w:t>Amérique centrale et l’Amérique du Sud regorgent aussi de musées traitant de la période coloniale, mais le thème de l’esclavage n’y apparaît pas</w:t>
      </w:r>
      <w:r>
        <w:rPr>
          <w:rFonts w:eastAsia="Code2000"/>
          <w:lang w:eastAsia="en-CA"/>
        </w:rPr>
        <w:t> </w:t>
      </w:r>
      <w:r w:rsidRPr="00E8358C">
        <w:rPr>
          <w:rStyle w:val="Appelnotedebasdep"/>
          <w:rFonts w:eastAsia="Code2000"/>
          <w:lang w:eastAsia="en-CA"/>
        </w:rPr>
        <w:footnoteReference w:id="319"/>
      </w:r>
      <w:r w:rsidRPr="00E8358C">
        <w:rPr>
          <w:rFonts w:eastAsia="Code2000"/>
          <w:lang w:eastAsia="en-CA"/>
        </w:rPr>
        <w:t>.</w:t>
      </w:r>
    </w:p>
    <w:p w:rsidR="004C50DC" w:rsidRPr="00E8358C" w:rsidRDefault="004C50DC" w:rsidP="004C50DC">
      <w:pPr>
        <w:spacing w:before="120" w:after="120"/>
        <w:jc w:val="both"/>
        <w:rPr>
          <w:lang w:eastAsia="en-CA"/>
        </w:rPr>
      </w:pPr>
      <w:r w:rsidRPr="00E8358C">
        <w:rPr>
          <w:lang w:eastAsia="en-CA"/>
        </w:rPr>
        <w:t>Tout le discours brésilien se fonde sur la reconnaissance et éve</w:t>
      </w:r>
      <w:r w:rsidRPr="00E8358C">
        <w:rPr>
          <w:lang w:eastAsia="en-CA"/>
        </w:rPr>
        <w:t>n</w:t>
      </w:r>
      <w:r w:rsidRPr="00E8358C">
        <w:rPr>
          <w:lang w:eastAsia="en-CA"/>
        </w:rPr>
        <w:t>tuellement sur la compensation pour les descendants d’esclaves fiers de b</w:t>
      </w:r>
      <w:r w:rsidRPr="00E8358C">
        <w:t>raver le joug colonial</w:t>
      </w:r>
      <w:r w:rsidRPr="00E8358C">
        <w:rPr>
          <w:lang w:eastAsia="en-CA"/>
        </w:rPr>
        <w:t>. La mémoire de l’esclavage est devenue une sorte de référence personnelle, à tel point qu’on se demande si ce n’est pas une création, une construction. Les individus arrivent à réintégrer l’esclavage dans leur mémoire personnelle, non pas en remontant aux souvenirs de leurs parents, mais par des films</w:t>
      </w:r>
      <w:r>
        <w:rPr>
          <w:lang w:eastAsia="en-CA"/>
        </w:rPr>
        <w:t> </w:t>
      </w:r>
      <w:r>
        <w:rPr>
          <w:rStyle w:val="Appelnotedebasdep"/>
          <w:lang w:eastAsia="en-CA"/>
        </w:rPr>
        <w:footnoteReference w:id="320"/>
      </w:r>
      <w:r w:rsidRPr="00E8358C">
        <w:rPr>
          <w:lang w:eastAsia="en-CA"/>
        </w:rPr>
        <w:t>, des chants, des man</w:t>
      </w:r>
      <w:r w:rsidRPr="00E8358C">
        <w:rPr>
          <w:lang w:eastAsia="en-CA"/>
        </w:rPr>
        <w:t>i</w:t>
      </w:r>
      <w:r w:rsidRPr="00E8358C">
        <w:rPr>
          <w:lang w:eastAsia="en-CA"/>
        </w:rPr>
        <w:t xml:space="preserve">festations religieuses et artistiques d’origine africaine comme le </w:t>
      </w:r>
      <w:r w:rsidRPr="00E8358C">
        <w:rPr>
          <w:i/>
          <w:lang w:eastAsia="en-CA"/>
        </w:rPr>
        <w:t>ca</w:t>
      </w:r>
      <w:r w:rsidRPr="00E8358C">
        <w:rPr>
          <w:i/>
          <w:lang w:eastAsia="en-CA"/>
        </w:rPr>
        <w:t>n</w:t>
      </w:r>
      <w:r w:rsidRPr="00E8358C">
        <w:rPr>
          <w:i/>
          <w:lang w:eastAsia="en-CA"/>
        </w:rPr>
        <w:t>domblé</w:t>
      </w:r>
      <w:r w:rsidRPr="00E8358C">
        <w:rPr>
          <w:lang w:eastAsia="en-CA"/>
        </w:rPr>
        <w:t xml:space="preserve"> ou la </w:t>
      </w:r>
      <w:r w:rsidRPr="00E8358C">
        <w:rPr>
          <w:i/>
          <w:lang w:eastAsia="en-CA"/>
        </w:rPr>
        <w:t>capoeira</w:t>
      </w:r>
      <w:r>
        <w:rPr>
          <w:lang w:eastAsia="en-CA"/>
        </w:rPr>
        <w:t> </w:t>
      </w:r>
      <w:r>
        <w:rPr>
          <w:rStyle w:val="Appelnotedebasdep"/>
          <w:lang w:eastAsia="en-CA"/>
        </w:rPr>
        <w:footnoteReference w:id="321"/>
      </w:r>
      <w:r>
        <w:rPr>
          <w:lang w:eastAsia="en-CA"/>
        </w:rPr>
        <w:t>.</w:t>
      </w:r>
    </w:p>
    <w:p w:rsidR="004C50DC" w:rsidRPr="00E8358C" w:rsidRDefault="004C50DC" w:rsidP="004C50DC">
      <w:pPr>
        <w:spacing w:before="120" w:after="120"/>
        <w:jc w:val="both"/>
        <w:rPr>
          <w:rFonts w:eastAsia="Code2000"/>
          <w:lang w:eastAsia="en-CA"/>
        </w:rPr>
      </w:pPr>
      <w:r w:rsidRPr="00E8358C">
        <w:rPr>
          <w:lang w:eastAsia="en-CA"/>
        </w:rPr>
        <w:t>L’ouvrage de</w:t>
      </w:r>
      <w:r w:rsidRPr="00E8358C">
        <w:t xml:space="preserve"> Jean Hébrard, </w:t>
      </w:r>
      <w:r w:rsidRPr="00E8358C">
        <w:rPr>
          <w:i/>
        </w:rPr>
        <w:t>Brésil, quatre siècles d’esclavage</w:t>
      </w:r>
      <w:r w:rsidRPr="00E8358C">
        <w:t xml:space="preserve">. </w:t>
      </w:r>
      <w:r w:rsidRPr="00E8358C">
        <w:rPr>
          <w:i/>
        </w:rPr>
        <w:t xml:space="preserve">Nouvelles questions, nouvelles recherches, </w:t>
      </w:r>
      <w:r w:rsidRPr="00E8358C">
        <w:t xml:space="preserve">représente un apport considérable </w:t>
      </w:r>
      <w:r w:rsidRPr="00E8358C">
        <w:rPr>
          <w:lang w:eastAsia="en-CA"/>
        </w:rPr>
        <w:t>pour l’histoire et la mémoire de l’esclavage au Brésil. Selon l’auteur, l</w:t>
      </w:r>
      <w:r w:rsidRPr="00E8358C">
        <w:t>es chercheurs brésiliens ont appris à lire les paroles couchées sur le papier pour en faire renaître, au-delà du propos, les intentions, les effets</w:t>
      </w:r>
      <w:r>
        <w:t xml:space="preserve"> [99]</w:t>
      </w:r>
      <w:r w:rsidRPr="00E8358C">
        <w:t xml:space="preserve"> attendus, les ruses, les tours rhétoriques. Si les esclaves qui ont vécu au Brésil n’ont jamais laissé, à de très rares exceptions près, de traces directes de leurs mots, ils sont certainement aujourd’hui ceux qui, par-delà le temps, parviennent le plus efficac</w:t>
      </w:r>
      <w:r w:rsidRPr="00E8358C">
        <w:t>e</w:t>
      </w:r>
      <w:r w:rsidRPr="00E8358C">
        <w:t>ment à se faire entendre</w:t>
      </w:r>
      <w:r>
        <w:t> </w:t>
      </w:r>
      <w:r>
        <w:rPr>
          <w:rStyle w:val="Appelnotedebasdep"/>
        </w:rPr>
        <w:footnoteReference w:id="322"/>
      </w:r>
      <w:r w:rsidRPr="00E8358C">
        <w:t xml:space="preserve">. </w:t>
      </w:r>
    </w:p>
    <w:p w:rsidR="004C50DC" w:rsidRPr="00E8358C" w:rsidRDefault="004C50DC" w:rsidP="004C50DC">
      <w:pPr>
        <w:spacing w:before="120" w:after="120"/>
        <w:jc w:val="both"/>
      </w:pPr>
      <w:r w:rsidRPr="00E8358C">
        <w:t>À la Jamaïque, la mémoire de l’esclavage est vécue comme un pr</w:t>
      </w:r>
      <w:r w:rsidRPr="00E8358C">
        <w:t>é</w:t>
      </w:r>
      <w:r w:rsidRPr="00E8358C">
        <w:t>sent continu. À travers le rastafarisme</w:t>
      </w:r>
      <w:r>
        <w:t> </w:t>
      </w:r>
      <w:r>
        <w:rPr>
          <w:rStyle w:val="Appelnotedebasdep"/>
        </w:rPr>
        <w:footnoteReference w:id="323"/>
      </w:r>
      <w:r w:rsidRPr="00E8358C">
        <w:t xml:space="preserve">, on assiste à une sacralisation de la mémoire de l’esclavage. Les </w:t>
      </w:r>
      <w:r w:rsidRPr="00E8358C">
        <w:rPr>
          <w:i/>
        </w:rPr>
        <w:t>rastas</w:t>
      </w:r>
      <w:r w:rsidRPr="00E8358C">
        <w:t xml:space="preserve"> vivent encore la traite n</w:t>
      </w:r>
      <w:r w:rsidRPr="00E8358C">
        <w:t>é</w:t>
      </w:r>
      <w:r w:rsidRPr="00E8358C">
        <w:t>grière et l’esclavage comme quelque chose qui n’est pas passé. Pour eux, l’oubli n’est pas possible. Dans ce cas, l’on peut parler de la m</w:t>
      </w:r>
      <w:r w:rsidRPr="00E8358C">
        <w:t>é</w:t>
      </w:r>
      <w:r w:rsidRPr="00E8358C">
        <w:t xml:space="preserve">moire de l’esclavage. Elle doit servir d’une certaine manière à sortir de l’oubli ou à se souvenir de ce qui s’est passé.  </w:t>
      </w:r>
    </w:p>
    <w:p w:rsidR="004C50DC" w:rsidRPr="00E8358C" w:rsidRDefault="004C50DC" w:rsidP="004C50DC">
      <w:pPr>
        <w:spacing w:before="120" w:after="120"/>
        <w:jc w:val="both"/>
      </w:pPr>
      <w:r w:rsidRPr="00E8358C">
        <w:rPr>
          <w:lang w:eastAsia="en-CA"/>
        </w:rPr>
        <w:t>Les lieux de mémoire de l’esclavage se présentent aujourd’hui comme des témoins indispensables de la « réappropriation » de soi pour les descendants d’esclaves, de l’« acceptation » de l’Autre, du passé douloureux de l’esclavage, voire de la célébration de la liberté ; sous des formes diverses (mémoriaux, statues, fresques, plaques commémoratives), ils rappellent l’origine géographique des esclaves et renvoient à leurs attributs (l’univers de la condition servile comme les chaînes, les boulets ou les tambours). À la Barbade, à Saint-Martin ou au Surinam on assiste également à la valorisation d’une pluralité de lieux de mémoire en rapport avec l’esclavage comme signe d’acceptation et de compréhension du passé esclavagiste. Des fouilles archéologiques y ont été encouragées et réalisées</w:t>
      </w:r>
      <w:r>
        <w:rPr>
          <w:lang w:eastAsia="en-CA"/>
        </w:rPr>
        <w:t> </w:t>
      </w:r>
      <w:r>
        <w:rPr>
          <w:rStyle w:val="Appelnotedebasdep"/>
          <w:lang w:eastAsia="en-CA"/>
        </w:rPr>
        <w:footnoteReference w:id="324"/>
      </w:r>
      <w:r w:rsidRPr="00E8358C">
        <w:rPr>
          <w:lang w:eastAsia="en-CA"/>
        </w:rPr>
        <w:t>.</w:t>
      </w:r>
    </w:p>
    <w:p w:rsidR="004C50DC" w:rsidRPr="00E8358C" w:rsidRDefault="004C50DC" w:rsidP="004C50DC">
      <w:pPr>
        <w:spacing w:before="120" w:after="120"/>
        <w:jc w:val="both"/>
        <w:rPr>
          <w:lang w:eastAsia="en-CA"/>
        </w:rPr>
      </w:pPr>
      <w:r w:rsidRPr="00E8358C">
        <w:rPr>
          <w:lang w:eastAsia="en-CA"/>
        </w:rPr>
        <w:t>Aux États-Unis</w:t>
      </w:r>
      <w:r w:rsidRPr="00E8358C">
        <w:rPr>
          <w:lang w:eastAsia="ja-JP"/>
        </w:rPr>
        <w:t>,</w:t>
      </w:r>
      <w:r w:rsidRPr="00E8358C">
        <w:rPr>
          <w:lang w:eastAsia="en-CA"/>
        </w:rPr>
        <w:t xml:space="preserve"> les descendants d’esclaves et les descendants d’esclavagistes cohabitent. Cette singularité de la société des États-Unis permet de comprendre, au-delà de la patrimonialisation de la mémoire de l’esclavage, le poids du multiculturalisme. Les enjeux et débats sont divers. Aborder la question de l’esclavage et de la ségr</w:t>
      </w:r>
      <w:r w:rsidRPr="00E8358C">
        <w:rPr>
          <w:lang w:eastAsia="en-CA"/>
        </w:rPr>
        <w:t>é</w:t>
      </w:r>
      <w:r w:rsidRPr="00E8358C">
        <w:rPr>
          <w:lang w:eastAsia="en-CA"/>
        </w:rPr>
        <w:t xml:space="preserve">gation raciale était un sujet embarrassant jusqu’au début des années 1960. Depuis quelques années, il se </w:t>
      </w:r>
      <w:r>
        <w:rPr>
          <w:lang w:eastAsia="en-CA"/>
        </w:rPr>
        <w:t xml:space="preserve">[100] </w:t>
      </w:r>
      <w:r w:rsidRPr="00E8358C">
        <w:rPr>
          <w:lang w:eastAsia="en-CA"/>
        </w:rPr>
        <w:t xml:space="preserve">produit une mémorialisation assez importante de l’esclavage à travers le mouvement nationaliste noir. </w:t>
      </w:r>
      <w:r w:rsidRPr="00E8358C">
        <w:rPr>
          <w:lang w:eastAsia="ja-JP"/>
        </w:rPr>
        <w:t>Le récit de l’esclave (</w:t>
      </w:r>
      <w:r w:rsidRPr="00E8358C">
        <w:rPr>
          <w:i/>
          <w:lang w:eastAsia="ja-JP"/>
        </w:rPr>
        <w:t>slave narrative</w:t>
      </w:r>
      <w:r w:rsidRPr="00E8358C">
        <w:rPr>
          <w:lang w:eastAsia="ja-JP"/>
        </w:rPr>
        <w:t xml:space="preserve">) permet un discours axé sur l’esclavage qui n’existe pas dans la Caraïbe francophone, qui s’intéresse aux conditions de vie des esclaves et de leurs descendants. </w:t>
      </w:r>
      <w:r w:rsidRPr="00E8358C">
        <w:t>Des intellectuels afro-américains comme Richard Wright</w:t>
      </w:r>
      <w:r>
        <w:t> </w:t>
      </w:r>
      <w:r>
        <w:rPr>
          <w:rStyle w:val="Appelnotedebasdep"/>
        </w:rPr>
        <w:footnoteReference w:id="325"/>
      </w:r>
      <w:r w:rsidRPr="00E8358C">
        <w:t xml:space="preserve"> et Gwe</w:t>
      </w:r>
      <w:r w:rsidRPr="00E8358C">
        <w:t>n</w:t>
      </w:r>
      <w:r w:rsidRPr="00E8358C">
        <w:t>dolyn Brooks</w:t>
      </w:r>
      <w:r>
        <w:t> </w:t>
      </w:r>
      <w:r>
        <w:rPr>
          <w:rStyle w:val="Appelnotedebasdep"/>
        </w:rPr>
        <w:footnoteReference w:id="326"/>
      </w:r>
      <w:r>
        <w:t xml:space="preserve"> </w:t>
      </w:r>
      <w:r w:rsidRPr="00E8358C">
        <w:t>ont beaucoup milité à travers leurs ouvrages pour le respect des droits civiques de la communauté afro-américaine. Les t</w:t>
      </w:r>
      <w:r w:rsidRPr="00E8358C">
        <w:t>é</w:t>
      </w:r>
      <w:r w:rsidRPr="00E8358C">
        <w:t>moignages sur l’esclavage sont au cœur de l’œuvre des écrivains du mouvement nationaliste noir.</w:t>
      </w:r>
      <w:r w:rsidRPr="00E8358C">
        <w:rPr>
          <w:lang w:eastAsia="en-CA"/>
        </w:rPr>
        <w:t xml:space="preserve"> Depuis plusieurs années, les discours de revendication de la contribution des Afro-américains à la création de la société américaine ont été entendus. Tout le combat pour le respect de leurs droits civiques s’inscrit dans cette démarche. Ils veulent que leur histoire, celle qui est fortement marquée par la traite et l’esclavage, soit connue.</w:t>
      </w:r>
    </w:p>
    <w:p w:rsidR="004C50DC" w:rsidRPr="00E8358C" w:rsidRDefault="004C50DC" w:rsidP="004C50DC">
      <w:pPr>
        <w:spacing w:before="120" w:after="120"/>
        <w:jc w:val="both"/>
        <w:rPr>
          <w:lang w:eastAsia="en-CA"/>
        </w:rPr>
      </w:pPr>
      <w:r w:rsidRPr="00E8358C">
        <w:rPr>
          <w:lang w:eastAsia="en-CA"/>
        </w:rPr>
        <w:t xml:space="preserve">En dépit de cette ouverture, la mémoire de l’esclavage est encore passée sous silence en beaucoup d’endroits. Par exemple, les cultures afro-américaines ne sont pas représentées dans les anciens musées tels que le Musée américain d’histoire naturelle de New York, alors que la culture amérindienne est présente. C’est aussi le cas du « Musée de la confédération » de Richmond qui traite de la guerre de Sécession, mais passe sous silence l’esclavage qui fut un élément déterminant dans cette guerre. </w:t>
      </w:r>
    </w:p>
    <w:p w:rsidR="004C50DC" w:rsidRPr="00E8358C" w:rsidRDefault="004C50DC" w:rsidP="004C50DC">
      <w:pPr>
        <w:spacing w:before="120" w:after="120"/>
        <w:jc w:val="both"/>
      </w:pPr>
      <w:r w:rsidRPr="00E8358C">
        <w:rPr>
          <w:lang w:eastAsia="en-CA"/>
        </w:rPr>
        <w:t>Au cours des années 1960, des Noirs comme John Kinard, con</w:t>
      </w:r>
      <w:r w:rsidRPr="00E8358C">
        <w:rPr>
          <w:lang w:eastAsia="en-CA"/>
        </w:rPr>
        <w:t>s</w:t>
      </w:r>
      <w:r w:rsidRPr="00E8358C">
        <w:rPr>
          <w:lang w:eastAsia="en-CA"/>
        </w:rPr>
        <w:t>cients de l’absence de lieux de mémoire, se sont donnés pour mission de créer des espaces de mise en valeur de leurs propres mémoire, hi</w:t>
      </w:r>
      <w:r w:rsidRPr="00E8358C">
        <w:rPr>
          <w:lang w:eastAsia="en-CA"/>
        </w:rPr>
        <w:t>s</w:t>
      </w:r>
      <w:r w:rsidRPr="00E8358C">
        <w:rPr>
          <w:lang w:eastAsia="en-CA"/>
        </w:rPr>
        <w:t>toire et culture. Les musées communautaires sont les résultats de cette initiative. Nous pouvons citer le cas du « Musée de voisinage »</w:t>
      </w:r>
      <w:r>
        <w:rPr>
          <w:lang w:eastAsia="en-CA"/>
        </w:rPr>
        <w:t> </w:t>
      </w:r>
      <w:r w:rsidRPr="00E8358C">
        <w:rPr>
          <w:rStyle w:val="Appelnotedebasdep"/>
          <w:lang w:eastAsia="en-CA"/>
        </w:rPr>
        <w:footnoteReference w:id="327"/>
      </w:r>
      <w:r w:rsidRPr="00E8358C">
        <w:rPr>
          <w:lang w:eastAsia="en-CA"/>
        </w:rPr>
        <w:t xml:space="preserve"> d’Anacostia conçu par John Kinard. Le Musée des arts africains et de l’esclavage (</w:t>
      </w:r>
      <w:r w:rsidRPr="00E8358C">
        <w:rPr>
          <w:i/>
          <w:lang w:eastAsia="en-CA"/>
        </w:rPr>
        <w:t>Slave Museum and African Art Gallery</w:t>
      </w:r>
      <w:r w:rsidRPr="00E8358C">
        <w:rPr>
          <w:lang w:eastAsia="en-CA"/>
        </w:rPr>
        <w:t xml:space="preserve">), créé par le Dr. Winston Anderson en 1988, à Sandy Spring, au Maryland, constitue un autre exemple de ces musées communautaires consacrés à l’histoire et à la </w:t>
      </w:r>
      <w:r>
        <w:rPr>
          <w:lang w:eastAsia="en-CA"/>
        </w:rPr>
        <w:t xml:space="preserve">[101] </w:t>
      </w:r>
      <w:r w:rsidRPr="00E8358C">
        <w:rPr>
          <w:lang w:eastAsia="en-CA"/>
        </w:rPr>
        <w:t>mémoire de l’esclavage aux États-Unis. D’autres musées ou sites historiques tentent d’aborder la question en évitant de présenter directement l’histoire de l’esclavage pour ne pas exacerber les tensions sociales et politiques, mais en contribuant à fa</w:t>
      </w:r>
      <w:r w:rsidRPr="00E8358C">
        <w:rPr>
          <w:lang w:eastAsia="en-CA"/>
        </w:rPr>
        <w:t>i</w:t>
      </w:r>
      <w:r w:rsidRPr="00E8358C">
        <w:rPr>
          <w:lang w:eastAsia="en-CA"/>
        </w:rPr>
        <w:t>re valoir l’apport et la place des cultures afro-américaines dans la s</w:t>
      </w:r>
      <w:r w:rsidRPr="00E8358C">
        <w:rPr>
          <w:lang w:eastAsia="en-CA"/>
        </w:rPr>
        <w:t>o</w:t>
      </w:r>
      <w:r w:rsidRPr="00E8358C">
        <w:rPr>
          <w:lang w:eastAsia="en-CA"/>
        </w:rPr>
        <w:t>ciété américaine. Des historiens comme Carroll R. Gibbs, Kathleen Lesko et Valerie Babb</w:t>
      </w:r>
      <w:r>
        <w:rPr>
          <w:lang w:eastAsia="en-CA"/>
        </w:rPr>
        <w:t> </w:t>
      </w:r>
      <w:r>
        <w:rPr>
          <w:rStyle w:val="Appelnotedebasdep"/>
          <w:lang w:eastAsia="en-CA"/>
        </w:rPr>
        <w:footnoteReference w:id="328"/>
      </w:r>
      <w:r w:rsidRPr="00E8358C">
        <w:rPr>
          <w:lang w:eastAsia="en-CA"/>
        </w:rPr>
        <w:t xml:space="preserve"> ont publié des travaux sur cette contribution. Le National Park Service </w:t>
      </w:r>
      <w:r w:rsidRPr="00E8358C">
        <w:t>célèbre aussi la présence de la culture afr</w:t>
      </w:r>
      <w:r w:rsidRPr="00E8358C">
        <w:t>i</w:t>
      </w:r>
      <w:r w:rsidRPr="00E8358C">
        <w:t>caine dans le paysage américain au travers de ses sites qui mettent en relief la mémoire de l’esclavage</w:t>
      </w:r>
      <w:r>
        <w:t> </w:t>
      </w:r>
      <w:r>
        <w:rPr>
          <w:rStyle w:val="Appelnotedebasdep"/>
        </w:rPr>
        <w:footnoteReference w:id="329"/>
      </w:r>
      <w:r w:rsidRPr="00E8358C">
        <w:rPr>
          <w:lang w:eastAsia="en-CA"/>
        </w:rPr>
        <w:t xml:space="preserve">. Des travaux de recherches ont été initiés sur </w:t>
      </w:r>
      <w:r w:rsidRPr="00E8358C">
        <w:rPr>
          <w:i/>
          <w:lang w:eastAsia="en-CA"/>
        </w:rPr>
        <w:t>l’Underground Railroad</w:t>
      </w:r>
      <w:r w:rsidRPr="00E8358C">
        <w:rPr>
          <w:lang w:eastAsia="en-CA"/>
        </w:rPr>
        <w:t xml:space="preserve"> (le chemin de fer clandestin</w:t>
      </w:r>
      <w:r>
        <w:rPr>
          <w:lang w:eastAsia="en-CA"/>
        </w:rPr>
        <w:t> </w:t>
      </w:r>
      <w:r w:rsidRPr="00E8358C">
        <w:rPr>
          <w:rStyle w:val="Appelnotedebasdep"/>
          <w:lang w:eastAsia="en-CA"/>
        </w:rPr>
        <w:footnoteReference w:id="330"/>
      </w:r>
      <w:r w:rsidRPr="00E8358C">
        <w:rPr>
          <w:lang w:eastAsia="en-CA"/>
        </w:rPr>
        <w:t>) et des institutions patrimoniales travaillent sur « la Maison de l’huître » dont le propriétaire facilitait la fuite des esclaves. Les mémoriaux, dans leur ensemble, de l’</w:t>
      </w:r>
      <w:r w:rsidRPr="00E8358C">
        <w:rPr>
          <w:i/>
        </w:rPr>
        <w:t>Emancipation statue</w:t>
      </w:r>
      <w:r w:rsidRPr="00E8358C">
        <w:t xml:space="preserve"> à Boston au </w:t>
      </w:r>
      <w:r w:rsidRPr="00E8358C">
        <w:rPr>
          <w:i/>
        </w:rPr>
        <w:t>Manhattan African burial memorial</w:t>
      </w:r>
      <w:r w:rsidRPr="00E8358C">
        <w:t xml:space="preserve"> à New York, viennent </w:t>
      </w:r>
      <w:r w:rsidRPr="00E8358C">
        <w:rPr>
          <w:lang w:eastAsia="en-CA"/>
        </w:rPr>
        <w:t>parachever des tr</w:t>
      </w:r>
      <w:r w:rsidRPr="00E8358C">
        <w:rPr>
          <w:lang w:eastAsia="en-CA"/>
        </w:rPr>
        <w:t>a</w:t>
      </w:r>
      <w:r w:rsidRPr="00E8358C">
        <w:rPr>
          <w:lang w:eastAsia="en-CA"/>
        </w:rPr>
        <w:t>vaux scientifiques et didactiques, en présentant une dimension de r</w:t>
      </w:r>
      <w:r w:rsidRPr="00E8358C">
        <w:rPr>
          <w:lang w:eastAsia="en-CA"/>
        </w:rPr>
        <w:t>e</w:t>
      </w:r>
      <w:r w:rsidRPr="00E8358C">
        <w:rPr>
          <w:lang w:eastAsia="en-CA"/>
        </w:rPr>
        <w:t xml:space="preserve">cueillement et une valeur émotionnelle. </w:t>
      </w:r>
    </w:p>
    <w:p w:rsidR="004C50DC" w:rsidRPr="00E8358C" w:rsidRDefault="004C50DC" w:rsidP="004C50DC">
      <w:pPr>
        <w:spacing w:before="120" w:after="120"/>
        <w:jc w:val="both"/>
        <w:rPr>
          <w:lang w:eastAsia="en-CA"/>
        </w:rPr>
      </w:pPr>
      <w:r w:rsidRPr="00E8358C">
        <w:rPr>
          <w:lang w:eastAsia="en-CA"/>
        </w:rPr>
        <w:t>En 2008, à l’occasion de la commémoration du bicentenaire de l’abolition de la traite et de l’esclavage, de nombreuses manifestations culturelles ont été réalisées pour inverser la perspective sur les escl</w:t>
      </w:r>
      <w:r w:rsidRPr="00E8358C">
        <w:rPr>
          <w:lang w:eastAsia="en-CA"/>
        </w:rPr>
        <w:t>a</w:t>
      </w:r>
      <w:r w:rsidRPr="00E8358C">
        <w:rPr>
          <w:lang w:eastAsia="en-CA"/>
        </w:rPr>
        <w:t>ves et les Noirs aux États-Unis. C’est l’un des rares pays où la gestion des revendications culturelles est mieux établie. Les historiographies sur la traite négrière et l’esclavage sont riches et diversifiées</w:t>
      </w:r>
      <w:r>
        <w:rPr>
          <w:lang w:eastAsia="en-CA"/>
        </w:rPr>
        <w:t> </w:t>
      </w:r>
      <w:r w:rsidRPr="00E8358C">
        <w:rPr>
          <w:rStyle w:val="Appelnotedebasdep"/>
          <w:lang w:eastAsia="en-CA"/>
        </w:rPr>
        <w:footnoteReference w:id="331"/>
      </w:r>
      <w:r w:rsidRPr="00E8358C">
        <w:rPr>
          <w:lang w:eastAsia="en-CA"/>
        </w:rPr>
        <w:t>. Elles expriment la volonté d’objectivation de la recherche la plus rigoureuse sur la mémoire de l’esclavage dans les universités. Nous ne saurions oublier le projet de musée afro-américain de la Smithsonian Instit</w:t>
      </w:r>
      <w:r w:rsidRPr="00E8358C">
        <w:rPr>
          <w:lang w:eastAsia="en-CA"/>
        </w:rPr>
        <w:t>u</w:t>
      </w:r>
      <w:r w:rsidRPr="00E8358C">
        <w:rPr>
          <w:lang w:eastAsia="en-CA"/>
        </w:rPr>
        <w:t>tion, inauguré le 24 septembre 2016. Il viendra montrer, une fois de plus, la contribution des Afro-américains à la culture américaine et confirmer la volonté de la</w:t>
      </w:r>
      <w:r>
        <w:rPr>
          <w:lang w:eastAsia="en-CA"/>
        </w:rPr>
        <w:t xml:space="preserve"> [102]</w:t>
      </w:r>
      <w:r w:rsidRPr="00E8358C">
        <w:rPr>
          <w:lang w:eastAsia="en-CA"/>
        </w:rPr>
        <w:t xml:space="preserve"> société américaine de faire de la mise en valeur de la mémoire de l’esclavage un devoir de mémoire. </w:t>
      </w:r>
    </w:p>
    <w:p w:rsidR="004C50DC" w:rsidRPr="00E8358C" w:rsidRDefault="004C50DC" w:rsidP="004C50DC">
      <w:pPr>
        <w:spacing w:before="120" w:after="120"/>
        <w:jc w:val="both"/>
      </w:pPr>
      <w:r w:rsidRPr="00E8358C">
        <w:t>Les Américains sont en train de réfléchir aujourd’hui aux méth</w:t>
      </w:r>
      <w:r w:rsidRPr="00E8358C">
        <w:t>o</w:t>
      </w:r>
      <w:r w:rsidRPr="00E8358C">
        <w:t>des pour mieux patrimonialiser l’histoire et la mémoire de l’esclavage. Une véritable conscience noire est née de cette mise en place. Les Américains veulent sortir de l’histoire européanisée et les Européens ne sont plus les seuls acteurs de cette histoire. Si l’esclavage a été ab</w:t>
      </w:r>
      <w:r w:rsidRPr="00E8358C">
        <w:t>o</w:t>
      </w:r>
      <w:r w:rsidRPr="00E8358C">
        <w:t>li, c’est parce que les esclaves, depuis le début, n’ont cessé de lutter de façon à rendre complètement impossible la perpétuation du système. Les esclaves sont les premiers acteurs de cette histoire, de cette prise de conscience. Un ensemble de musées est en train de se mettre en place comme celui de Washington qui veut respecter l’esprit cosm</w:t>
      </w:r>
      <w:r w:rsidRPr="00E8358C">
        <w:t>o</w:t>
      </w:r>
      <w:r w:rsidRPr="00E8358C">
        <w:t>polite de la population américaine dans lequel chaque Américain, quelle que soit son origine, trouve sa place dans l’histoire de la nation qui est celle des États-Unis conquis, colonisés et construits par les Amérindiens, par les Blancs, par les Noirs et par les Hispaniques. Ce ne sera pas un musée de l’esclavage à proprement parler, mais un m</w:t>
      </w:r>
      <w:r w:rsidRPr="00E8358C">
        <w:t>u</w:t>
      </w:r>
      <w:r w:rsidRPr="00E8358C">
        <w:t xml:space="preserve">sée qui représente la mosaïque ethnique américaine. </w:t>
      </w:r>
    </w:p>
    <w:p w:rsidR="004C50DC" w:rsidRDefault="004C50DC" w:rsidP="004C50DC">
      <w:pPr>
        <w:spacing w:before="120" w:after="120"/>
        <w:jc w:val="both"/>
      </w:pPr>
      <w:r w:rsidRPr="00E8358C">
        <w:t>Peut-on déjà dire que l’histoire de l’esclavage n’est plus camouflée aux États-Unis ? Nous n’en sommes pas encore là. Certes, des efforts sont faits, notamment dans l’État de New York. Cet État très visité aujourd’hui par les touristes, qui renferme la grande ville cosmopolite, la « grosse pomme », fut, faut-il le rappeler, un exemple d’État du nord des États-Unis qui a voulu rejoindre le Sud durant la guerre de Sécession. L’État de New York était esclavagiste</w:t>
      </w:r>
      <w:r>
        <w:t> </w:t>
      </w:r>
      <w:r w:rsidRPr="00E8358C">
        <w:rPr>
          <w:rStyle w:val="Appelnotedebasdep"/>
        </w:rPr>
        <w:footnoteReference w:id="332"/>
      </w:r>
      <w:r w:rsidRPr="00E8358C">
        <w:t>. Il comptait éno</w:t>
      </w:r>
      <w:r w:rsidRPr="00E8358C">
        <w:t>r</w:t>
      </w:r>
      <w:r w:rsidRPr="00E8358C">
        <w:t>mément de fortunes résultant de la pratique de l’esclavage et en part</w:t>
      </w:r>
      <w:r w:rsidRPr="00E8358C">
        <w:t>i</w:t>
      </w:r>
      <w:r w:rsidRPr="00E8358C">
        <w:t>culier du prélèvement des droits de douane, qui étaient tellement él</w:t>
      </w:r>
      <w:r w:rsidRPr="00E8358C">
        <w:t>e</w:t>
      </w:r>
      <w:r w:rsidRPr="00E8358C">
        <w:t>vés que les négriers passaient en revue les esclaves dans les cales et jetaient par-dessus bord ceux, encore vivants, pour lesquels ils est</w:t>
      </w:r>
      <w:r w:rsidRPr="00E8358C">
        <w:t>i</w:t>
      </w:r>
      <w:r w:rsidRPr="00E8358C">
        <w:t>maient qu’il ne valait pas la peine de payer ce droit exorbitant. A</w:t>
      </w:r>
      <w:r w:rsidRPr="00E8358C">
        <w:t>u</w:t>
      </w:r>
      <w:r w:rsidRPr="00E8358C">
        <w:t xml:space="preserve">jourd’hui, l’État de New York veut reconnaître et assumer ce passé en le mettant en lumière. </w:t>
      </w:r>
    </w:p>
    <w:p w:rsidR="004C50DC" w:rsidRPr="00E8358C" w:rsidRDefault="004C50DC" w:rsidP="004C50DC">
      <w:pPr>
        <w:spacing w:before="120" w:after="120"/>
        <w:jc w:val="both"/>
      </w:pPr>
      <w:r>
        <w:t>[103]</w:t>
      </w:r>
    </w:p>
    <w:p w:rsidR="004C50DC" w:rsidRPr="00E8358C" w:rsidRDefault="004C50DC" w:rsidP="004C50DC">
      <w:pPr>
        <w:spacing w:before="120" w:after="120"/>
        <w:jc w:val="both"/>
      </w:pPr>
      <w:r w:rsidRPr="00E8358C">
        <w:t>Dans la même veine, d’autres efforts sur le plan personnel sont à signaler, comme la vague des mouvements afro-américains qui, d</w:t>
      </w:r>
      <w:r w:rsidRPr="00E8358C">
        <w:t>e</w:t>
      </w:r>
      <w:r w:rsidRPr="00E8358C">
        <w:t>puis plus d’une décennie, effectuent des voyages en Afrique à la r</w:t>
      </w:r>
      <w:r w:rsidRPr="00E8358C">
        <w:t>e</w:t>
      </w:r>
      <w:r w:rsidRPr="00E8358C">
        <w:t>cherche de leurs origines, en se soumettant à des tests ADN. Ainsi, des artistes afro-américains tels que Spike Lee et Quincy Jones ont pu découvrir leurs ancêtres au Cameroun</w:t>
      </w:r>
      <w:r>
        <w:t> </w:t>
      </w:r>
      <w:r>
        <w:rPr>
          <w:rStyle w:val="Appelnotedebasdep"/>
        </w:rPr>
        <w:footnoteReference w:id="333"/>
      </w:r>
      <w:r w:rsidRPr="00E8358C">
        <w:t>. Ces mouvements peuvent au</w:t>
      </w:r>
      <w:r w:rsidRPr="00E8358C">
        <w:t>s</w:t>
      </w:r>
      <w:r w:rsidRPr="00E8358C">
        <w:t>si être considérés comme une forme d’appropriation de la mémoire de l’esclavage à travers les actes concrets de descendants d’esclave.</w:t>
      </w:r>
    </w:p>
    <w:p w:rsidR="004C50DC" w:rsidRPr="00E8358C" w:rsidRDefault="004C50DC" w:rsidP="004C50DC">
      <w:pPr>
        <w:spacing w:before="120" w:after="120"/>
        <w:jc w:val="both"/>
      </w:pPr>
      <w:r w:rsidRPr="00E8358C">
        <w:t>Les travaux sur la traite transatlantique, la construction et la patr</w:t>
      </w:r>
      <w:r w:rsidRPr="00E8358C">
        <w:t>i</w:t>
      </w:r>
      <w:r w:rsidRPr="00E8358C">
        <w:t>monialisation des mémoires de l’esclavage réalisés dans les départ</w:t>
      </w:r>
      <w:r w:rsidRPr="00E8358C">
        <w:t>e</w:t>
      </w:r>
      <w:r w:rsidRPr="00E8358C">
        <w:t>ments d’outre-mer français, au Brésil, au Bénin, en Afrique de l’Ouest et du Sud, et ailleurs, nous permettent d’avoir une idée des enjeux qui accompagnent une démarche de mise en patrimoine des mémoires de l’esclavage. Pour Jean-Pierre Chrétien, il faut dans cette situation r</w:t>
      </w:r>
      <w:r w:rsidRPr="00E8358C">
        <w:t>e</w:t>
      </w:r>
      <w:r w:rsidRPr="00E8358C">
        <w:t>penser toute patrimonialisation qui « cache mal, nie, recompose ou reflète de dynamiques historiques auxquelles elle entend donner un sens, dont la subjectivité est à la mesure des traumatismes vécus ou des enjeux de pouvoir »</w:t>
      </w:r>
      <w:r>
        <w:t> </w:t>
      </w:r>
      <w:r>
        <w:rPr>
          <w:rStyle w:val="Appelnotedebasdep"/>
        </w:rPr>
        <w:footnoteReference w:id="334"/>
      </w:r>
      <w:r w:rsidRPr="00E8358C">
        <w:t xml:space="preserve">. Effectivement, la patrimonialisation des mémoires de l’esclavage dans le contexte mondial actuel se fait dans des situations de revendication et de dénonciation, et au-delà des traumatismes pour tenter de briser les barrières de l’occultation. Cette situation porte parfois les gouvernements à l’instrumentaliser et à faire faire aux communautés nationales ou locales des choix qui peuvent apparaître comme une construction subjective de la mémoire.  </w:t>
      </w:r>
    </w:p>
    <w:p w:rsidR="004C50DC" w:rsidRPr="00E8358C" w:rsidRDefault="004C50DC" w:rsidP="004C50DC">
      <w:pPr>
        <w:spacing w:before="120" w:after="120"/>
        <w:jc w:val="both"/>
      </w:pPr>
      <w:r w:rsidRPr="00E8358C">
        <w:t xml:space="preserve">S’il est vrai que l’esclavage est présent dans la mémoire collective des peuples anciennement colonisés, il est continuellement révisé et réinterprété et cette mémoire engendre sans cesse des polémiques. L’ouvrage d’Annie Coombes, </w:t>
      </w:r>
      <w:r w:rsidRPr="00792DC7">
        <w:rPr>
          <w:i/>
          <w:iCs/>
        </w:rPr>
        <w:t xml:space="preserve">Visual Culture and Public Memory in a Democratic South Africa, </w:t>
      </w:r>
      <w:r w:rsidRPr="00792DC7">
        <w:t>perme</w:t>
      </w:r>
      <w:r w:rsidRPr="00E8358C">
        <w:t xml:space="preserve">t d’apprécier les manières de négocier la mémoire publique d’un passé traumatique par la mise en valeur des sites et par la </w:t>
      </w:r>
      <w:r>
        <w:t xml:space="preserve">[104] </w:t>
      </w:r>
      <w:r w:rsidRPr="00E8358C">
        <w:t>construction de nouveaux monuments</w:t>
      </w:r>
      <w:r>
        <w:t> </w:t>
      </w:r>
      <w:r>
        <w:rPr>
          <w:rStyle w:val="Appelnotedebasdep"/>
        </w:rPr>
        <w:footnoteReference w:id="335"/>
      </w:r>
      <w:r w:rsidRPr="00E8358C">
        <w:t>. Il faut aussi souligner les stratégies élaborées par la France, le Bénin et le Ghana dans les projets communs de musées sur la traite négrière et l’esclavage en vue de dégager les éléments idéologiques inhérents à la construction de la mémoire</w:t>
      </w:r>
      <w:r>
        <w:t> </w:t>
      </w:r>
      <w:r>
        <w:rPr>
          <w:rStyle w:val="Appelnotedebasdep"/>
        </w:rPr>
        <w:footnoteReference w:id="336"/>
      </w:r>
      <w:r>
        <w:t>.</w:t>
      </w:r>
    </w:p>
    <w:p w:rsidR="004C50DC" w:rsidRDefault="004C50DC" w:rsidP="004C50DC">
      <w:pPr>
        <w:spacing w:before="120" w:after="120"/>
        <w:jc w:val="both"/>
      </w:pPr>
      <w:r w:rsidRPr="00E8358C">
        <w:t>Toutes les sociétés mondiales se trouvent aujourd’hui confrontées à des revendications mémorielles. Leur gestion s’accompagne d’enjeux sociétaux. La mémoire de l’esclavage semble faire partie d’une histoire commune, d’une mémoire collective mondiale. Elle se situe au centre des débats et des projets de patrimonialisation. Les p</w:t>
      </w:r>
      <w:r w:rsidRPr="00E8358C">
        <w:t>o</w:t>
      </w:r>
      <w:r w:rsidRPr="00E8358C">
        <w:t>sitionnements de certains chercheurs placent ainsi la mémoire de l’esclavage au centre des discussions sur la mémoire et sur les diff</w:t>
      </w:r>
      <w:r w:rsidRPr="00E8358C">
        <w:t>é</w:t>
      </w:r>
      <w:r w:rsidRPr="00E8358C">
        <w:t>rentes constructions nationales. Ils veulent « déconstruire les généal</w:t>
      </w:r>
      <w:r w:rsidRPr="00E8358C">
        <w:t>o</w:t>
      </w:r>
      <w:r w:rsidRPr="00E8358C">
        <w:t>gies complexes entre esclavage, représentations et identités diaspor</w:t>
      </w:r>
      <w:r w:rsidRPr="00E8358C">
        <w:t>i</w:t>
      </w:r>
      <w:r w:rsidRPr="00E8358C">
        <w:t xml:space="preserve">ques et en même temps ouvrir de nouvelles pistes de recherche hors de toutes connotations morales de </w:t>
      </w:r>
      <w:r w:rsidRPr="00E8358C">
        <w:rPr>
          <w:i/>
        </w:rPr>
        <w:t>repentance</w:t>
      </w:r>
      <w:r w:rsidRPr="00E8358C">
        <w:t> »</w:t>
      </w:r>
      <w:r>
        <w:t> </w:t>
      </w:r>
      <w:r>
        <w:rPr>
          <w:rStyle w:val="Appelnotedebasdep"/>
        </w:rPr>
        <w:footnoteReference w:id="337"/>
      </w:r>
      <w:r w:rsidRPr="00E8358C">
        <w:t xml:space="preserve">. </w:t>
      </w:r>
      <w:r w:rsidRPr="00E8358C">
        <w:rPr>
          <w:lang w:eastAsia="en-CA"/>
        </w:rPr>
        <w:t>Thierry Nicolas r</w:t>
      </w:r>
      <w:r w:rsidRPr="00E8358C">
        <w:rPr>
          <w:lang w:eastAsia="en-CA"/>
        </w:rPr>
        <w:t>e</w:t>
      </w:r>
      <w:r w:rsidRPr="00E8358C">
        <w:rPr>
          <w:lang w:eastAsia="en-CA"/>
        </w:rPr>
        <w:t xml:space="preserve">connaît que </w:t>
      </w:r>
      <w:r w:rsidRPr="00E8358C">
        <w:t>la patrimonialisation de la mémoire de l’esclavage</w:t>
      </w:r>
    </w:p>
    <w:p w:rsidR="004C50DC" w:rsidRDefault="004C50DC" w:rsidP="004C50DC">
      <w:pPr>
        <w:pStyle w:val="Citation0"/>
      </w:pPr>
    </w:p>
    <w:p w:rsidR="004C50DC" w:rsidRDefault="004C50DC" w:rsidP="004C50DC">
      <w:pPr>
        <w:pStyle w:val="Citation0"/>
      </w:pPr>
      <w:r w:rsidRPr="00E8358C">
        <w:t>… renferme les germes d’une concurrence des mémoires. Ainsi, reconna</w:t>
      </w:r>
      <w:r w:rsidRPr="00E8358C">
        <w:t>î</w:t>
      </w:r>
      <w:r w:rsidRPr="00E8358C">
        <w:t>tre la mémoire de l’esclavage ouvrirait la porte à une sure</w:t>
      </w:r>
      <w:r w:rsidRPr="00E8358C">
        <w:t>n</w:t>
      </w:r>
      <w:r w:rsidRPr="00E8358C">
        <w:t>chère de toute communauté ayant subi un crime atroce et à un enfe</w:t>
      </w:r>
      <w:r w:rsidRPr="00E8358C">
        <w:t>r</w:t>
      </w:r>
      <w:r w:rsidRPr="00E8358C">
        <w:t>mement dans une posture victimaire pour lequel il n’y aurait aucune forme d’échappatoire. Le danger serait d’entrer dans un cycle alliant une inflation et un abus de mémoire où chaque communauté serait amenée d’un côté à compter ses morts et à établir une hiérarchie de la douleur et de l’autre à réclamer à terme une stèle, un mémorial, une loi voire des réparations pour le préj</w:t>
      </w:r>
      <w:r w:rsidRPr="00E8358C">
        <w:t>u</w:t>
      </w:r>
      <w:r w:rsidRPr="00E8358C">
        <w:t>dice subi</w:t>
      </w:r>
      <w:r>
        <w:t> </w:t>
      </w:r>
      <w:r w:rsidRPr="00E8358C">
        <w:rPr>
          <w:rStyle w:val="Appelnotedebasdep"/>
          <w:szCs w:val="22"/>
          <w:lang w:eastAsia="en-CA"/>
        </w:rPr>
        <w:footnoteReference w:id="338"/>
      </w:r>
      <w:r w:rsidRPr="00E8358C">
        <w:t>.</w:t>
      </w:r>
    </w:p>
    <w:p w:rsidR="004C50DC" w:rsidRPr="00E8358C" w:rsidRDefault="004C50DC" w:rsidP="004C50DC">
      <w:pPr>
        <w:pStyle w:val="Citation0"/>
      </w:pPr>
    </w:p>
    <w:p w:rsidR="004C50DC" w:rsidRPr="00E8358C" w:rsidRDefault="004C50DC" w:rsidP="004C50DC">
      <w:pPr>
        <w:spacing w:before="120" w:after="120"/>
        <w:jc w:val="both"/>
        <w:rPr>
          <w:lang w:eastAsia="ja-JP"/>
        </w:rPr>
      </w:pPr>
      <w:r w:rsidRPr="00E8358C">
        <w:rPr>
          <w:lang w:eastAsia="ja-JP"/>
        </w:rPr>
        <w:t xml:space="preserve">Au travers des mouvements nationalistes, le récit de l’esclavage est aussi très présent dans la diaspora noire. Le </w:t>
      </w:r>
      <w:r w:rsidRPr="00E8358C">
        <w:rPr>
          <w:i/>
          <w:lang w:eastAsia="ja-JP"/>
        </w:rPr>
        <w:t>panafricanisme</w:t>
      </w:r>
      <w:r>
        <w:rPr>
          <w:lang w:eastAsia="ja-JP"/>
        </w:rPr>
        <w:t> </w:t>
      </w:r>
      <w:r w:rsidRPr="00E8358C">
        <w:rPr>
          <w:rStyle w:val="Appelnotedebasdep"/>
          <w:lang w:eastAsia="ja-JP"/>
        </w:rPr>
        <w:footnoteReference w:id="339"/>
      </w:r>
      <w:r w:rsidRPr="00E8358C">
        <w:rPr>
          <w:lang w:eastAsia="ja-JP"/>
        </w:rPr>
        <w:t xml:space="preserve"> semble l’alimenter et favorise en partie la création d’une anthropologie propre à la Caraïbe, aux Amériques ou encore à l’Afrique. C’est le</w:t>
      </w:r>
      <w:r>
        <w:rPr>
          <w:lang w:eastAsia="ja-JP"/>
        </w:rPr>
        <w:t xml:space="preserve"> [105]</w:t>
      </w:r>
      <w:r w:rsidRPr="00E8358C">
        <w:rPr>
          <w:lang w:eastAsia="ja-JP"/>
        </w:rPr>
        <w:t xml:space="preserve"> di</w:t>
      </w:r>
      <w:r w:rsidRPr="00E8358C">
        <w:rPr>
          <w:lang w:eastAsia="ja-JP"/>
        </w:rPr>
        <w:t>s</w:t>
      </w:r>
      <w:r w:rsidRPr="00E8358C">
        <w:rPr>
          <w:lang w:eastAsia="ja-JP"/>
        </w:rPr>
        <w:t xml:space="preserve">cours soutenu par Marcus Garvey et </w:t>
      </w:r>
      <w:r w:rsidRPr="00E8358C">
        <w:t xml:space="preserve">William Edward Burghardt </w:t>
      </w:r>
      <w:r w:rsidRPr="00E8358C">
        <w:rPr>
          <w:lang w:eastAsia="ja-JP"/>
        </w:rPr>
        <w:t>D</w:t>
      </w:r>
      <w:r w:rsidRPr="00E8358C">
        <w:rPr>
          <w:lang w:eastAsia="ja-JP"/>
        </w:rPr>
        <w:t>u</w:t>
      </w:r>
      <w:r w:rsidRPr="00E8358C">
        <w:rPr>
          <w:lang w:eastAsia="ja-JP"/>
        </w:rPr>
        <w:t xml:space="preserve">bois bien qu’ils utilisent des voies contraires. C’est pareil pour </w:t>
      </w:r>
      <w:r w:rsidRPr="00E8358C">
        <w:t>Martin Robison Delany</w:t>
      </w:r>
      <w:r w:rsidRPr="00E8358C">
        <w:rPr>
          <w:lang w:eastAsia="ja-JP"/>
        </w:rPr>
        <w:t xml:space="preserve">, Edward Wilmot Blyden et Anténor Firmin qui sont des intellectuels porteurs aussi du </w:t>
      </w:r>
      <w:r w:rsidRPr="00E8358C">
        <w:rPr>
          <w:i/>
          <w:lang w:eastAsia="ja-JP"/>
        </w:rPr>
        <w:t>panafricanisme</w:t>
      </w:r>
      <w:r w:rsidRPr="00E8358C">
        <w:rPr>
          <w:lang w:eastAsia="ja-JP"/>
        </w:rPr>
        <w:t>. Le discours idé</w:t>
      </w:r>
      <w:r w:rsidRPr="00E8358C">
        <w:rPr>
          <w:lang w:eastAsia="ja-JP"/>
        </w:rPr>
        <w:t>o</w:t>
      </w:r>
      <w:r w:rsidRPr="00E8358C">
        <w:rPr>
          <w:lang w:eastAsia="ja-JP"/>
        </w:rPr>
        <w:t>logique de la « négritude</w:t>
      </w:r>
      <w:r>
        <w:rPr>
          <w:lang w:eastAsia="ja-JP"/>
        </w:rPr>
        <w:t> </w:t>
      </w:r>
      <w:r w:rsidRPr="00E8358C">
        <w:rPr>
          <w:rStyle w:val="Appelnotedebasdep"/>
          <w:lang w:eastAsia="ja-JP"/>
        </w:rPr>
        <w:footnoteReference w:id="340"/>
      </w:r>
      <w:r w:rsidRPr="00E8358C">
        <w:rPr>
          <w:lang w:eastAsia="ja-JP"/>
        </w:rPr>
        <w:t> » alimenté par Aimé Césaire</w:t>
      </w:r>
      <w:r>
        <w:rPr>
          <w:lang w:eastAsia="ja-JP"/>
        </w:rPr>
        <w:t> </w:t>
      </w:r>
      <w:r>
        <w:rPr>
          <w:rStyle w:val="Appelnotedebasdep"/>
          <w:lang w:eastAsia="ja-JP"/>
        </w:rPr>
        <w:footnoteReference w:id="341"/>
      </w:r>
      <w:r w:rsidRPr="00E8358C">
        <w:rPr>
          <w:lang w:eastAsia="ja-JP"/>
        </w:rPr>
        <w:t xml:space="preserve">, </w:t>
      </w:r>
      <w:r w:rsidRPr="00E8358C">
        <w:t>Léopold S</w:t>
      </w:r>
      <w:r w:rsidRPr="00E8358C">
        <w:t>é</w:t>
      </w:r>
      <w:r w:rsidRPr="00E8358C">
        <w:t>dar Senghor</w:t>
      </w:r>
      <w:r>
        <w:t> </w:t>
      </w:r>
      <w:r w:rsidRPr="00E8358C">
        <w:rPr>
          <w:rStyle w:val="Appelnotedebasdep"/>
        </w:rPr>
        <w:footnoteReference w:id="342"/>
      </w:r>
      <w:r w:rsidRPr="00E8358C">
        <w:t>, Léon Gontran Damas</w:t>
      </w:r>
      <w:r>
        <w:t> </w:t>
      </w:r>
      <w:r w:rsidRPr="00E8358C">
        <w:rPr>
          <w:rStyle w:val="Appelnotedebasdep"/>
        </w:rPr>
        <w:footnoteReference w:id="343"/>
      </w:r>
      <w:r w:rsidRPr="00E8358C">
        <w:t xml:space="preserve"> et Birago Diop</w:t>
      </w:r>
      <w:r>
        <w:t> </w:t>
      </w:r>
      <w:r w:rsidRPr="00E8358C">
        <w:rPr>
          <w:rStyle w:val="Appelnotedebasdep"/>
        </w:rPr>
        <w:footnoteReference w:id="344"/>
      </w:r>
      <w:r>
        <w:t xml:space="preserve"> </w:t>
      </w:r>
      <w:r w:rsidRPr="00E8358C">
        <w:rPr>
          <w:lang w:eastAsia="ja-JP"/>
        </w:rPr>
        <w:t xml:space="preserve">va dans le même sens. </w:t>
      </w:r>
    </w:p>
    <w:p w:rsidR="004C50DC" w:rsidRDefault="004C50DC" w:rsidP="004C50DC">
      <w:pPr>
        <w:spacing w:before="120" w:after="120"/>
        <w:jc w:val="both"/>
        <w:rPr>
          <w:lang w:eastAsia="ja-JP"/>
        </w:rPr>
      </w:pPr>
    </w:p>
    <w:p w:rsidR="004C50DC" w:rsidRPr="00E8358C" w:rsidRDefault="004C50DC" w:rsidP="004C50DC">
      <w:pPr>
        <w:spacing w:before="120" w:after="120"/>
        <w:jc w:val="both"/>
        <w:rPr>
          <w:lang w:eastAsia="ja-JP"/>
        </w:rPr>
      </w:pPr>
      <w:r w:rsidRPr="00E8358C">
        <w:rPr>
          <w:lang w:eastAsia="ja-JP"/>
        </w:rPr>
        <w:t>À la lumière des précédentes lectures, nous pouvons avancer que les sociétés concernées par la traite et l’esclavage transatlantique n’effectuent pas le même type de travail de mémoire. Le travail de mémoire sur la traite et l’esclavage paraît, à première vue, plus con</w:t>
      </w:r>
      <w:r w:rsidRPr="00E8358C">
        <w:rPr>
          <w:lang w:eastAsia="ja-JP"/>
        </w:rPr>
        <w:t>s</w:t>
      </w:r>
      <w:r w:rsidRPr="00E8358C">
        <w:rPr>
          <w:lang w:eastAsia="ja-JP"/>
        </w:rPr>
        <w:t>tant en Europe, aux États-Unis et au Brésil que dans les Antilles et en Afrique. Mais cela n’est pas certain ; il se pourrait qu’il soit plus c</w:t>
      </w:r>
      <w:r w:rsidRPr="00E8358C">
        <w:rPr>
          <w:lang w:eastAsia="ja-JP"/>
        </w:rPr>
        <w:t>a</w:t>
      </w:r>
      <w:r w:rsidRPr="00E8358C">
        <w:rPr>
          <w:lang w:eastAsia="ja-JP"/>
        </w:rPr>
        <w:t>ché, secret, insidieux.</w:t>
      </w:r>
    </w:p>
    <w:p w:rsidR="004C50DC" w:rsidRDefault="004C50DC" w:rsidP="004C50DC">
      <w:pPr>
        <w:spacing w:before="120" w:after="120"/>
        <w:jc w:val="both"/>
        <w:rPr>
          <w:lang w:eastAsia="ja-JP"/>
        </w:rPr>
      </w:pPr>
    </w:p>
    <w:p w:rsidR="004C50DC" w:rsidRDefault="004C50DC" w:rsidP="004C50DC">
      <w:pPr>
        <w:spacing w:before="120" w:after="120"/>
        <w:jc w:val="both"/>
        <w:rPr>
          <w:lang w:eastAsia="ja-JP"/>
        </w:rPr>
      </w:pPr>
      <w:r w:rsidRPr="00E8358C">
        <w:rPr>
          <w:lang w:eastAsia="ja-JP"/>
        </w:rPr>
        <w:t>Aujourd’hui, il est inconcevable de parler de la traite transatlant</w:t>
      </w:r>
      <w:r w:rsidRPr="00E8358C">
        <w:rPr>
          <w:lang w:eastAsia="ja-JP"/>
        </w:rPr>
        <w:t>i</w:t>
      </w:r>
      <w:r w:rsidRPr="00E8358C">
        <w:rPr>
          <w:lang w:eastAsia="ja-JP"/>
        </w:rPr>
        <w:t>que et de l’esclavage sans évoquer le nom d’Haïti. Haïti partage le même traumatisme de l’esclavage, mais à sa propre manière (bov</w:t>
      </w:r>
      <w:r w:rsidRPr="00E8358C">
        <w:rPr>
          <w:lang w:eastAsia="ja-JP"/>
        </w:rPr>
        <w:t>a</w:t>
      </w:r>
      <w:r w:rsidRPr="00E8358C">
        <w:rPr>
          <w:lang w:eastAsia="ja-JP"/>
        </w:rPr>
        <w:t>rysme collectif, exceptionnalisme haïtien). Pour certains Haïtiens, les événements de 1791 et l’indépendance de 1804 ont déjà réglé la que</w:t>
      </w:r>
      <w:r w:rsidRPr="00E8358C">
        <w:rPr>
          <w:lang w:eastAsia="ja-JP"/>
        </w:rPr>
        <w:t>s</w:t>
      </w:r>
      <w:r w:rsidRPr="00E8358C">
        <w:rPr>
          <w:lang w:eastAsia="ja-JP"/>
        </w:rPr>
        <w:t xml:space="preserve">tion de l’esclavage. </w:t>
      </w:r>
      <w:r w:rsidRPr="00E8358C">
        <w:rPr>
          <w:lang w:eastAsia="en-CA"/>
        </w:rPr>
        <w:t>Il est préférable qu’on n’en parle plus pour emp</w:t>
      </w:r>
      <w:r w:rsidRPr="00E8358C">
        <w:rPr>
          <w:lang w:eastAsia="en-CA"/>
        </w:rPr>
        <w:t>ê</w:t>
      </w:r>
      <w:r w:rsidRPr="00E8358C">
        <w:rPr>
          <w:lang w:eastAsia="en-CA"/>
        </w:rPr>
        <w:t xml:space="preserve">cher que les souvenirs ravivent les traumatismes et rouvrent la plaie coloniale. </w:t>
      </w:r>
      <w:r w:rsidRPr="00E8358C">
        <w:rPr>
          <w:lang w:eastAsia="ja-JP"/>
        </w:rPr>
        <w:t>Fort de ces constats, nous tenons dans le chapitre qui suit à chercher à comprendre la genèse de la construction mémorielle ha</w:t>
      </w:r>
      <w:r w:rsidRPr="00E8358C">
        <w:rPr>
          <w:lang w:eastAsia="ja-JP"/>
        </w:rPr>
        <w:t>ï</w:t>
      </w:r>
      <w:r w:rsidRPr="00E8358C">
        <w:rPr>
          <w:lang w:eastAsia="ja-JP"/>
        </w:rPr>
        <w:t xml:space="preserve">tienne en rapport avec l’esclavage, les influences qu’elle a subies et ses modes de transmission. </w:t>
      </w:r>
    </w:p>
    <w:p w:rsidR="004C50DC" w:rsidRPr="00E8358C" w:rsidRDefault="004C50DC" w:rsidP="004C50DC">
      <w:pPr>
        <w:spacing w:before="120" w:after="120"/>
        <w:jc w:val="both"/>
        <w:rPr>
          <w:lang w:eastAsia="ja-JP"/>
        </w:rPr>
      </w:pPr>
    </w:p>
    <w:p w:rsidR="004C50DC" w:rsidRPr="00E8358C" w:rsidRDefault="004C50DC" w:rsidP="004C50DC">
      <w:pPr>
        <w:pStyle w:val="p"/>
      </w:pPr>
      <w:r w:rsidRPr="00E8358C">
        <w:br w:type="page"/>
      </w:r>
      <w:bookmarkStart w:id="116" w:name="_Toc423347286"/>
      <w:bookmarkStart w:id="117" w:name="_Toc442280464"/>
      <w:r w:rsidRPr="00E8358C">
        <w:t>[106]</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118" w:name="Memoire_chap_III"/>
      <w:r w:rsidRPr="00EF76C4">
        <w:rPr>
          <w:b/>
          <w:sz w:val="24"/>
        </w:rPr>
        <w:t>Mémoire de l’esclavage en Haïti.</w:t>
      </w:r>
    </w:p>
    <w:p w:rsidR="004C50DC" w:rsidRDefault="004C50DC" w:rsidP="004C50DC">
      <w:pPr>
        <w:pStyle w:val="Titreniveau1"/>
        <w:rPr>
          <w:szCs w:val="36"/>
        </w:rPr>
      </w:pPr>
      <w:r>
        <w:rPr>
          <w:szCs w:val="36"/>
        </w:rPr>
        <w:t>Chapitre III</w:t>
      </w:r>
    </w:p>
    <w:p w:rsidR="004C50DC" w:rsidRPr="001F21A7" w:rsidRDefault="004C50DC" w:rsidP="004C50DC">
      <w:pPr>
        <w:pStyle w:val="Titreniveau2"/>
      </w:pPr>
      <w:r w:rsidRPr="00DB24FF">
        <w:t>Mé</w:t>
      </w:r>
      <w:r>
        <w:t>moires de l’esclavage en Haïti.</w:t>
      </w:r>
      <w:r>
        <w:br/>
      </w:r>
      <w:r w:rsidRPr="00DB24FF">
        <w:t>Co</w:t>
      </w:r>
      <w:r>
        <w:t>nstruction politico-historique,</w:t>
      </w:r>
      <w:r>
        <w:br/>
      </w:r>
      <w:r w:rsidRPr="00DB24FF">
        <w:t>place dans l’Instruction publique</w:t>
      </w:r>
      <w:r>
        <w:br/>
      </w:r>
      <w:r w:rsidRPr="00DB24FF">
        <w:t>et transmi</w:t>
      </w:r>
      <w:r w:rsidRPr="00DB24FF">
        <w:t>s</w:t>
      </w:r>
      <w:r w:rsidRPr="00DB24FF">
        <w:t>sion</w:t>
      </w:r>
    </w:p>
    <w:bookmarkEnd w:id="118"/>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116"/>
    <w:bookmarkEnd w:id="117"/>
    <w:p w:rsidR="004C50DC" w:rsidRDefault="004C50DC" w:rsidP="004C50DC">
      <w:pPr>
        <w:spacing w:before="120" w:after="120"/>
        <w:jc w:val="both"/>
      </w:pPr>
      <w:r w:rsidRPr="00E8358C">
        <w:t>Nous présentons dans ce chapitre la genèse des entreprises mém</w:t>
      </w:r>
      <w:r w:rsidRPr="00E8358C">
        <w:t>o</w:t>
      </w:r>
      <w:r w:rsidRPr="00E8358C">
        <w:t>rielles de l’esclavage en Haïti et une synthèse des politiques culture</w:t>
      </w:r>
      <w:r w:rsidRPr="00E8358C">
        <w:t>l</w:t>
      </w:r>
      <w:r w:rsidRPr="00E8358C">
        <w:t>les de l’État haïtien. Par cette voie, nous voulons analyser les efforts déjà consentis pour sauvegarder et valoriser le patrimoine culturel m</w:t>
      </w:r>
      <w:r w:rsidRPr="00E8358C">
        <w:t>a</w:t>
      </w:r>
      <w:r w:rsidRPr="00E8358C">
        <w:t xml:space="preserve">tériel et immatériel haïtien. Ensuite, nous exposerons les influences des écoles historiques dans le choix des mémoires enseignées et transmises à l’école. </w:t>
      </w:r>
    </w:p>
    <w:p w:rsidR="004C50DC" w:rsidRPr="00E8358C" w:rsidRDefault="004C50DC" w:rsidP="004C50DC">
      <w:pPr>
        <w:spacing w:before="120" w:after="120"/>
        <w:jc w:val="both"/>
      </w:pPr>
    </w:p>
    <w:p w:rsidR="004C50DC" w:rsidRPr="00E8358C" w:rsidRDefault="004C50DC" w:rsidP="004C50DC">
      <w:pPr>
        <w:pStyle w:val="planche"/>
      </w:pPr>
      <w:bookmarkStart w:id="119" w:name="_Toc423347288"/>
      <w:bookmarkStart w:id="120" w:name="_Toc442280466"/>
      <w:bookmarkStart w:id="121" w:name="_Toc406489668"/>
      <w:bookmarkStart w:id="122" w:name="Memoire_chap_III_1"/>
      <w:r w:rsidRPr="00E8358C">
        <w:t xml:space="preserve">3.1. </w:t>
      </w:r>
      <w:bookmarkStart w:id="123" w:name="_Toc406489653"/>
      <w:r w:rsidRPr="00E8358C">
        <w:t>Genèse des entreprises mémorielles</w:t>
      </w:r>
      <w:r>
        <w:br/>
      </w:r>
      <w:r w:rsidRPr="00E8358C">
        <w:t>de l’esclavage en Haïti</w:t>
      </w:r>
      <w:bookmarkEnd w:id="119"/>
      <w:bookmarkEnd w:id="120"/>
      <w:bookmarkEnd w:id="123"/>
    </w:p>
    <w:bookmarkEnd w:id="122"/>
    <w:p w:rsidR="004C50DC" w:rsidRDefault="004C50DC" w:rsidP="004C50DC">
      <w:pPr>
        <w:spacing w:before="120" w:after="120"/>
        <w:jc w:val="both"/>
        <w:rPr>
          <w:lang w:eastAsia="en-CA"/>
        </w:rPr>
      </w:pPr>
    </w:p>
    <w:p w:rsidR="004C50DC" w:rsidRPr="00E8358C" w:rsidRDefault="004C50DC" w:rsidP="004C50DC">
      <w:pPr>
        <w:spacing w:before="120" w:after="120"/>
        <w:jc w:val="both"/>
      </w:pPr>
      <w:r w:rsidRPr="00E8358C">
        <w:rPr>
          <w:lang w:eastAsia="en-CA"/>
        </w:rPr>
        <w:t>En Haïti, la relecture de l’histoire et des représentations coloniales permet de remettre en question la structure étatique d’hier à a</w:t>
      </w:r>
      <w:r w:rsidRPr="00E8358C">
        <w:rPr>
          <w:lang w:eastAsia="en-CA"/>
        </w:rPr>
        <w:t>u</w:t>
      </w:r>
      <w:r w:rsidRPr="00E8358C">
        <w:rPr>
          <w:lang w:eastAsia="en-CA"/>
        </w:rPr>
        <w:t>jourd’hui. Depuis la création de la république noire, de</w:t>
      </w:r>
      <w:r w:rsidRPr="00E8358C">
        <w:t xml:space="preserve"> manière dire</w:t>
      </w:r>
      <w:r w:rsidRPr="00E8358C">
        <w:t>c</w:t>
      </w:r>
      <w:r w:rsidRPr="00E8358C">
        <w:t>te, o</w:t>
      </w:r>
      <w:r w:rsidRPr="00E8358C">
        <w:rPr>
          <w:lang w:eastAsia="en-CA"/>
        </w:rPr>
        <w:t xml:space="preserve">n assiste à </w:t>
      </w:r>
      <w:r w:rsidRPr="00E8358C">
        <w:t>un oubli volontaire, voire à un rejet de toutes les m</w:t>
      </w:r>
      <w:r w:rsidRPr="00E8358C">
        <w:t>é</w:t>
      </w:r>
      <w:r w:rsidRPr="00E8358C">
        <w:t>moires de l’esclavage dans leur mode d’organisation sociale</w:t>
      </w:r>
      <w:r w:rsidRPr="00E8358C">
        <w:rPr>
          <w:lang w:eastAsia="en-CA"/>
        </w:rPr>
        <w:t>. L</w:t>
      </w:r>
      <w:r w:rsidRPr="00E8358C">
        <w:t>a m</w:t>
      </w:r>
      <w:r w:rsidRPr="00E8358C">
        <w:t>é</w:t>
      </w:r>
      <w:r w:rsidRPr="00E8358C">
        <w:t xml:space="preserve">taphore de « l’absence de ruines » de Dereck Walcott ne saurait s’appliquer dans ce cas précis. On ne saurait parler non plus d’amnésie collective, de société sans passé, de société sans conscience collective. C’est une posture révolutionnaire. Une rupture faite par Haïti. </w:t>
      </w:r>
      <w:r w:rsidRPr="00E8358C">
        <w:rPr>
          <w:lang w:eastAsia="en-CA"/>
        </w:rPr>
        <w:t>Le</w:t>
      </w:r>
      <w:r w:rsidRPr="00E8358C">
        <w:t xml:space="preserve"> refus de la mémoire de l’esclavage vient directement de la Révolution qui consistait dans une volonté claire et nette d’en finir avec l’esclavage et le racisme</w:t>
      </w:r>
      <w:r>
        <w:t> </w:t>
      </w:r>
      <w:r>
        <w:rPr>
          <w:rStyle w:val="Appelnotedebasdep"/>
        </w:rPr>
        <w:footnoteReference w:id="345"/>
      </w:r>
      <w:r w:rsidRPr="00E8358C">
        <w:t>. Il est à noter que, dans l’esprit de la Constitution de 1805, la Révolution est à la fois antiesclavagiste et anticolonialiste, mais elle ne néglige pas les racines africaines. Dans cette veine, le professeur Leslie F. Manigat a précisé le sens de l</w:t>
      </w:r>
      <w:r w:rsidRPr="00E8358C">
        <w:rPr>
          <w:i/>
        </w:rPr>
        <w:t>’Armée indigène</w:t>
      </w:r>
      <w:r w:rsidRPr="00E8358C">
        <w:t>.</w:t>
      </w:r>
    </w:p>
    <w:p w:rsidR="004C50DC" w:rsidRDefault="004C50DC" w:rsidP="004C50DC">
      <w:pPr>
        <w:pStyle w:val="Citation0"/>
      </w:pPr>
    </w:p>
    <w:p w:rsidR="004C50DC" w:rsidRDefault="004C50DC" w:rsidP="004C50DC">
      <w:pPr>
        <w:pStyle w:val="Citation0"/>
      </w:pPr>
      <w:r w:rsidRPr="00E8358C">
        <w:t>Le vocabulaire du moment a précisé ce mot en lui attribuant le sens de non « </w:t>
      </w:r>
      <w:r w:rsidRPr="00E8358C">
        <w:rPr>
          <w:i/>
        </w:rPr>
        <w:t>blanc européen »</w:t>
      </w:r>
      <w:r w:rsidRPr="00E8358C">
        <w:t>comme l’était le colon des belles plant</w:t>
      </w:r>
      <w:r w:rsidRPr="00E8358C">
        <w:t>a</w:t>
      </w:r>
      <w:r w:rsidRPr="00E8358C">
        <w:t>tions tropicales de la Saint-Domingue esclavagiste. L’armée indigène est nègre, c’est-à-dire africaine pour une part, et métisse d’Africains d’origine, c’est-à-dire mulâtre pour l’autre part. Pour Dessalines et son époque, les militaires vi</w:t>
      </w:r>
      <w:r w:rsidRPr="00E8358C">
        <w:t>c</w:t>
      </w:r>
      <w:r w:rsidRPr="00E8358C">
        <w:t>torieux ont une fiche d’identité d’indigène. […] Les Haïtiens vainqueurs en 1803 sont des « indigènes » d’où l’ethnonationalisme partout présent dans les actes de la littérature politique et les réalités collectivement v</w:t>
      </w:r>
      <w:r w:rsidRPr="00E8358C">
        <w:t>é</w:t>
      </w:r>
      <w:r w:rsidRPr="00E8358C">
        <w:t>cues</w:t>
      </w:r>
      <w:r>
        <w:t> </w:t>
      </w:r>
      <w:r w:rsidRPr="00E8358C">
        <w:rPr>
          <w:rStyle w:val="Appelnotedebasdep"/>
          <w:szCs w:val="22"/>
        </w:rPr>
        <w:footnoteReference w:id="346"/>
      </w:r>
      <w:r w:rsidRPr="00E8358C">
        <w:t>.</w:t>
      </w:r>
    </w:p>
    <w:p w:rsidR="004C50DC" w:rsidRDefault="004C50DC" w:rsidP="004C50DC">
      <w:pPr>
        <w:pStyle w:val="Citation0"/>
      </w:pPr>
    </w:p>
    <w:p w:rsidR="004C50DC" w:rsidRPr="00E8358C" w:rsidRDefault="004C50DC" w:rsidP="004C50DC">
      <w:pPr>
        <w:spacing w:before="120" w:after="120"/>
        <w:jc w:val="both"/>
        <w:rPr>
          <w:szCs w:val="22"/>
        </w:rPr>
      </w:pPr>
      <w:r>
        <w:rPr>
          <w:szCs w:val="22"/>
        </w:rPr>
        <w:t>[107]</w:t>
      </w:r>
    </w:p>
    <w:p w:rsidR="004C50DC" w:rsidRPr="00E8358C" w:rsidRDefault="004C50DC" w:rsidP="004C50DC">
      <w:pPr>
        <w:spacing w:before="120" w:after="120"/>
        <w:jc w:val="both"/>
      </w:pPr>
      <w:r w:rsidRPr="00E8358C">
        <w:t>Où est la notion de métissage évoquée par Leslie Manigat dans la Constitution de 1805 ? Cette constitution, en son Article 14, dit cla</w:t>
      </w:r>
      <w:r w:rsidRPr="00E8358C">
        <w:t>i</w:t>
      </w:r>
      <w:r w:rsidRPr="00E8358C">
        <w:t>rement que « […] les Haïtiens ne seront désormais connus que sous la dénomination générique de Noirs »</w:t>
      </w:r>
      <w:r>
        <w:t> </w:t>
      </w:r>
      <w:r w:rsidRPr="00E8358C">
        <w:rPr>
          <w:rStyle w:val="Appelnotedebasdep"/>
        </w:rPr>
        <w:footnoteReference w:id="347"/>
      </w:r>
      <w:r w:rsidRPr="00E8358C">
        <w:t>. La réflexion de Leslie Manigat est une piste de compréhension de la position des premiers dirigeants face aux mémoires de l’esclavage. L’ethnonationalisme a préféré me</w:t>
      </w:r>
      <w:r w:rsidRPr="00E8358C">
        <w:t>t</w:t>
      </w:r>
      <w:r w:rsidRPr="00E8358C">
        <w:t>tre en avant les valeurs ethniques de la Révolution qui prennent en compte la construction héroïque. Il ne s’agit pas d’un cas traditionnel, dans le sens d’un retour à l’ordre passé. Le nouvel État se légitime en tout premier lieu en assumant le nom de « Hayti ». Par ce geste, il paraît évident pour les pères fondateurs de la nouvelle République de se réclamer d’une tradition « contre-coloniale ». En reprenant l’ancien nom taïno « Ayiti », ils s’affirmaient comme les vengeurs de cette p</w:t>
      </w:r>
      <w:r w:rsidRPr="00E8358C">
        <w:t>o</w:t>
      </w:r>
      <w:r w:rsidRPr="00E8358C">
        <w:t>pulation amérindienne que les Espagnols avaient fait disparaître. Cette appellation peut également traduire une volonté de passer par-dessus des siècles de l’esclavage. Justement, l’armée révolutionnaire, avant de se rebaptiser l’armée indigène, s’appelait auparavant l’armée des Incas</w:t>
      </w:r>
      <w:r>
        <w:t> </w:t>
      </w:r>
      <w:r>
        <w:rPr>
          <w:rStyle w:val="Appelnotedebasdep"/>
        </w:rPr>
        <w:footnoteReference w:id="348"/>
      </w:r>
      <w:r w:rsidRPr="00E8358C">
        <w:t>. Il y avait une volonté de s’enraciner politiquement dans le pa</w:t>
      </w:r>
      <w:r w:rsidRPr="00E8358C">
        <w:t>s</w:t>
      </w:r>
      <w:r w:rsidRPr="00E8358C">
        <w:t>sé des Amérindiens.</w:t>
      </w:r>
    </w:p>
    <w:p w:rsidR="004C50DC" w:rsidRPr="00E8358C" w:rsidRDefault="004C50DC" w:rsidP="004C50DC">
      <w:pPr>
        <w:spacing w:before="120" w:after="120"/>
        <w:jc w:val="both"/>
      </w:pPr>
      <w:r w:rsidRPr="00E8358C">
        <w:t xml:space="preserve">Dans les discours des premiers dirigeants de la Nation, l’esclavage est banni. L’incendie des habitations coloniales fut aussi une volonté réelle de supprimer toutes les traces matérielles de l’esclavage. Ce fut </w:t>
      </w:r>
      <w:r w:rsidRPr="00E8358C">
        <w:rPr>
          <w:lang w:eastAsia="en-CA"/>
        </w:rPr>
        <w:t xml:space="preserve">un acte collectif, marquant le </w:t>
      </w:r>
      <w:r w:rsidRPr="00E8358C">
        <w:t xml:space="preserve">refus absolu du système esclavagiste et de son éventuel rétablissement. </w:t>
      </w:r>
    </w:p>
    <w:p w:rsidR="004C50DC" w:rsidRDefault="004C50DC" w:rsidP="004C50DC">
      <w:pPr>
        <w:spacing w:before="120" w:after="120"/>
        <w:jc w:val="both"/>
      </w:pPr>
      <w:r>
        <w:t>[108]</w:t>
      </w:r>
    </w:p>
    <w:p w:rsidR="004C50DC" w:rsidRPr="00E8358C" w:rsidRDefault="004C50DC" w:rsidP="004C50DC">
      <w:pPr>
        <w:spacing w:before="120" w:after="120"/>
        <w:jc w:val="both"/>
      </w:pPr>
      <w:r w:rsidRPr="00E8358C">
        <w:t>Dans ce contexte, l’esclave avait cherché lui-même très tôt à se d</w:t>
      </w:r>
      <w:r w:rsidRPr="00E8358C">
        <w:t>o</w:t>
      </w:r>
      <w:r w:rsidRPr="00E8358C">
        <w:t>ter d’une mémoire traduite dans la volonté de se relier à l’Afrique perdue</w:t>
      </w:r>
      <w:r>
        <w:t> </w:t>
      </w:r>
      <w:r w:rsidRPr="00E8358C">
        <w:rPr>
          <w:rStyle w:val="Appelnotedebasdep"/>
        </w:rPr>
        <w:footnoteReference w:id="349"/>
      </w:r>
      <w:r w:rsidRPr="00E8358C">
        <w:t>. Ce mouvement se matérialise par la production d’une la</w:t>
      </w:r>
      <w:r w:rsidRPr="00E8358C">
        <w:t>n</w:t>
      </w:r>
      <w:r w:rsidRPr="00E8358C">
        <w:t>gue (le créole), par la création d’une série de proverbes et par l’adoption de totems et de représentations (</w:t>
      </w:r>
      <w:r w:rsidRPr="00E8358C">
        <w:rPr>
          <w:i/>
        </w:rPr>
        <w:t>vèvè</w:t>
      </w:r>
      <w:r w:rsidRPr="00E8358C">
        <w:t>) qui visent à exprimer leurs se</w:t>
      </w:r>
      <w:r w:rsidRPr="00E8358C">
        <w:t>n</w:t>
      </w:r>
      <w:r w:rsidRPr="00E8358C">
        <w:t>timents. Les représentations se retrouvent notamment dans les arts, les danses, la musique... L’imaginaire collectif et les symboles perme</w:t>
      </w:r>
      <w:r w:rsidRPr="00E8358C">
        <w:t>t</w:t>
      </w:r>
      <w:r w:rsidRPr="00E8358C">
        <w:t>taient à l’ensemble des esclaves de se créer un monde pr</w:t>
      </w:r>
      <w:r w:rsidRPr="00E8358C">
        <w:t>o</w:t>
      </w:r>
      <w:r w:rsidRPr="00E8358C">
        <w:t>pre dans l’univers colonial. Ils ont pu créer leur propre mémoire et développer un nouveau rapport avec l’origine qui n’est plus une i</w:t>
      </w:r>
      <w:r w:rsidRPr="00E8358C">
        <w:t>n</w:t>
      </w:r>
      <w:r w:rsidRPr="00E8358C">
        <w:t xml:space="preserve">vention des maîtres ; ces efforts visant à assurer cette continuité se constatent à travers toute l’histoire d’Haïti. </w:t>
      </w:r>
    </w:p>
    <w:p w:rsidR="004C50DC" w:rsidRDefault="004C50DC" w:rsidP="004C50DC">
      <w:pPr>
        <w:spacing w:before="120" w:after="120"/>
        <w:jc w:val="both"/>
      </w:pPr>
      <w:r w:rsidRPr="00E8358C">
        <w:t>Aujourd’hui, l’État haïtien a des difficultés particulières à s’installer dans la perspective créée par la Révolution haïtienne. La liquidation de l’esclavage ne s’est pas faite de manière radicale. Le système colonial revient à travers le rapport que les Haïtiens dévelo</w:t>
      </w:r>
      <w:r w:rsidRPr="00E8358C">
        <w:t>p</w:t>
      </w:r>
      <w:r w:rsidRPr="00E8358C">
        <w:t>pent avec le pouvoir. Plus de deux siècles après l’Indépendance, il re</w:t>
      </w:r>
      <w:r w:rsidRPr="00E8358C">
        <w:t>s</w:t>
      </w:r>
      <w:r w:rsidRPr="00E8358C">
        <w:t>te des troubles et des difficultés qui empêchent l’application des grands principes et des idéaux qui ont commandé la Révolution (idéaux de droits et d’égalité). La société n’a pas toujours conscience d’avoir défait réellement l’esclavage dans la mesure où l’amnésie n’est pas encore liquidée</w:t>
      </w:r>
      <w:r>
        <w:t> </w:t>
      </w:r>
      <w:r w:rsidRPr="00E8358C">
        <w:rPr>
          <w:rStyle w:val="Appelnotedebasdep"/>
        </w:rPr>
        <w:footnoteReference w:id="350"/>
      </w:r>
      <w:r w:rsidRPr="00E8358C">
        <w:t>, alors qu’un travail de valorisation du p</w:t>
      </w:r>
      <w:r w:rsidRPr="00E8358C">
        <w:t>a</w:t>
      </w:r>
      <w:r w:rsidRPr="00E8358C">
        <w:t xml:space="preserve">trimoine légué par la colonisation pourrait </w:t>
      </w:r>
      <w:r w:rsidRPr="00E8358C">
        <w:rPr>
          <w:lang w:eastAsia="en-CA"/>
        </w:rPr>
        <w:t>bien</w:t>
      </w:r>
      <w:r w:rsidRPr="00E8358C">
        <w:t xml:space="preserve"> montrer </w:t>
      </w:r>
      <w:r w:rsidRPr="00E8358C">
        <w:rPr>
          <w:lang w:eastAsia="en-CA"/>
        </w:rPr>
        <w:t>que les m</w:t>
      </w:r>
      <w:r w:rsidRPr="00E8358C">
        <w:rPr>
          <w:lang w:eastAsia="en-CA"/>
        </w:rPr>
        <w:t>é</w:t>
      </w:r>
      <w:r w:rsidRPr="00E8358C">
        <w:rPr>
          <w:lang w:eastAsia="en-CA"/>
        </w:rPr>
        <w:t>moires de l’esclavage imprègnent les pratiques sociales</w:t>
      </w:r>
      <w:r w:rsidRPr="00E8358C">
        <w:t xml:space="preserve"> haïtiennes. </w:t>
      </w:r>
    </w:p>
    <w:p w:rsidR="004C50DC" w:rsidRPr="00E8358C" w:rsidRDefault="004C50DC" w:rsidP="004C50DC">
      <w:pPr>
        <w:spacing w:before="120" w:after="120"/>
        <w:jc w:val="both"/>
      </w:pPr>
    </w:p>
    <w:p w:rsidR="004C50DC" w:rsidRPr="00AD3FFD" w:rsidRDefault="004C50DC" w:rsidP="004C50DC">
      <w:pPr>
        <w:pStyle w:val="b"/>
      </w:pPr>
      <w:bookmarkStart w:id="124" w:name="_Toc406489654"/>
      <w:bookmarkStart w:id="125" w:name="_Toc423347289"/>
      <w:bookmarkStart w:id="126" w:name="_Toc442280467"/>
      <w:r w:rsidRPr="00AD3FFD">
        <w:t>Contexte et influence d’une mémoire de la liberté</w:t>
      </w:r>
      <w:bookmarkEnd w:id="124"/>
      <w:bookmarkEnd w:id="125"/>
      <w:bookmarkEnd w:id="126"/>
    </w:p>
    <w:p w:rsidR="004C50DC" w:rsidRDefault="004C50DC" w:rsidP="004C50DC">
      <w:pPr>
        <w:spacing w:before="120" w:after="120"/>
        <w:jc w:val="both"/>
      </w:pPr>
    </w:p>
    <w:p w:rsidR="004C50DC" w:rsidRPr="00E8358C" w:rsidRDefault="004C50DC" w:rsidP="004C50DC">
      <w:pPr>
        <w:spacing w:before="120" w:after="120"/>
        <w:jc w:val="both"/>
      </w:pPr>
      <w:r w:rsidRPr="00E8358C">
        <w:t>Pour bien comprendre la genèse des entreprises mémorielles de l’esclavage en Haïti, il faut prendre en compte le contexte de la cré</w:t>
      </w:r>
      <w:r w:rsidRPr="00E8358C">
        <w:t>a</w:t>
      </w:r>
      <w:r w:rsidRPr="00E8358C">
        <w:t>tion de l’État haïtien et revisiter le discours historique et mémoriel haïtien, qui est fortement influencé par un discours politique, révol</w:t>
      </w:r>
      <w:r w:rsidRPr="00E8358C">
        <w:t>u</w:t>
      </w:r>
      <w:r w:rsidRPr="00E8358C">
        <w:t>tionnaire. Des historiens comme Beaubrun Ardouin, Thomas Madiou, Louis Joseph</w:t>
      </w:r>
      <w:r>
        <w:t xml:space="preserve"> [109]</w:t>
      </w:r>
      <w:r w:rsidRPr="00E8358C">
        <w:t xml:space="preserve"> Janvier, sont avant tout des hommes politiques, des ambassadeurs, des ministres qui épousent des idéologies polit</w:t>
      </w:r>
      <w:r w:rsidRPr="00E8358C">
        <w:t>i</w:t>
      </w:r>
      <w:r w:rsidRPr="00E8358C">
        <w:t>ques différentes et qui font, en même temps, fonction d’historiens. Durant tout le XIX</w:t>
      </w:r>
      <w:r w:rsidRPr="00E8358C">
        <w:rPr>
          <w:vertAlign w:val="superscript"/>
        </w:rPr>
        <w:t>e</w:t>
      </w:r>
      <w:r w:rsidRPr="00E8358C">
        <w:t xml:space="preserve"> siècle, deux préoccupations prédominaient en Haïti : la question de la légitimité du nouvel Étatet les conflits inte</w:t>
      </w:r>
      <w:r w:rsidRPr="00E8358C">
        <w:t>r</w:t>
      </w:r>
      <w:r w:rsidRPr="00E8358C">
        <w:t xml:space="preserve">nes. </w:t>
      </w:r>
    </w:p>
    <w:p w:rsidR="004C50DC" w:rsidRPr="00E8358C" w:rsidRDefault="004C50DC" w:rsidP="004C50DC">
      <w:pPr>
        <w:spacing w:before="120" w:after="120"/>
        <w:jc w:val="both"/>
      </w:pPr>
      <w:r w:rsidRPr="00E8358C">
        <w:t>Concernant la légitimité du nouvel État, on se posait la question : comment un nouvel État, né d’une rupture avec l’esclavage, peut-il exister ? Dans le premier document littéraire et historique haïtien, « Déclaration de l’indépendance d’Haïti »</w:t>
      </w:r>
      <w:r>
        <w:t> </w:t>
      </w:r>
      <w:r w:rsidRPr="00E8358C">
        <w:rPr>
          <w:rStyle w:val="Appelnotedebasdep"/>
        </w:rPr>
        <w:footnoteReference w:id="351"/>
      </w:r>
      <w:r w:rsidRPr="00E8358C">
        <w:t>, les généraux haïtiens ont réitéré leur désir de conserver l’Indépendance et de la défendre. Ils expriment leur farouche détermination de repousser les oppresseurs français même au fond des mers. Alors, comment le nouvel État peut-il devenir légitime ? Quel a été le rôle des écrivains  du XIX</w:t>
      </w:r>
      <w:r w:rsidRPr="00E8358C">
        <w:rPr>
          <w:vertAlign w:val="superscript"/>
        </w:rPr>
        <w:t>e</w:t>
      </w:r>
      <w:r w:rsidRPr="00E8358C">
        <w:t xml:space="preserve"> siècle dans cette démarche politique ? </w:t>
      </w:r>
    </w:p>
    <w:p w:rsidR="004C50DC" w:rsidRPr="00E8358C" w:rsidRDefault="004C50DC" w:rsidP="004C50DC">
      <w:pPr>
        <w:spacing w:before="120" w:after="120"/>
        <w:jc w:val="both"/>
      </w:pPr>
      <w:r w:rsidRPr="00E8358C">
        <w:t>Dès le départ, les écrivains voulaient construire une littérature hi</w:t>
      </w:r>
      <w:r w:rsidRPr="00E8358C">
        <w:t>s</w:t>
      </w:r>
      <w:r w:rsidRPr="00E8358C">
        <w:t>torique qui pût conférer une légitimité à l’État haïtien, tant à l’intérieur de la nation qu’à l’extérieur, dans une volonté de répondre aux commentaires discriminatoires émis sur la Révolution haïtienne. Par exemple, en 1801, le président américain Thomas Jefferson (1801-1806), avait proposé à l’ambassadeur français aux États-Unis, Louis André Pichon, que les États-Unis et la Grande-Bretagne e</w:t>
      </w:r>
      <w:r w:rsidRPr="00E8358C">
        <w:t>n</w:t>
      </w:r>
      <w:r w:rsidRPr="00E8358C">
        <w:t>voient des renforts à la France pour réprimer l’insurrection de Saint-Domingue et « confiner cette peste dans son île »</w:t>
      </w:r>
      <w:r>
        <w:rPr>
          <w:rStyle w:val="Appelnotedebasdep"/>
        </w:rPr>
        <w:footnoteReference w:id="352"/>
      </w:r>
      <w:r w:rsidRPr="00E8358C">
        <w:t>. Toutefois, la ne</w:t>
      </w:r>
      <w:r w:rsidRPr="00E8358C">
        <w:t>u</w:t>
      </w:r>
      <w:r w:rsidRPr="00E8358C">
        <w:t>tralité des États-Unis durant les deux années décisives (1802-1803) de la Révolution haïtienne fut interprétée par plus d’un comme une aide substantielle aux généraux de l’armée indigène</w:t>
      </w:r>
      <w:r>
        <w:t> </w:t>
      </w:r>
      <w:r>
        <w:rPr>
          <w:rStyle w:val="Appelnotedebasdep"/>
        </w:rPr>
        <w:footnoteReference w:id="353"/>
      </w:r>
      <w:r w:rsidRPr="00E8358C">
        <w:t xml:space="preserve">. Thomas </w:t>
      </w:r>
      <w:r>
        <w:t xml:space="preserve">[110] </w:t>
      </w:r>
      <w:r w:rsidRPr="00E8358C">
        <w:t>Je</w:t>
      </w:r>
      <w:r w:rsidRPr="00E8358C">
        <w:t>f</w:t>
      </w:r>
      <w:r w:rsidRPr="00E8358C">
        <w:t>ferson ne voulait plus aider la France, comme promis, contre Tou</w:t>
      </w:r>
      <w:r w:rsidRPr="00E8358C">
        <w:t>s</w:t>
      </w:r>
      <w:r w:rsidRPr="00E8358C">
        <w:t>saint Louverture, pour contrecarrer les visées de Bonaparte en Amér</w:t>
      </w:r>
      <w:r w:rsidRPr="00E8358C">
        <w:t>i</w:t>
      </w:r>
      <w:r w:rsidRPr="00E8358C">
        <w:t>que</w:t>
      </w:r>
      <w:r>
        <w:t> </w:t>
      </w:r>
      <w:r w:rsidRPr="00E8358C">
        <w:rPr>
          <w:rStyle w:val="Appelnotedebasdep"/>
        </w:rPr>
        <w:footnoteReference w:id="354"/>
      </w:r>
      <w:r w:rsidRPr="00E8358C">
        <w:t>.</w:t>
      </w:r>
    </w:p>
    <w:p w:rsidR="004C50DC" w:rsidRPr="00E8358C" w:rsidRDefault="004C50DC" w:rsidP="004C50DC">
      <w:pPr>
        <w:spacing w:before="120" w:after="120"/>
        <w:jc w:val="both"/>
      </w:pPr>
      <w:r w:rsidRPr="00E8358C">
        <w:t>Pour Thomas Jefferson, il était inconcevable que des esclaves noirs puissent prétendre créer ou bâtir un État, alors que dans le sud des États-Unis l’esclavage des Noirs perdurait. Ce précédent pouvait d</w:t>
      </w:r>
      <w:r w:rsidRPr="00E8358C">
        <w:t>e</w:t>
      </w:r>
      <w:r w:rsidRPr="00E8358C">
        <w:t>venir une pandémie dans les colonies des Amériques et aux États-Unis. Il fallait donc isoler Haïti. Jusqu’en 1810, le commerce de la jeune nation fut frappé par un embargo imposé par le gouvernement de Thomas Jefferson qui avait déclaré : « Tant qu’on ne permet pas aux Noirs de posséder un navire, on peut les laisser vivre et même e</w:t>
      </w:r>
      <w:r w:rsidRPr="00E8358C">
        <w:t>n</w:t>
      </w:r>
      <w:r w:rsidRPr="00E8358C">
        <w:t>tretenir avec eux des contacts commerciaux très lucratifs »</w:t>
      </w:r>
      <w:r>
        <w:t> </w:t>
      </w:r>
      <w:r w:rsidRPr="00E8358C">
        <w:rPr>
          <w:rStyle w:val="Appelnotedebasdep"/>
        </w:rPr>
        <w:footnoteReference w:id="355"/>
      </w:r>
      <w:r w:rsidRPr="00E8358C">
        <w:t>.</w:t>
      </w:r>
    </w:p>
    <w:p w:rsidR="004C50DC" w:rsidRPr="00E8358C" w:rsidRDefault="004C50DC" w:rsidP="004C50DC">
      <w:pPr>
        <w:spacing w:before="120" w:after="120"/>
        <w:jc w:val="both"/>
        <w:rPr>
          <w:szCs w:val="30"/>
        </w:rPr>
      </w:pPr>
      <w:r w:rsidRPr="00E8358C">
        <w:t>Le président Thomas Jefferson voulait asphyxier Haïti, mais il comptait garder avec l’île des relations commerciales de manière so</w:t>
      </w:r>
      <w:r w:rsidRPr="00E8358C">
        <w:t>u</w:t>
      </w:r>
      <w:r w:rsidRPr="00E8358C">
        <w:t>terraine pour pouvoir en tirer le maximum de profits et appauvrir le nouvel État. L’Indépendance d’Haïti a été reconnue par les États-Unis jusqu’en 1862, sous le gouvernement d’Abraham Lincoln. En Europe, en revanche, Haïti n’était pas si bien vue. Laënnec Hurbon rapporte que « sur une Haïti trop tôt indépendante, il faudra que circulent à tr</w:t>
      </w:r>
      <w:r w:rsidRPr="00E8358C">
        <w:t>a</w:t>
      </w:r>
      <w:r w:rsidRPr="00E8358C">
        <w:t xml:space="preserve">vers toute l’Europe des rumeurs de cannibalisme, de sauvagerie, de despotisme inhérents à une population de </w:t>
      </w:r>
      <w:r w:rsidRPr="00E8358C">
        <w:rPr>
          <w:i/>
        </w:rPr>
        <w:t>race noire</w:t>
      </w:r>
      <w:r w:rsidRPr="00E8358C">
        <w:t xml:space="preserve"> coupée du monde </w:t>
      </w:r>
      <w:r w:rsidRPr="00E8358C">
        <w:rPr>
          <w:i/>
        </w:rPr>
        <w:t>blanc </w:t>
      </w:r>
      <w:r w:rsidRPr="00E8358C">
        <w:t>»</w:t>
      </w:r>
      <w:r>
        <w:t> </w:t>
      </w:r>
      <w:r w:rsidRPr="00E8358C">
        <w:rPr>
          <w:rStyle w:val="Appelnotedebasdep"/>
        </w:rPr>
        <w:footnoteReference w:id="356"/>
      </w:r>
      <w:r w:rsidRPr="00E8358C">
        <w:t xml:space="preserve">. </w:t>
      </w:r>
      <w:r w:rsidRPr="00E8358C">
        <w:rPr>
          <w:szCs w:val="30"/>
        </w:rPr>
        <w:t>Les autorités françaises étaient des plus critiques envers le nouvel État. On peut le comprendre, car Haïti était vue comme une colonie rebelle qui défiait l’ordre colonial établi. Talleyrand exprimait clairement l’attitude à adopter à son égard :</w:t>
      </w:r>
    </w:p>
    <w:p w:rsidR="004C50DC" w:rsidRDefault="004C50DC" w:rsidP="004C50DC">
      <w:pPr>
        <w:pStyle w:val="Citation0"/>
      </w:pPr>
    </w:p>
    <w:p w:rsidR="004C50DC" w:rsidRDefault="004C50DC" w:rsidP="004C50DC">
      <w:pPr>
        <w:pStyle w:val="Citation0"/>
      </w:pPr>
      <w:r w:rsidRPr="00E8358C">
        <w:t>Il est devenu nécessaire de renouveler les représentations déjà adressées au gouvernement fédéral et d’insister de nouveau auprès de lui pour qu’il adopte enfin des mesures sévères et propres à prévenir de semblables communications entre une nation policée et des pe</w:t>
      </w:r>
      <w:r w:rsidRPr="00E8358C">
        <w:t>u</w:t>
      </w:r>
      <w:r w:rsidRPr="00E8358C">
        <w:t>plades sauvages qui, par leurs mœurs féroces et leurs usages barbares, sont devenues étrangères au système de la civilisation…L’existence d’une peuplade nègre armée et occupant les lieux qu’elle a souillés par les actes les plus criminels est un spectacle horrible pour toutes les nations blanches…</w:t>
      </w:r>
      <w:r>
        <w:t> </w:t>
      </w:r>
      <w:r w:rsidRPr="00E8358C">
        <w:rPr>
          <w:rStyle w:val="Appelnotedebasdep"/>
          <w:szCs w:val="22"/>
        </w:rPr>
        <w:footnoteReference w:id="357"/>
      </w:r>
    </w:p>
    <w:p w:rsidR="004C50DC" w:rsidRPr="00E8358C" w:rsidRDefault="004C50DC" w:rsidP="004C50DC">
      <w:pPr>
        <w:pStyle w:val="Citation0"/>
      </w:pPr>
    </w:p>
    <w:p w:rsidR="004C50DC" w:rsidRPr="00E8358C" w:rsidRDefault="004C50DC" w:rsidP="004C50DC">
      <w:pPr>
        <w:spacing w:before="120" w:after="120"/>
        <w:jc w:val="both"/>
        <w:rPr>
          <w:szCs w:val="30"/>
        </w:rPr>
      </w:pPr>
      <w:r w:rsidRPr="00E8358C">
        <w:rPr>
          <w:szCs w:val="30"/>
        </w:rPr>
        <w:t>Talleyrand réagissait au massacre des Français ordonné par Jean-Jacques Dessalines en</w:t>
      </w:r>
      <w:r>
        <w:rPr>
          <w:szCs w:val="30"/>
        </w:rPr>
        <w:t xml:space="preserve"> [111]</w:t>
      </w:r>
      <w:r w:rsidRPr="00E8358C">
        <w:rPr>
          <w:szCs w:val="30"/>
        </w:rPr>
        <w:t xml:space="preserve"> 1805. Il ne voulait pas entendre que des Noirs puissent massacrer des Blancs, porteurs du système de la civil</w:t>
      </w:r>
      <w:r w:rsidRPr="00E8358C">
        <w:rPr>
          <w:szCs w:val="30"/>
        </w:rPr>
        <w:t>i</w:t>
      </w:r>
      <w:r w:rsidRPr="00E8358C">
        <w:rPr>
          <w:szCs w:val="30"/>
        </w:rPr>
        <w:t>sation. Il fallait par tout moyen corriger cet affront et éloigner les ba</w:t>
      </w:r>
      <w:r w:rsidRPr="00E8358C">
        <w:rPr>
          <w:szCs w:val="30"/>
        </w:rPr>
        <w:t>r</w:t>
      </w:r>
      <w:r w:rsidRPr="00E8358C">
        <w:rPr>
          <w:szCs w:val="30"/>
        </w:rPr>
        <w:t>bares effrontés. Il faut souligner que c’est « en représailles contre les massacres organisés par le général Rochambeau »</w:t>
      </w:r>
      <w:r>
        <w:rPr>
          <w:szCs w:val="30"/>
        </w:rPr>
        <w:t> </w:t>
      </w:r>
      <w:r w:rsidRPr="00E8358C">
        <w:rPr>
          <w:rStyle w:val="Appelnotedebasdep"/>
          <w:szCs w:val="30"/>
        </w:rPr>
        <w:footnoteReference w:id="358"/>
      </w:r>
      <w:r w:rsidRPr="00E8358C">
        <w:rPr>
          <w:szCs w:val="30"/>
        </w:rPr>
        <w:t xml:space="preserve"> que Dessalines avait pris cette décision en plein contexte postrévolutionnaire. </w:t>
      </w:r>
    </w:p>
    <w:p w:rsidR="004C50DC" w:rsidRPr="00E8358C" w:rsidRDefault="004C50DC" w:rsidP="004C50DC">
      <w:pPr>
        <w:spacing w:before="120" w:after="120"/>
        <w:jc w:val="both"/>
      </w:pPr>
      <w:r w:rsidRPr="00E8358C">
        <w:t>C’est dans ce contexte de défense de la Révolution haïtienne qu’est née la littérature historique haïtienne. La jeune élite intellectuelle ha</w:t>
      </w:r>
      <w:r w:rsidRPr="00E8358C">
        <w:t>ï</w:t>
      </w:r>
      <w:r w:rsidRPr="00E8358C">
        <w:t>tienne était déterminée à légitimer l’Indépendance nationale, sous l’influence du discours nationaliste de Boisrond Tonnerre, durant to</w:t>
      </w:r>
      <w:r w:rsidRPr="00E8358C">
        <w:t>u</w:t>
      </w:r>
      <w:r w:rsidRPr="00E8358C">
        <w:t>te la première moitié du XIX</w:t>
      </w:r>
      <w:r w:rsidRPr="00E8358C">
        <w:rPr>
          <w:vertAlign w:val="superscript"/>
        </w:rPr>
        <w:t>e</w:t>
      </w:r>
      <w:r w:rsidRPr="00E8358C">
        <w:t xml:space="preserve"> siècle. Les écrivains continuaient à al</w:t>
      </w:r>
      <w:r w:rsidRPr="00E8358C">
        <w:t>i</w:t>
      </w:r>
      <w:r w:rsidRPr="00E8358C">
        <w:t xml:space="preserve">menter les cris de la révolte. Ils invitaient les Haïtiens à se montrer dignes d’eux-mêmes. </w:t>
      </w:r>
      <w:r w:rsidRPr="00E8358C">
        <w:rPr>
          <w:i/>
        </w:rPr>
        <w:t>Le cri de la nature</w:t>
      </w:r>
      <w:r w:rsidRPr="00E8358C">
        <w:t>, de Juste Chanlatte (1810)</w:t>
      </w:r>
      <w:r>
        <w:t> </w:t>
      </w:r>
      <w:r>
        <w:rPr>
          <w:rStyle w:val="Appelnotedebasdep"/>
        </w:rPr>
        <w:footnoteReference w:id="359"/>
      </w:r>
      <w:r w:rsidRPr="00E8358C">
        <w:t>, s’inspire de la révolte des ancêtres et de leur résolution de défendre leur liberté menacée par les troupes expéditionnaires du général L</w:t>
      </w:r>
      <w:r w:rsidRPr="00E8358C">
        <w:t>e</w:t>
      </w:r>
      <w:r w:rsidRPr="00E8358C">
        <w:t>clerc</w:t>
      </w:r>
      <w:r>
        <w:t> </w:t>
      </w:r>
      <w:r w:rsidRPr="00E8358C">
        <w:rPr>
          <w:rStyle w:val="Appelnotedebasdep"/>
        </w:rPr>
        <w:footnoteReference w:id="360"/>
      </w:r>
      <w:r w:rsidRPr="00E8358C">
        <w:t xml:space="preserve">. </w:t>
      </w:r>
    </w:p>
    <w:p w:rsidR="004C50DC" w:rsidRDefault="004C50DC" w:rsidP="004C50DC">
      <w:pPr>
        <w:spacing w:before="120" w:after="120"/>
        <w:jc w:val="both"/>
      </w:pPr>
      <w:r w:rsidRPr="00E8358C">
        <w:t>L’École haïtienne d’histoire</w:t>
      </w:r>
      <w:r>
        <w:t> </w:t>
      </w:r>
      <w:r w:rsidRPr="00E8358C">
        <w:rPr>
          <w:rStyle w:val="Appelnotedebasdep"/>
        </w:rPr>
        <w:footnoteReference w:id="361"/>
      </w:r>
      <w:r w:rsidRPr="00E8358C">
        <w:t xml:space="preserve"> du XIX</w:t>
      </w:r>
      <w:r w:rsidRPr="00E8358C">
        <w:rPr>
          <w:vertAlign w:val="superscript"/>
        </w:rPr>
        <w:t>e</w:t>
      </w:r>
      <w:r w:rsidRPr="00E8358C">
        <w:t xml:space="preserve"> siècle était née dans l’idée de promouvoir la marche continue de la jeune Nation dans la voie de la civilisation.  L’esclavage n’est guère étudié dans les travaux des historiens haïtiens du XIX</w:t>
      </w:r>
      <w:r w:rsidRPr="00E8358C">
        <w:rPr>
          <w:vertAlign w:val="superscript"/>
        </w:rPr>
        <w:t>e</w:t>
      </w:r>
      <w:r w:rsidRPr="00E8358C">
        <w:t xml:space="preserve"> siècle par « crainte de provoquer la rép</w:t>
      </w:r>
      <w:r w:rsidRPr="00E8358C">
        <w:t>u</w:t>
      </w:r>
      <w:r w:rsidRPr="00E8358C">
        <w:t>gnance des élites occidentales ou par mépris de ces éléments qui ra</w:t>
      </w:r>
      <w:r w:rsidRPr="00E8358C">
        <w:t>p</w:t>
      </w:r>
      <w:r w:rsidRPr="00E8358C">
        <w:t>pelaient trop les héritages africains »</w:t>
      </w:r>
      <w:r>
        <w:t> </w:t>
      </w:r>
      <w:r w:rsidRPr="00E8358C">
        <w:rPr>
          <w:rStyle w:val="Appelnotedebasdep"/>
        </w:rPr>
        <w:footnoteReference w:id="362"/>
      </w:r>
      <w:r w:rsidRPr="00E8358C">
        <w:t>. Catts Pressoir souligne que l’œuvre de Thomas Madiou débute de manière plus sérieuse et plus méthodique à partir de 1789</w:t>
      </w:r>
      <w:r>
        <w:t> </w:t>
      </w:r>
      <w:r w:rsidRPr="00E8358C">
        <w:rPr>
          <w:rStyle w:val="Appelnotedebasdep"/>
        </w:rPr>
        <w:footnoteReference w:id="363"/>
      </w:r>
      <w:r w:rsidRPr="00E8358C">
        <w:t>, car pour cet historien, cette date ma</w:t>
      </w:r>
      <w:r w:rsidRPr="00E8358C">
        <w:t>r</w:t>
      </w:r>
      <w:r w:rsidRPr="00E8358C">
        <w:t>que le début des grands bouleversements qui vont culminer à la libér</w:t>
      </w:r>
      <w:r w:rsidRPr="00E8358C">
        <w:t>a</w:t>
      </w:r>
      <w:r w:rsidRPr="00E8358C">
        <w:t xml:space="preserve">tion définitive en 1803. </w:t>
      </w:r>
    </w:p>
    <w:p w:rsidR="004C50DC" w:rsidRPr="00E8358C" w:rsidRDefault="004C50DC" w:rsidP="004C50DC">
      <w:pPr>
        <w:spacing w:before="120" w:after="120"/>
        <w:jc w:val="both"/>
      </w:pPr>
      <w:r>
        <w:t>[112]</w:t>
      </w:r>
    </w:p>
    <w:p w:rsidR="004C50DC" w:rsidRPr="00E8358C" w:rsidRDefault="004C50DC" w:rsidP="004C50DC">
      <w:pPr>
        <w:spacing w:before="120" w:after="120"/>
        <w:jc w:val="both"/>
      </w:pPr>
      <w:r w:rsidRPr="00E8358C">
        <w:t>La conjoncture « post-indépendantiste » marquée par le « nationalisme héroïque »</w:t>
      </w:r>
      <w:r>
        <w:t> </w:t>
      </w:r>
      <w:r w:rsidRPr="00E8358C">
        <w:rPr>
          <w:rStyle w:val="Appelnotedebasdep"/>
        </w:rPr>
        <w:footnoteReference w:id="364"/>
      </w:r>
      <w:r w:rsidRPr="00E8358C">
        <w:t>, et surtout la conjoncture internationale ne favorisaient pas non plus la patrimonialisation des mémoires de l’esclavage et de l’héritage africain. Les historiens du XIX</w:t>
      </w:r>
      <w:r w:rsidRPr="00E8358C">
        <w:rPr>
          <w:vertAlign w:val="superscript"/>
        </w:rPr>
        <w:t>e</w:t>
      </w:r>
      <w:r w:rsidRPr="00E8358C">
        <w:t xml:space="preserve"> siècle voulaient tout au moins patrimonialiser la mémoire héroïque qui fa</w:t>
      </w:r>
      <w:r w:rsidRPr="00E8358C">
        <w:t>i</w:t>
      </w:r>
      <w:r w:rsidRPr="00E8358C">
        <w:t>sait la fierté du peuple haïtien et rejeter tout ce qui rappelait les do</w:t>
      </w:r>
      <w:r w:rsidRPr="00E8358C">
        <w:t>u</w:t>
      </w:r>
      <w:r w:rsidRPr="00E8358C">
        <w:t>leurs de l’esclavage. Ils voulaient perpétuer par l’écriture ce qu’avaient fait les pères fondateurs du nouvel État pour donner une base à ce nouveau pays. Selon Philippe Thoby-Marcelin, « on assurait (l’héritage africain), de l’autre côté de la ligne de démarcation raciale, parce qu’il était grossier et déshonorant »</w:t>
      </w:r>
      <w:r>
        <w:t> </w:t>
      </w:r>
      <w:r w:rsidRPr="00E8358C">
        <w:rPr>
          <w:rStyle w:val="Appelnotedebasdep"/>
        </w:rPr>
        <w:footnoteReference w:id="365"/>
      </w:r>
      <w:r w:rsidRPr="00E8358C">
        <w:t>. Dans un tel contexte, il paraissait honteux, comme chez les Martiniquais et les Guadelo</w:t>
      </w:r>
      <w:r w:rsidRPr="00E8358C">
        <w:t>u</w:t>
      </w:r>
      <w:r w:rsidRPr="00E8358C">
        <w:t>péens, d’avoir été esclaves ou bien d’avoir eu des ascendants en e</w:t>
      </w:r>
      <w:r w:rsidRPr="00E8358C">
        <w:t>s</w:t>
      </w:r>
      <w:r w:rsidRPr="00E8358C">
        <w:t>clavage. Presque toute l’historiographie haïtienne du XIX</w:t>
      </w:r>
      <w:r w:rsidRPr="00E8358C">
        <w:rPr>
          <w:vertAlign w:val="superscript"/>
        </w:rPr>
        <w:t>e</w:t>
      </w:r>
      <w:r w:rsidRPr="00E8358C">
        <w:t xml:space="preserve"> siècle est ainsi conçue. </w:t>
      </w:r>
    </w:p>
    <w:p w:rsidR="004C50DC" w:rsidRPr="00E8358C" w:rsidRDefault="004C50DC" w:rsidP="004C50DC">
      <w:pPr>
        <w:spacing w:before="120" w:after="120"/>
        <w:jc w:val="both"/>
      </w:pPr>
      <w:r w:rsidRPr="00E8358C">
        <w:t>Dans les premiers moments, les écrivains de la première école hi</w:t>
      </w:r>
      <w:r w:rsidRPr="00E8358C">
        <w:t>s</w:t>
      </w:r>
      <w:r w:rsidRPr="00E8358C">
        <w:t>torique d’Haïti ont beaucoup recouru aux témoins directs des luttes, des événements, de la guerre de l’Indépendance et de la vie sociale et politique de la période coloniale… pour compenser l’absence de ce</w:t>
      </w:r>
      <w:r w:rsidRPr="00E8358C">
        <w:t>r</w:t>
      </w:r>
      <w:r w:rsidRPr="00E8358C">
        <w:t>taines archives. L’histoire orale constituait donc l’une des sources principales de l’écriture de l’histoire d’Haïti. Des historiens comme Beaubrun Ardouin et Thomas Madiou étaient ambassadeurs d’Haïti en France et en Espagne ; ils occupaient des postes politiques qui leur donnaient accès, en Haïti et hors du pays, aux archives qu’ils explo</w:t>
      </w:r>
      <w:r w:rsidRPr="00E8358C">
        <w:t>i</w:t>
      </w:r>
      <w:r w:rsidRPr="00E8358C">
        <w:t>taient au maximum pour construire et compléter le fonds de cette litt</w:t>
      </w:r>
      <w:r w:rsidRPr="00E8358C">
        <w:t>é</w:t>
      </w:r>
      <w:r w:rsidRPr="00E8358C">
        <w:t>rature historique.</w:t>
      </w:r>
    </w:p>
    <w:p w:rsidR="004C50DC" w:rsidRPr="00E8358C" w:rsidRDefault="004C50DC" w:rsidP="004C50DC">
      <w:pPr>
        <w:spacing w:before="120" w:after="120"/>
        <w:jc w:val="both"/>
      </w:pPr>
      <w:r w:rsidRPr="00E8358C">
        <w:t>Une autre littérature historique s’est développée également avec l’assassinat de Jean-Jacques Dessalines, père de la nation haïtienne, le 17 octobre 1806. Haïti va se diviser en « Royaume du nord », dirigé par Henri Christophe, et en « République du Sud » gouvernée par Alexandre Pétion. Dès le départ, un conflit se déclarait entre les no</w:t>
      </w:r>
      <w:r w:rsidRPr="00E8358C">
        <w:t>u</w:t>
      </w:r>
      <w:r w:rsidRPr="00E8358C">
        <w:t xml:space="preserve">velles élites. Certes, l’élite blanche avait disparu, mais elle avait été remplacée par une élite créole, </w:t>
      </w:r>
      <w:r>
        <w:t xml:space="preserve">[113] </w:t>
      </w:r>
      <w:r w:rsidRPr="00E8358C">
        <w:t>métisse. Les tensions éclataient entre les dirigeants noirs et les mulâtres qui réclamaient une certaine propriété légitime sur les terres jadis occupées par les colons français. Cette situation, qui prenait l’aspect d’une lutte de couleur, faisait a</w:t>
      </w:r>
      <w:r w:rsidRPr="00E8358C">
        <w:t>p</w:t>
      </w:r>
      <w:r w:rsidRPr="00E8358C">
        <w:t>paraître aussi les querelles entre les anciens affranchis noirs, les mul</w:t>
      </w:r>
      <w:r w:rsidRPr="00E8358C">
        <w:t>â</w:t>
      </w:r>
      <w:r w:rsidRPr="00E8358C">
        <w:t xml:space="preserve">tres et les anciens esclaves noirs. Ces derniers étaient considérés comme des Africains venus dans la colonie de Saint-Domingue pour nourrir le système esclavagiste, et pour la plupart, ils constituaient la classe paysanne. Devant le comportement accapareur de la nouvelle élite métisse, Jean Jacques Dessalines disait : « Les Noirs, dont les pères sont en Afrique, n’auront-ils rien? » Les mulâtres voulaient conserver leurs richesses qui leur assuraient une position dominante. Une domination surtout inscrite dans la problématique raciale. </w:t>
      </w:r>
    </w:p>
    <w:p w:rsidR="004C50DC" w:rsidRPr="00E8358C" w:rsidRDefault="004C50DC" w:rsidP="004C50DC">
      <w:pPr>
        <w:spacing w:before="120" w:after="120"/>
        <w:jc w:val="both"/>
      </w:pPr>
      <w:r w:rsidRPr="00E8358C">
        <w:t>Des intellectuels mulâtres, comme Beaubrun Ardouin, allaient plus loin, affirmant que « la démocratie ne se réalisera en Haïti qu’avec les mulâtres »</w:t>
      </w:r>
      <w:r>
        <w:t> </w:t>
      </w:r>
      <w:r w:rsidRPr="00E8358C">
        <w:rPr>
          <w:rStyle w:val="Appelnotedebasdep"/>
        </w:rPr>
        <w:footnoteReference w:id="366"/>
      </w:r>
      <w:r w:rsidRPr="00E8358C">
        <w:t>. En effet, Beaubrun ne faisait que reprendre « les idées dominantes pendant tout le premier demi-siècle de l’Indépendance, dans les cercles de mulâtres, mais aussi à travers tous les pays occ</w:t>
      </w:r>
      <w:r w:rsidRPr="00E8358C">
        <w:t>i</w:t>
      </w:r>
      <w:r w:rsidRPr="00E8358C">
        <w:t>dentaux »</w:t>
      </w:r>
      <w:r>
        <w:t> </w:t>
      </w:r>
      <w:r w:rsidRPr="00E8358C">
        <w:rPr>
          <w:rStyle w:val="Appelnotedebasdep"/>
        </w:rPr>
        <w:footnoteReference w:id="367"/>
      </w:r>
      <w:r w:rsidRPr="00E8358C">
        <w:t>. Une question de citoyenneté légitime se posait au lend</w:t>
      </w:r>
      <w:r w:rsidRPr="00E8358C">
        <w:t>e</w:t>
      </w:r>
      <w:r w:rsidRPr="00E8358C">
        <w:t>main de l’Indépendance.</w:t>
      </w:r>
    </w:p>
    <w:p w:rsidR="004C50DC" w:rsidRPr="00E8358C" w:rsidRDefault="004C50DC" w:rsidP="004C50DC">
      <w:pPr>
        <w:spacing w:before="120" w:after="120"/>
        <w:jc w:val="both"/>
      </w:pPr>
      <w:r w:rsidRPr="00E8358C">
        <w:t>Il faut souligner aussi l’émergence d’une élite politique et intelle</w:t>
      </w:r>
      <w:r w:rsidRPr="00E8358C">
        <w:t>c</w:t>
      </w:r>
      <w:r w:rsidRPr="00E8358C">
        <w:t>tuelle noire avec des figures telles que Louis Joseph Janvier et Ant</w:t>
      </w:r>
      <w:r w:rsidRPr="00E8358C">
        <w:t>é</w:t>
      </w:r>
      <w:r w:rsidRPr="00E8358C">
        <w:t>nor Firmin, qui viennent questionner l’élite mulâtre. Louis Joseph Janvier dénonçait les postures sociales des mulâtres et les postures intellectuelles des Noirs qui soutenaient cette élite métisse : « Les pl</w:t>
      </w:r>
      <w:r w:rsidRPr="00E8358C">
        <w:t>a</w:t>
      </w:r>
      <w:r w:rsidRPr="00E8358C">
        <w:t>titudes des mulâtres qui cherchaient à passer pour blancs, sont i</w:t>
      </w:r>
      <w:r w:rsidRPr="00E8358C">
        <w:t>n</w:t>
      </w:r>
      <w:r w:rsidRPr="00E8358C">
        <w:t>croyables ; les bassesses des noirs qui flattaient les hommes de co</w:t>
      </w:r>
      <w:r w:rsidRPr="00E8358C">
        <w:t>u</w:t>
      </w:r>
      <w:r w:rsidRPr="00E8358C">
        <w:t>leur pour vivre en leur compagnie sont inénarrables »</w:t>
      </w:r>
      <w:r>
        <w:t> </w:t>
      </w:r>
      <w:r>
        <w:rPr>
          <w:rStyle w:val="Appelnotedebasdep"/>
        </w:rPr>
        <w:footnoteReference w:id="368"/>
      </w:r>
      <w:r w:rsidRPr="00E8358C">
        <w:t>. Car « la cult</w:t>
      </w:r>
      <w:r w:rsidRPr="00E8358C">
        <w:t>u</w:t>
      </w:r>
      <w:r w:rsidRPr="00E8358C">
        <w:t>re cérébrale seule et non la couleur fait l’homme »</w:t>
      </w:r>
      <w:r>
        <w:t> </w:t>
      </w:r>
      <w:r w:rsidRPr="00E8358C">
        <w:rPr>
          <w:rStyle w:val="Appelnotedebasdep"/>
        </w:rPr>
        <w:footnoteReference w:id="369"/>
      </w:r>
      <w:r w:rsidRPr="00E8358C">
        <w:t xml:space="preserve">. </w:t>
      </w:r>
    </w:p>
    <w:p w:rsidR="004C50DC" w:rsidRPr="00E8358C" w:rsidRDefault="004C50DC" w:rsidP="004C50DC">
      <w:pPr>
        <w:spacing w:before="120" w:after="120"/>
        <w:jc w:val="both"/>
      </w:pPr>
      <w:r w:rsidRPr="00E8358C">
        <w:t>Avec Anténor Firmin (1885), Louis Joseph Janvier (1884) et Ha</w:t>
      </w:r>
      <w:r w:rsidRPr="00E8358C">
        <w:t>n</w:t>
      </w:r>
      <w:r w:rsidRPr="00E8358C">
        <w:t>nibal Price (1891), il</w:t>
      </w:r>
      <w:r>
        <w:t xml:space="preserve"> [114]</w:t>
      </w:r>
      <w:r w:rsidRPr="00E8358C">
        <w:t xml:space="preserve"> s’agit plutôt du combat contre « le racisme blanc »</w:t>
      </w:r>
      <w:r>
        <w:t> </w:t>
      </w:r>
      <w:r>
        <w:rPr>
          <w:rStyle w:val="Appelnotedebasdep"/>
        </w:rPr>
        <w:footnoteReference w:id="370"/>
      </w:r>
      <w:r w:rsidRPr="00E8358C">
        <w:t>. Ils étaient conscients, comme l’a soutenu Michel Foucault, qu’en « se mettant à l’abri du combat antiraciste, l’anthropologie s’intéressait moins à l’homme comme tel qu’aux différentes positiv</w:t>
      </w:r>
      <w:r w:rsidRPr="00E8358C">
        <w:t>i</w:t>
      </w:r>
      <w:r w:rsidRPr="00E8358C">
        <w:t>tés que représentent le travail, la vie, le langage »</w:t>
      </w:r>
      <w:r>
        <w:t> </w:t>
      </w:r>
      <w:r>
        <w:rPr>
          <w:rStyle w:val="Appelnotedebasdep"/>
        </w:rPr>
        <w:footnoteReference w:id="371"/>
      </w:r>
      <w:r w:rsidRPr="00E8358C">
        <w:t>. Ils s’en prenaient donc aux détracteurs d’Haïti. Cependant, Hénock Trouillot souligne qu’Hannibal Price et Anténor Firmin « ont essayé de s’écarter de ce</w:t>
      </w:r>
      <w:r w:rsidRPr="00E8358C">
        <w:t>r</w:t>
      </w:r>
      <w:r w:rsidRPr="00E8358C">
        <w:t>taines réalités de notre milieu socioculturel »</w:t>
      </w:r>
      <w:r w:rsidRPr="00E8358C">
        <w:rPr>
          <w:rStyle w:val="Appelnotedebasdep"/>
        </w:rPr>
        <w:footnoteReference w:id="372"/>
      </w:r>
      <w:r w:rsidRPr="00E8358C">
        <w:t>. Selon Hénock Troui</w:t>
      </w:r>
      <w:r w:rsidRPr="00E8358C">
        <w:t>l</w:t>
      </w:r>
      <w:r w:rsidRPr="00E8358C">
        <w:t>lot, Anténor Firmin « chercha même à nier l’existence du vodou en Haïti »</w:t>
      </w:r>
      <w:r w:rsidRPr="00E8358C">
        <w:rPr>
          <w:rStyle w:val="Appelnotedebasdep"/>
        </w:rPr>
        <w:footnoteReference w:id="373"/>
      </w:r>
      <w:r w:rsidRPr="00E8358C">
        <w:t>. Il s’est inscrit dans la lignée des historiens qui, à l’exemple de « Thomas Madiou, Beaubrun Ardouin, Saint Rémy des Cayes, Edmond Paul et Boyer Bazelais, voulaient que le peuple haïtien re</w:t>
      </w:r>
      <w:r w:rsidRPr="00E8358C">
        <w:t>s</w:t>
      </w:r>
      <w:r w:rsidRPr="00E8358C">
        <w:t>semblât au peuple français et adoptât ses coutumes et ses mœurs, au risque de ne pas être considéré comme un peuple civilisé »</w:t>
      </w:r>
      <w:r>
        <w:t> </w:t>
      </w:r>
      <w:r>
        <w:rPr>
          <w:rStyle w:val="Appelnotedebasdep"/>
        </w:rPr>
        <w:footnoteReference w:id="374"/>
      </w:r>
      <w:r w:rsidRPr="00E8358C">
        <w:t>.</w:t>
      </w:r>
    </w:p>
    <w:p w:rsidR="004C50DC" w:rsidRPr="00E8358C" w:rsidRDefault="004C50DC" w:rsidP="004C50DC">
      <w:pPr>
        <w:spacing w:before="120" w:after="120"/>
        <w:jc w:val="both"/>
      </w:pPr>
      <w:r w:rsidRPr="00E8358C">
        <w:t>Pour Louis Joseph Janvier, « la défense de la race noire en Haïti doit-elle consister à montrer que le Noir haïtien s’éloigne de plus en plus des signifiants de la barbarie que sont le vodou, la langue créole, ces tares héritées de l’Amérique ? »</w:t>
      </w:r>
      <w:r>
        <w:t> </w:t>
      </w:r>
      <w:r w:rsidRPr="00E8358C">
        <w:rPr>
          <w:rStyle w:val="Appelnotedebasdep"/>
        </w:rPr>
        <w:footnoteReference w:id="375"/>
      </w:r>
      <w:r w:rsidRPr="00E8358C">
        <w:t>. Hannibal Price soutient que « la danse du tambour en général est morte en Haïti. Elle est morte, tuée par le développement du goût de la toilette chez les femmes… [elle] n’est plus qu’une forme de la mendicité pour des gens de la de</w:t>
      </w:r>
      <w:r w:rsidRPr="00E8358C">
        <w:t>r</w:t>
      </w:r>
      <w:r w:rsidRPr="00E8358C">
        <w:t>nière dégradation morale appartenant… au dernier dessous de la popul</w:t>
      </w:r>
      <w:r w:rsidRPr="00E8358C">
        <w:t>a</w:t>
      </w:r>
      <w:r w:rsidRPr="00E8358C">
        <w:t>tion »</w:t>
      </w:r>
      <w:r>
        <w:t> </w:t>
      </w:r>
      <w:r w:rsidRPr="00E8358C">
        <w:rPr>
          <w:rStyle w:val="Appelnotedebasdep"/>
        </w:rPr>
        <w:footnoteReference w:id="376"/>
      </w:r>
      <w:r w:rsidRPr="00E8358C">
        <w:t>. Louis Joseph Janvier et Hannibal Price, en reniant les prat</w:t>
      </w:r>
      <w:r w:rsidRPr="00E8358C">
        <w:t>i</w:t>
      </w:r>
      <w:r w:rsidRPr="00E8358C">
        <w:t>ques culturelles qui les rapprochent de la population, cherchaient en réalité à se distinguer de la masse populaire et à affirmer leur appart</w:t>
      </w:r>
      <w:r w:rsidRPr="00E8358C">
        <w:t>e</w:t>
      </w:r>
      <w:r w:rsidRPr="00E8358C">
        <w:t>nance à cette élite cultivée, modelée par la culture européenne. Ils ne voulaient pas se joindre à cette masse populaire</w:t>
      </w:r>
      <w:r>
        <w:t xml:space="preserve"> [115]</w:t>
      </w:r>
      <w:r w:rsidRPr="00E8358C">
        <w:t xml:space="preserve"> illettrée qui ne faisait que perpétuer les pratiques du vodou et qui ne parlait que le créole, une langue que la civilisation européenne ignorait. Ils vo</w:t>
      </w:r>
      <w:r w:rsidRPr="00E8358C">
        <w:t>u</w:t>
      </w:r>
      <w:r w:rsidRPr="00E8358C">
        <w:t>laient donc se démarquer de tout ce qui était « populaire »</w:t>
      </w:r>
      <w:r>
        <w:t> </w:t>
      </w:r>
      <w:r w:rsidRPr="00E8358C">
        <w:rPr>
          <w:rStyle w:val="Appelnotedebasdep"/>
        </w:rPr>
        <w:footnoteReference w:id="377"/>
      </w:r>
      <w:r w:rsidRPr="00E8358C">
        <w:t xml:space="preserve"> ou d’origine africaine. La littérature historique d’Haïti est née également dans cette atmosphère de division politique, de lutte de couleur et de défense de la race noire durant tout le XIX</w:t>
      </w:r>
      <w:r w:rsidRPr="00E8358C">
        <w:rPr>
          <w:vertAlign w:val="superscript"/>
        </w:rPr>
        <w:t>e</w:t>
      </w:r>
      <w:r w:rsidRPr="00E8358C">
        <w:t xml:space="preserve"> siècle.</w:t>
      </w:r>
    </w:p>
    <w:p w:rsidR="004C50DC" w:rsidRPr="00E8358C" w:rsidRDefault="004C50DC" w:rsidP="004C50DC">
      <w:pPr>
        <w:spacing w:before="120" w:after="120"/>
        <w:jc w:val="both"/>
      </w:pPr>
      <w:r w:rsidRPr="00E8358C">
        <w:t xml:space="preserve">L’occupation américaine est également un élément déterminant dans la construction de la littérature historique d’Haïti. Elle a favorisé l’émergence d’un discours « noiriste » en dehors des travaux de Louis Joseph Janvier et d’Anténor Firmin réalisés bien avant. Cette attitude est aussi motivée par la déclaration de Franklin Delano Roosevelt, alors président des États-Unis (4 mars 1933-12 avril 1945) : </w:t>
      </w:r>
    </w:p>
    <w:p w:rsidR="004C50DC" w:rsidRDefault="004C50DC" w:rsidP="004C50DC">
      <w:pPr>
        <w:pStyle w:val="Citation0"/>
      </w:pPr>
    </w:p>
    <w:p w:rsidR="004C50DC" w:rsidRDefault="004C50DC" w:rsidP="004C50DC">
      <w:pPr>
        <w:pStyle w:val="Citation0"/>
      </w:pPr>
    </w:p>
    <w:p w:rsidR="004C50DC" w:rsidRDefault="004C50DC" w:rsidP="004C50DC">
      <w:pPr>
        <w:pStyle w:val="Citation0"/>
      </w:pPr>
      <w:r w:rsidRPr="00E8358C">
        <w:t>Il faut constamment soulever les va-nu-pieds contre les gens à chaussures et mettre les gens à chaussures en état de s’entredéchirer les uns les autres, c’est la seule façon pour nous d’avoir une prédom</w:t>
      </w:r>
      <w:r w:rsidRPr="00E8358C">
        <w:t>i</w:t>
      </w:r>
      <w:r w:rsidRPr="00E8358C">
        <w:t>nance continue sur ce pays de Nègres qui a conquis son indépendance par les armes. Ce qui est un mauvais exemple pour les 28 millions de Noirs d’Amérique</w:t>
      </w:r>
      <w:r>
        <w:t> </w:t>
      </w:r>
      <w:r>
        <w:rPr>
          <w:rStyle w:val="Appelnotedebasdep"/>
        </w:rPr>
        <w:footnoteReference w:id="378"/>
      </w:r>
      <w:r>
        <w:t>.</w:t>
      </w:r>
    </w:p>
    <w:p w:rsidR="004C50DC" w:rsidRPr="00E8358C" w:rsidRDefault="004C50DC" w:rsidP="004C50DC">
      <w:pPr>
        <w:pStyle w:val="Citation0"/>
      </w:pPr>
    </w:p>
    <w:p w:rsidR="004C50DC" w:rsidRPr="00E8358C" w:rsidRDefault="004C50DC" w:rsidP="004C50DC">
      <w:pPr>
        <w:spacing w:before="120" w:after="120"/>
        <w:jc w:val="both"/>
      </w:pPr>
      <w:r w:rsidRPr="00E8358C">
        <w:t>La République d’Haïti était devenue depuis son indépendance la peste des Amériques. Elle menaçait les intérêts des États-Unis, pui</w:t>
      </w:r>
      <w:r w:rsidRPr="00E8358C">
        <w:t>s</w:t>
      </w:r>
      <w:r w:rsidRPr="00E8358C">
        <w:t>sance esclavagiste. L’occupation fut un traumatisme pour les élites intellectuelles et politiques haïtiennes. Il faut rappeler qu’Haïti, aux yeux de nombreux intellectuels haïtiens au XIX</w:t>
      </w:r>
      <w:r w:rsidRPr="00E8358C">
        <w:rPr>
          <w:vertAlign w:val="superscript"/>
        </w:rPr>
        <w:t>e</w:t>
      </w:r>
      <w:r w:rsidRPr="00E8358C">
        <w:t xml:space="preserve"> siècle comme Dantes Bellegarde et Louis Joseph Janvier, était une province intellectuelle de la France. La présence des troupes américaines d’occupation que</w:t>
      </w:r>
      <w:r w:rsidRPr="00E8358C">
        <w:t>s</w:t>
      </w:r>
      <w:r w:rsidRPr="00E8358C">
        <w:t>tionnait l’existence culturelle d’Haïti. Les humiliations répétées de citoyens haïtiens par les représentants américains confortaient les i</w:t>
      </w:r>
      <w:r w:rsidRPr="00E8358C">
        <w:t>n</w:t>
      </w:r>
      <w:r w:rsidRPr="00E8358C">
        <w:t>tellectuels dans leurs prises de position pour défendre Haïti. Par exemple, Roger Gaillard rapportait les mots du major Smedley Butler, en 1916, qui comparait les Haïtiens à des « ravets »</w:t>
      </w:r>
      <w:r>
        <w:t> </w:t>
      </w:r>
      <w:r>
        <w:rPr>
          <w:rStyle w:val="Appelnotedebasdep"/>
        </w:rPr>
        <w:footnoteReference w:id="379"/>
      </w:r>
      <w:r>
        <w:t xml:space="preserve"> </w:t>
      </w:r>
      <w:r w:rsidRPr="00E8358C">
        <w:t>dans une corre</w:t>
      </w:r>
      <w:r w:rsidRPr="00E8358C">
        <w:t>s</w:t>
      </w:r>
      <w:r w:rsidRPr="00E8358C">
        <w:t>pondance adressée au colonel Lejeune : </w:t>
      </w:r>
    </w:p>
    <w:p w:rsidR="004C50DC" w:rsidRDefault="004C50DC" w:rsidP="004C50DC">
      <w:pPr>
        <w:spacing w:before="120" w:after="120"/>
        <w:jc w:val="both"/>
        <w:rPr>
          <w:szCs w:val="22"/>
        </w:rPr>
      </w:pPr>
      <w:r w:rsidRPr="00E8358C">
        <w:rPr>
          <w:szCs w:val="22"/>
        </w:rPr>
        <w:t>Je vous écris simplement Colonel, pour que vous puissiez avoir quelqu’un pour prendre ma place ici à la Gendarmerie. Je suggérerais quelqu’un à qui les habitudes des « ravets » ne soient pas aussi rép</w:t>
      </w:r>
      <w:r w:rsidRPr="00E8358C">
        <w:rPr>
          <w:szCs w:val="22"/>
        </w:rPr>
        <w:t>u</w:t>
      </w:r>
      <w:r w:rsidRPr="00E8358C">
        <w:rPr>
          <w:szCs w:val="22"/>
        </w:rPr>
        <w:t>gnantes qu’à moi-même</w:t>
      </w:r>
      <w:r>
        <w:rPr>
          <w:szCs w:val="22"/>
        </w:rPr>
        <w:t> </w:t>
      </w:r>
      <w:r>
        <w:rPr>
          <w:rStyle w:val="Appelnotedebasdep"/>
          <w:szCs w:val="22"/>
        </w:rPr>
        <w:footnoteReference w:id="380"/>
      </w:r>
      <w:r w:rsidRPr="00E8358C">
        <w:rPr>
          <w:szCs w:val="22"/>
        </w:rPr>
        <w:t xml:space="preserve">. </w:t>
      </w:r>
    </w:p>
    <w:p w:rsidR="004C50DC" w:rsidRPr="00E8358C" w:rsidRDefault="004C50DC" w:rsidP="004C50DC">
      <w:pPr>
        <w:spacing w:before="120" w:after="120"/>
        <w:jc w:val="both"/>
        <w:rPr>
          <w:szCs w:val="22"/>
        </w:rPr>
      </w:pPr>
      <w:r>
        <w:rPr>
          <w:szCs w:val="22"/>
        </w:rPr>
        <w:t>[116]</w:t>
      </w:r>
    </w:p>
    <w:p w:rsidR="004C50DC" w:rsidRPr="00E8358C" w:rsidRDefault="004C50DC" w:rsidP="004C50DC">
      <w:pPr>
        <w:spacing w:before="120" w:after="120"/>
        <w:jc w:val="both"/>
      </w:pPr>
      <w:r w:rsidRPr="00E8358C">
        <w:t xml:space="preserve">Smedley Butler, alors chef de la police de Port-au-Prince, digérait mal la langue française et les citoyens haïtiens. Certes, il n’aimait pas les Nègres, encore moins les Nègres qui parlaient français. C’était une attitude généralisée chez les occupants américains débarqués à Port-au-Prince. Lyonel Paquin, dans son ouvrage </w:t>
      </w:r>
      <w:r w:rsidRPr="00E8358C">
        <w:rPr>
          <w:i/>
        </w:rPr>
        <w:t xml:space="preserve">Les Haïtiens. Politique de classe et de couleur, </w:t>
      </w:r>
      <w:r w:rsidRPr="00E8358C">
        <w:t>écrit : « Les Américains voyaient les Haïtiens comme des Africains singeant les Français. Les Haïtiens ne pouvaient pas avaler cette condescendance raciste. Mais le coup le plus dur, c’était l’opinion du général Russel, à savoir que les gens de l’élite avaient une mentalité d’enfants de sept ans »</w:t>
      </w:r>
      <w:r>
        <w:t> </w:t>
      </w:r>
      <w:r w:rsidRPr="00E8358C">
        <w:rPr>
          <w:rStyle w:val="Appelnotedebasdep"/>
        </w:rPr>
        <w:footnoteReference w:id="381"/>
      </w:r>
      <w:r w:rsidRPr="00E8358C">
        <w:t>. Dans cette situation d’humiliation, les élites intellectuelles et politiques ainsi que le peuple haïtien dans son ensemble avaient soif d’un discours rassembleur ép</w:t>
      </w:r>
      <w:r w:rsidRPr="00E8358C">
        <w:t>i</w:t>
      </w:r>
      <w:r w:rsidRPr="00E8358C">
        <w:t>cé d’une certaine ascendance africaine, un discours qui valorisait le peuple haïtien. Ghislaine Rey Charlier, née sous l’occupation amér</w:t>
      </w:r>
      <w:r w:rsidRPr="00E8358C">
        <w:t>i</w:t>
      </w:r>
      <w:r w:rsidRPr="00E8358C">
        <w:t xml:space="preserve">caine, témoigne qu’elle a été influencée par le livre </w:t>
      </w:r>
      <w:r w:rsidRPr="00E8358C">
        <w:rPr>
          <w:i/>
        </w:rPr>
        <w:t>De l’égalité des races humaines</w:t>
      </w:r>
      <w:r w:rsidRPr="00E8358C">
        <w:t xml:space="preserve"> d’Anténor Firmin. À travers cet ouvrage, déclare-t-elle :</w:t>
      </w:r>
    </w:p>
    <w:p w:rsidR="004C50DC" w:rsidRDefault="004C50DC" w:rsidP="004C50DC">
      <w:pPr>
        <w:pStyle w:val="Citation0"/>
      </w:pPr>
    </w:p>
    <w:p w:rsidR="004C50DC" w:rsidRDefault="004C50DC" w:rsidP="004C50DC">
      <w:pPr>
        <w:pStyle w:val="Citation0"/>
      </w:pPr>
      <w:r w:rsidRPr="00E8358C">
        <w:t xml:space="preserve">J’ai appris qu’il fallait défendre et son pays et sa race. Comme j’étais née sous l’occupation américaine, j’étais sensible à la question de la race. On voyait qu’ils nous méprisaient parce que nous étions des Nègres. Alors que tous ces barbares de </w:t>
      </w:r>
      <w:r w:rsidRPr="00E8358C">
        <w:rPr>
          <w:i/>
        </w:rPr>
        <w:t>marines</w:t>
      </w:r>
      <w:r w:rsidRPr="00E8358C">
        <w:t xml:space="preserve"> qu’on nous a e</w:t>
      </w:r>
      <w:r w:rsidRPr="00E8358C">
        <w:t>n</w:t>
      </w:r>
      <w:r w:rsidRPr="00E8358C">
        <w:t>voyés, nous les trouvions tout à fait sauvages</w:t>
      </w:r>
      <w:r>
        <w:t> </w:t>
      </w:r>
      <w:r w:rsidRPr="00E8358C">
        <w:rPr>
          <w:rStyle w:val="Appelnotedebasdep"/>
          <w:szCs w:val="22"/>
        </w:rPr>
        <w:footnoteReference w:id="382"/>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Pour Roger Gaillard, l’élite « mulâtre », fut très affectée durant l’occupation américaine : « En gros, l’on peut dire que le préjugé de peau que la plus traditionnelle de nos </w:t>
      </w:r>
      <w:r w:rsidRPr="00E8358C">
        <w:rPr>
          <w:i/>
        </w:rPr>
        <w:t>élites</w:t>
      </w:r>
      <w:r w:rsidRPr="00E8358C">
        <w:t xml:space="preserve"> pratiquait jusque dans son sein, s’était… retourné contre elle »</w:t>
      </w:r>
      <w:r>
        <w:t> </w:t>
      </w:r>
      <w:r w:rsidRPr="00E8358C">
        <w:rPr>
          <w:rStyle w:val="Appelnotedebasdep"/>
        </w:rPr>
        <w:footnoteReference w:id="383"/>
      </w:r>
      <w:r w:rsidRPr="00E8358C">
        <w:t>. Voilà qu’elle se trouvait face au racisme d’occupants qui les appelaient Noirs et les traitaient co</w:t>
      </w:r>
      <w:r w:rsidRPr="00E8358C">
        <w:t>m</w:t>
      </w:r>
      <w:r w:rsidRPr="00E8358C">
        <w:t>me le reste de la population noire dans sa grande majorité. Par cons</w:t>
      </w:r>
      <w:r w:rsidRPr="00E8358C">
        <w:t>é</w:t>
      </w:r>
      <w:r w:rsidRPr="00E8358C">
        <w:t>quent, « les mulâtres de la haute société sentant leur position raffermie par l’Occupation redevinrent conscients et exclurent de plus en plus les Noirs de leur groupe particulier. D’un autre côté, comme les Mar</w:t>
      </w:r>
      <w:r w:rsidRPr="00E8358C">
        <w:t>i</w:t>
      </w:r>
      <w:r w:rsidRPr="00E8358C">
        <w:t>nes considéraient les mulâtres comme des Nègres, la peau de plus en plus claire était de plus en plus désirable »</w:t>
      </w:r>
      <w:r>
        <w:t> </w:t>
      </w:r>
      <w:r w:rsidRPr="00E8358C">
        <w:rPr>
          <w:rStyle w:val="Appelnotedebasdep"/>
        </w:rPr>
        <w:footnoteReference w:id="384"/>
      </w:r>
      <w:r w:rsidRPr="00E8358C">
        <w:t>. Ainsi, l’occupation américa</w:t>
      </w:r>
      <w:r w:rsidRPr="00E8358C">
        <w:t>i</w:t>
      </w:r>
      <w:r w:rsidRPr="00E8358C">
        <w:t>ne, au lieu de résoudre la question de couleur dans la société haïtie</w:t>
      </w:r>
      <w:r w:rsidRPr="00E8358C">
        <w:t>n</w:t>
      </w:r>
      <w:r w:rsidRPr="00E8358C">
        <w:t xml:space="preserve">ne, l’a au contraire encore alimentée. </w:t>
      </w:r>
    </w:p>
    <w:p w:rsidR="004C50DC" w:rsidRPr="00E8358C" w:rsidRDefault="004C50DC" w:rsidP="004C50DC">
      <w:pPr>
        <w:spacing w:before="120" w:after="120"/>
        <w:jc w:val="both"/>
      </w:pPr>
      <w:r w:rsidRPr="00E8358C">
        <w:t>En pleine occupation américaine (1929), Jean Price-Mars que</w:t>
      </w:r>
      <w:r w:rsidRPr="00E8358C">
        <w:t>s</w:t>
      </w:r>
      <w:r w:rsidRPr="00E8358C">
        <w:t>tionnait et critiquait le</w:t>
      </w:r>
      <w:r>
        <w:t xml:space="preserve"> [117]</w:t>
      </w:r>
      <w:r w:rsidRPr="00E8358C">
        <w:t xml:space="preserve"> bovarysme culturel des élites politiques et intellectuelles haïtiennes. Dans </w:t>
      </w:r>
      <w:r w:rsidRPr="00E8358C">
        <w:rPr>
          <w:i/>
        </w:rPr>
        <w:t>Ainsi parla l’oncle</w:t>
      </w:r>
      <w:r w:rsidRPr="00E8358C">
        <w:t>, il déclarait : « à la rigueur, l’homme le plus distingué de ce pays aimerait mieux qu’on lui trouve quelque ressemblance avec un Esquimau, un Samoyède ou un Tougounze plutôt que de lui rappeler son ascendance guinéenne ou soudanaise »</w:t>
      </w:r>
      <w:r>
        <w:t> </w:t>
      </w:r>
      <w:r>
        <w:rPr>
          <w:rStyle w:val="Appelnotedebasdep"/>
        </w:rPr>
        <w:footnoteReference w:id="385"/>
      </w:r>
      <w:r w:rsidRPr="00E8358C">
        <w:t>. Jean Price-Mars pensait que les élites haïtiennes a</w:t>
      </w:r>
      <w:r w:rsidRPr="00E8358C">
        <w:t>u</w:t>
      </w:r>
      <w:r w:rsidRPr="00E8358C">
        <w:t>raient dû cesser de se voir autrement qu’elles n’étaient. Il les invitait à aller vers le peuple, car c’était une fausse idée de prétendre qu’ils de</w:t>
      </w:r>
      <w:r w:rsidRPr="00E8358C">
        <w:t>s</w:t>
      </w:r>
      <w:r w:rsidRPr="00E8358C">
        <w:t>cendaient des Français. Ainsi, Jean Price-Mars s’opposait à des écr</w:t>
      </w:r>
      <w:r w:rsidRPr="00E8358C">
        <w:t>i</w:t>
      </w:r>
      <w:r w:rsidRPr="00E8358C">
        <w:t>vains tels que Louis Joseph Janvier pour qui Haïti avait une proximité intellectuelle avec la France.Ce dernier soutenait que : « la France est la capitale des peuples. Et Haïti est la France noire »</w:t>
      </w:r>
      <w:r>
        <w:t> </w:t>
      </w:r>
      <w:r>
        <w:rPr>
          <w:rStyle w:val="Appelnotedebasdep"/>
        </w:rPr>
        <w:footnoteReference w:id="386"/>
      </w:r>
      <w:r w:rsidRPr="00E8358C">
        <w:t>. Jean Price-Mars, né en 1876, était à cheval sur le XIX</w:t>
      </w:r>
      <w:r w:rsidRPr="00E8358C">
        <w:rPr>
          <w:vertAlign w:val="superscript"/>
        </w:rPr>
        <w:t>e</w:t>
      </w:r>
      <w:r w:rsidRPr="00E8358C">
        <w:t xml:space="preserve"> siècle et sur le XX</w:t>
      </w:r>
      <w:r w:rsidRPr="00E8358C">
        <w:rPr>
          <w:vertAlign w:val="superscript"/>
        </w:rPr>
        <w:t>e</w:t>
      </w:r>
      <w:r w:rsidRPr="00E8358C">
        <w:t xml:space="preserve"> si</w:t>
      </w:r>
      <w:r w:rsidRPr="00E8358C">
        <w:t>è</w:t>
      </w:r>
      <w:r w:rsidRPr="00E8358C">
        <w:t>cle ; sa pensée fut sans doute influencée par le courant nationaliste qui a traversé tout le XIX</w:t>
      </w:r>
      <w:r w:rsidRPr="00E8358C">
        <w:rPr>
          <w:vertAlign w:val="superscript"/>
        </w:rPr>
        <w:t>e</w:t>
      </w:r>
      <w:r w:rsidRPr="00E8358C">
        <w:t xml:space="preserve"> siècle haïtien. </w:t>
      </w:r>
    </w:p>
    <w:p w:rsidR="004C50DC" w:rsidRDefault="004C50DC" w:rsidP="004C50DC">
      <w:pPr>
        <w:spacing w:before="120" w:after="120"/>
        <w:jc w:val="both"/>
      </w:pPr>
      <w:r w:rsidRPr="00E8358C">
        <w:t>Une nouvelle génération, composée de Jacques Roumain et de François Duvalier et autres, va remettre en question, à partir de 1946, toute l’idéologie du XIX</w:t>
      </w:r>
      <w:r w:rsidRPr="00E8358C">
        <w:rPr>
          <w:vertAlign w:val="superscript"/>
        </w:rPr>
        <w:t>e</w:t>
      </w:r>
      <w:r w:rsidRPr="00E8358C">
        <w:t xml:space="preserve"> siècle et le discours traditionnel haïtien liant Haïti à une culture élitiste, française ; ils rejetaient également l’occupation américaine. Dans cette situation a d’abord émergé un discours noiriste avec François Duvalier, et un discours marxiste su</w:t>
      </w:r>
      <w:r w:rsidRPr="00E8358C">
        <w:t>r</w:t>
      </w:r>
      <w:r w:rsidRPr="00E8358C">
        <w:t>tout chez Jacques Roumain</w:t>
      </w:r>
      <w:r>
        <w:t> </w:t>
      </w:r>
      <w:r w:rsidRPr="00E8358C">
        <w:rPr>
          <w:rStyle w:val="Appelnotedebasdep"/>
        </w:rPr>
        <w:footnoteReference w:id="387"/>
      </w:r>
      <w:r w:rsidRPr="00E8358C">
        <w:t>. Albert Mangonès disait que « Roumain était convaincu à rejeter l’occupation américaine »</w:t>
      </w:r>
      <w:r>
        <w:t> </w:t>
      </w:r>
      <w:r w:rsidRPr="00E8358C">
        <w:rPr>
          <w:rStyle w:val="Appelnotedebasdep"/>
        </w:rPr>
        <w:footnoteReference w:id="388"/>
      </w:r>
      <w:r w:rsidRPr="00E8358C">
        <w:t>. De ce dernier, Jean Price-Mars disait : « Jacques Roumain était le mieux préparé d’entre nous pour explorer le domaine, vaste et enchevêtré de notre ethnographie puissante, qu’il avait renforcé par les excellentes études faites en des universités d’Europe et d’Amérique par la maîtrise de quatre langues : le français, l’allemand, l’anglais et l’espagnol »</w:t>
      </w:r>
      <w:r>
        <w:t> </w:t>
      </w:r>
      <w:r>
        <w:rPr>
          <w:rStyle w:val="Appelnotedebasdep"/>
        </w:rPr>
        <w:footnoteReference w:id="389"/>
      </w:r>
      <w:r w:rsidRPr="00E8358C">
        <w:t xml:space="preserve">. Dans ses poèmes, </w:t>
      </w:r>
      <w:r w:rsidRPr="00E8358C">
        <w:rPr>
          <w:i/>
        </w:rPr>
        <w:t xml:space="preserve">Guinée </w:t>
      </w:r>
      <w:r w:rsidRPr="00E8358C">
        <w:t>et</w:t>
      </w:r>
      <w:r w:rsidRPr="00E8358C">
        <w:rPr>
          <w:i/>
        </w:rPr>
        <w:t xml:space="preserve"> Bois d’ébène, </w:t>
      </w:r>
      <w:r w:rsidRPr="00E8358C">
        <w:t>Jacques Roumain nous dresse le tableau d’une Afrique à célébrer sans pour autant vouloir diviniser le passé ou s’installer dans le passé. Cette Afrique ne doit pas empêcher de s’ouvrir aux Autres</w:t>
      </w:r>
      <w:r>
        <w:t> </w:t>
      </w:r>
      <w:r>
        <w:rPr>
          <w:rStyle w:val="Appelnotedebasdep"/>
        </w:rPr>
        <w:footnoteReference w:id="390"/>
      </w:r>
      <w:r w:rsidRPr="00E8358C">
        <w:t xml:space="preserve">. Dans </w:t>
      </w:r>
      <w:r w:rsidRPr="00E8358C">
        <w:rPr>
          <w:i/>
        </w:rPr>
        <w:t>Guinée</w:t>
      </w:r>
      <w:r w:rsidRPr="00E8358C">
        <w:t>, il écrit :</w:t>
      </w:r>
    </w:p>
    <w:p w:rsidR="004C50DC" w:rsidRPr="00E8358C" w:rsidRDefault="004C50DC" w:rsidP="004C50DC">
      <w:pPr>
        <w:spacing w:before="120" w:after="120"/>
        <w:jc w:val="both"/>
      </w:pPr>
    </w:p>
    <w:p w:rsidR="004C50DC" w:rsidRPr="00541ED2" w:rsidRDefault="004C50DC" w:rsidP="004C50DC">
      <w:pPr>
        <w:jc w:val="center"/>
        <w:rPr>
          <w:i/>
          <w:szCs w:val="22"/>
        </w:rPr>
      </w:pPr>
      <w:r w:rsidRPr="00541ED2">
        <w:rPr>
          <w:i/>
          <w:szCs w:val="22"/>
        </w:rPr>
        <w:t>C’est le lent chemin de Guinée :</w:t>
      </w:r>
    </w:p>
    <w:p w:rsidR="004C50DC" w:rsidRPr="00541ED2" w:rsidRDefault="004C50DC" w:rsidP="004C50DC">
      <w:pPr>
        <w:pStyle w:val="p"/>
      </w:pPr>
      <w:r w:rsidRPr="00541ED2">
        <w:t>[118]</w:t>
      </w:r>
    </w:p>
    <w:p w:rsidR="004C50DC" w:rsidRPr="00541ED2" w:rsidRDefault="004C50DC" w:rsidP="004C50DC">
      <w:pPr>
        <w:jc w:val="center"/>
        <w:rPr>
          <w:i/>
          <w:szCs w:val="22"/>
        </w:rPr>
      </w:pPr>
      <w:r w:rsidRPr="00541ED2">
        <w:rPr>
          <w:i/>
          <w:szCs w:val="22"/>
        </w:rPr>
        <w:t>La mort t’y conduira.</w:t>
      </w:r>
    </w:p>
    <w:p w:rsidR="004C50DC" w:rsidRPr="00541ED2" w:rsidRDefault="004C50DC" w:rsidP="004C50DC">
      <w:pPr>
        <w:jc w:val="center"/>
        <w:rPr>
          <w:i/>
          <w:szCs w:val="22"/>
        </w:rPr>
      </w:pPr>
      <w:r w:rsidRPr="00541ED2">
        <w:rPr>
          <w:i/>
          <w:szCs w:val="22"/>
        </w:rPr>
        <w:t>[…] C’est le lent chemin de Guinée :</w:t>
      </w:r>
    </w:p>
    <w:p w:rsidR="004C50DC" w:rsidRPr="00541ED2" w:rsidRDefault="004C50DC" w:rsidP="004C50DC">
      <w:pPr>
        <w:jc w:val="center"/>
        <w:rPr>
          <w:i/>
          <w:szCs w:val="22"/>
        </w:rPr>
      </w:pPr>
      <w:r w:rsidRPr="00541ED2">
        <w:rPr>
          <w:i/>
          <w:szCs w:val="22"/>
        </w:rPr>
        <w:t>Tes pères t’attendent avec impatience</w:t>
      </w:r>
      <w:r>
        <w:rPr>
          <w:szCs w:val="22"/>
        </w:rPr>
        <w:t> </w:t>
      </w:r>
      <w:r>
        <w:rPr>
          <w:rStyle w:val="Appelnotedebasdep"/>
          <w:szCs w:val="22"/>
        </w:rPr>
        <w:footnoteReference w:id="391"/>
      </w:r>
      <w:r w:rsidRPr="00541ED2">
        <w:rPr>
          <w:i/>
          <w:szCs w:val="22"/>
        </w:rPr>
        <w:t>.</w:t>
      </w:r>
    </w:p>
    <w:p w:rsidR="004C50DC" w:rsidRDefault="004C50DC" w:rsidP="004C50DC">
      <w:pPr>
        <w:spacing w:before="120" w:after="120"/>
        <w:jc w:val="both"/>
      </w:pPr>
      <w:r w:rsidRPr="00E8358C">
        <w:t>Pour Nicolas Guilén, Jacques Roumain, de son vivant, luttait to</w:t>
      </w:r>
      <w:r w:rsidRPr="00E8358C">
        <w:t>u</w:t>
      </w:r>
      <w:r w:rsidRPr="00E8358C">
        <w:t>jours contre « le système social qui [faisait] de lui un esclave »</w:t>
      </w:r>
      <w:r>
        <w:t> </w:t>
      </w:r>
      <w:r>
        <w:rPr>
          <w:rStyle w:val="Appelnotedebasdep"/>
        </w:rPr>
        <w:footnoteReference w:id="392"/>
      </w:r>
      <w:r w:rsidRPr="00E8358C">
        <w:t xml:space="preserve">. Dans </w:t>
      </w:r>
      <w:r w:rsidRPr="00E8358C">
        <w:rPr>
          <w:i/>
        </w:rPr>
        <w:t>Bois d’ébène</w:t>
      </w:r>
      <w:r w:rsidRPr="00E8358C">
        <w:t>, il courtise et en même temps pleure cette Afrique qui souffre :</w:t>
      </w:r>
    </w:p>
    <w:p w:rsidR="004C50DC" w:rsidRPr="00E8358C" w:rsidRDefault="004C50DC" w:rsidP="004C50DC">
      <w:pPr>
        <w:spacing w:before="120" w:after="120"/>
        <w:jc w:val="both"/>
      </w:pPr>
    </w:p>
    <w:p w:rsidR="004C50DC" w:rsidRPr="00E8358C" w:rsidRDefault="004C50DC" w:rsidP="004C50DC">
      <w:pPr>
        <w:jc w:val="center"/>
        <w:rPr>
          <w:i/>
          <w:szCs w:val="22"/>
        </w:rPr>
      </w:pPr>
      <w:r w:rsidRPr="00E8358C">
        <w:rPr>
          <w:i/>
          <w:szCs w:val="22"/>
        </w:rPr>
        <w:t>Afrique, j’ai gardé ta mémoire,</w:t>
      </w:r>
    </w:p>
    <w:p w:rsidR="004C50DC" w:rsidRPr="00E8358C" w:rsidRDefault="004C50DC" w:rsidP="004C50DC">
      <w:pPr>
        <w:jc w:val="center"/>
        <w:rPr>
          <w:i/>
          <w:szCs w:val="22"/>
        </w:rPr>
      </w:pPr>
      <w:r w:rsidRPr="00E8358C">
        <w:rPr>
          <w:i/>
          <w:szCs w:val="22"/>
        </w:rPr>
        <w:t>Afrique tu es en moi,</w:t>
      </w:r>
    </w:p>
    <w:p w:rsidR="004C50DC" w:rsidRPr="00E8358C" w:rsidRDefault="004C50DC" w:rsidP="004C50DC">
      <w:pPr>
        <w:jc w:val="center"/>
        <w:rPr>
          <w:i/>
          <w:szCs w:val="22"/>
        </w:rPr>
      </w:pPr>
      <w:r w:rsidRPr="00E8358C">
        <w:rPr>
          <w:i/>
          <w:szCs w:val="22"/>
        </w:rPr>
        <w:t>[…] fais de moi la pierre de ta fronde,</w:t>
      </w:r>
    </w:p>
    <w:p w:rsidR="004C50DC" w:rsidRPr="00E8358C" w:rsidRDefault="004C50DC" w:rsidP="004C50DC">
      <w:pPr>
        <w:jc w:val="center"/>
        <w:rPr>
          <w:i/>
          <w:szCs w:val="22"/>
        </w:rPr>
      </w:pPr>
      <w:r w:rsidRPr="00E8358C">
        <w:rPr>
          <w:i/>
          <w:szCs w:val="22"/>
        </w:rPr>
        <w:t>De ma bouche les lèvres de tes plaies,</w:t>
      </w:r>
    </w:p>
    <w:p w:rsidR="004C50DC" w:rsidRPr="00E8358C" w:rsidRDefault="004C50DC" w:rsidP="004C50DC">
      <w:pPr>
        <w:jc w:val="center"/>
        <w:rPr>
          <w:i/>
          <w:szCs w:val="22"/>
        </w:rPr>
      </w:pPr>
      <w:r w:rsidRPr="00E8358C">
        <w:rPr>
          <w:i/>
          <w:szCs w:val="22"/>
        </w:rPr>
        <w:t>De mes genoux les colonnes brisées de ton abaissement</w:t>
      </w:r>
      <w:r>
        <w:rPr>
          <w:szCs w:val="22"/>
        </w:rPr>
        <w:t> </w:t>
      </w:r>
      <w:r>
        <w:rPr>
          <w:rStyle w:val="Appelnotedebasdep"/>
          <w:szCs w:val="22"/>
        </w:rPr>
        <w:footnoteReference w:id="393"/>
      </w:r>
      <w:r w:rsidRPr="00E8358C">
        <w:rPr>
          <w:i/>
          <w:szCs w:val="22"/>
        </w:rPr>
        <w:t>.</w:t>
      </w:r>
    </w:p>
    <w:p w:rsidR="004C50DC" w:rsidRDefault="004C50DC" w:rsidP="004C50DC">
      <w:pPr>
        <w:spacing w:before="120" w:after="120"/>
        <w:jc w:val="both"/>
      </w:pPr>
    </w:p>
    <w:p w:rsidR="004C50DC" w:rsidRPr="00E8358C" w:rsidRDefault="004C50DC" w:rsidP="004C50DC">
      <w:pPr>
        <w:spacing w:before="120" w:after="120"/>
        <w:jc w:val="both"/>
        <w:rPr>
          <w:rFonts w:eastAsia="Calibri"/>
          <w:i/>
          <w:szCs w:val="15"/>
          <w:lang w:eastAsia="fr-FR"/>
        </w:rPr>
      </w:pPr>
      <w:r w:rsidRPr="00E8358C">
        <w:t xml:space="preserve">En adoptant le « discours noiriste », François Duvalier a pu conquérir le pouvoir politique. Cependant, </w:t>
      </w:r>
      <w:r w:rsidRPr="00E8358C">
        <w:rPr>
          <w:rFonts w:eastAsia="Calibri"/>
          <w:szCs w:val="15"/>
          <w:lang w:eastAsia="fr-FR"/>
        </w:rPr>
        <w:t>Michel Rolf Trouillot pe</w:t>
      </w:r>
      <w:r w:rsidRPr="00E8358C">
        <w:rPr>
          <w:rFonts w:eastAsia="Calibri"/>
          <w:szCs w:val="15"/>
          <w:lang w:eastAsia="fr-FR"/>
        </w:rPr>
        <w:t>n</w:t>
      </w:r>
      <w:r w:rsidRPr="00E8358C">
        <w:rPr>
          <w:rFonts w:eastAsia="Calibri"/>
          <w:szCs w:val="15"/>
          <w:lang w:eastAsia="fr-FR"/>
        </w:rPr>
        <w:t>se que ce discours n’est pas en rupture avec l’ancienne tendance des hommes d’État haïtiens. Au contraire, il surdétermine les mulâtres dans son application et dans sa matérialité. Trouillot a écrit : « De Toussaint Louverture à François Duvalier, en passant par Dessalines et Salomon, ils misaient tous dans un certain futur clair. Ce n’est pas sans raison que Jean-Claude Duvalier fut mulâtriste dans sa pratique : les présupposés venaient d’en haut. Fou qui croit que Jean-Claude Duvalier trahissait le rêve : c’était ça, le rêve ! »</w:t>
      </w:r>
      <w:r>
        <w:rPr>
          <w:rFonts w:eastAsia="Calibri"/>
          <w:szCs w:val="15"/>
          <w:lang w:eastAsia="fr-FR"/>
        </w:rPr>
        <w:t> </w:t>
      </w:r>
      <w:r>
        <w:rPr>
          <w:rStyle w:val="Appelnotedebasdep"/>
          <w:rFonts w:eastAsia="Calibri"/>
          <w:szCs w:val="15"/>
          <w:lang w:eastAsia="fr-FR"/>
        </w:rPr>
        <w:footnoteReference w:id="394"/>
      </w:r>
    </w:p>
    <w:p w:rsidR="004C50DC" w:rsidRPr="00792DC7" w:rsidRDefault="004C50DC" w:rsidP="004C50DC">
      <w:pPr>
        <w:spacing w:before="120" w:after="120"/>
        <w:jc w:val="both"/>
      </w:pPr>
      <w:r w:rsidRPr="00E8358C">
        <w:t>Les tendances ont évolué vers un nationalisme noir à partir de 1946 avec l’arrivée au pouvoir de Durmasais Estimé (1946-1950) et se sont amplifiées avec François Duvalier (1957-1971). Ils se sont e</w:t>
      </w:r>
      <w:r w:rsidRPr="00E8358C">
        <w:t>f</w:t>
      </w:r>
      <w:r w:rsidRPr="00E8358C">
        <w:t>forcés de mettre en valeur la culture populaire en lien avec l’Afrique et le passé colonial esclavagiste. L’idéologie « noiriste » véhiculée sous la présidence de François Duvalier a récupéré le marronnage en tant qu’aboutissement, que porte-étendard, du nationalisme en ér</w:t>
      </w:r>
      <w:r w:rsidRPr="00E8358C">
        <w:t>i</w:t>
      </w:r>
      <w:r w:rsidRPr="00E8358C">
        <w:t xml:space="preserve">geant la statue du « Marron inconnu » pour attester de façon visible de la reconnaissance officielle du rôle des marrons dans l’histoire </w:t>
      </w:r>
      <w:r>
        <w:t xml:space="preserve">[119] </w:t>
      </w:r>
      <w:r w:rsidRPr="00E8358C">
        <w:t>nationale. Mais quand on sait que le « nègre marron » suggère n</w:t>
      </w:r>
      <w:r w:rsidRPr="00E8358C">
        <w:t>o</w:t>
      </w:r>
      <w:r w:rsidRPr="00E8358C">
        <w:t>tamment la résistance et la guérilla contre l’oppression du système esclavagiste, nous nous demandons comment Duvalier percevait cet aspect symbolique. Le régime dictatorial de François Duvalier était contre toutes les formes de résistance et de guérilla. Toutes tentatives et toutes dérogations à ces interdictions ont été sévèrement réprimées. Comme l’a démontré Dimitri Bechacq, cette récupération du « nègre marron » peut être interprétée comme « une patrimonialisation de l’histoire à des fins politiques »</w:t>
      </w:r>
      <w:r>
        <w:t> </w:t>
      </w:r>
      <w:r>
        <w:rPr>
          <w:rStyle w:val="Appelnotedebasdep"/>
        </w:rPr>
        <w:footnoteReference w:id="395"/>
      </w:r>
      <w:r w:rsidRPr="00E8358C">
        <w:t xml:space="preserve">. </w:t>
      </w:r>
      <w:r w:rsidRPr="00792DC7">
        <w:t>L’intégration d’Haïti à l’Union afr</w:t>
      </w:r>
      <w:r w:rsidRPr="00792DC7">
        <w:t>i</w:t>
      </w:r>
      <w:r w:rsidRPr="00792DC7">
        <w:t>caine en 2012 confirme cette ouverture politique et culturelle : le re</w:t>
      </w:r>
      <w:r w:rsidRPr="00792DC7">
        <w:t>n</w:t>
      </w:r>
      <w:r w:rsidRPr="00792DC7">
        <w:t xml:space="preserve">forcement des liens de ce pays avec l’Afrique et le rapprochement du peuple haïtien de ses ancêtres africains. </w:t>
      </w:r>
    </w:p>
    <w:p w:rsidR="004C50DC" w:rsidRPr="00E8358C" w:rsidRDefault="004C50DC" w:rsidP="004C50DC">
      <w:pPr>
        <w:spacing w:before="120" w:after="120"/>
        <w:jc w:val="both"/>
      </w:pPr>
      <w:r w:rsidRPr="00E8358C">
        <w:t>La statue du Marron inconnu caractériserait le « peuple haïtien », terme fort de la mouvance indigéniste et noiriste par opposition à l’élite dirigeante en majorité mulâtre</w:t>
      </w:r>
      <w:r>
        <w:t> </w:t>
      </w:r>
      <w:r w:rsidRPr="00E8358C">
        <w:rPr>
          <w:rStyle w:val="Appelnotedebasdep"/>
        </w:rPr>
        <w:footnoteReference w:id="396"/>
      </w:r>
      <w:r w:rsidRPr="00E8358C">
        <w:t>. L’ethnicisation de cette repr</w:t>
      </w:r>
      <w:r w:rsidRPr="00E8358C">
        <w:t>é</w:t>
      </w:r>
      <w:r w:rsidRPr="00E8358C">
        <w:t>sentation fut un préalable nécessaire à l’entreprise d’élaboration du nationalisme noir haïtien et, en cela, il est exemplaire de la constru</w:t>
      </w:r>
      <w:r w:rsidRPr="00E8358C">
        <w:t>c</w:t>
      </w:r>
      <w:r w:rsidRPr="00E8358C">
        <w:t>tion identitaire spécifique des États nations modernes</w:t>
      </w:r>
      <w:r>
        <w:t> </w:t>
      </w:r>
      <w:r w:rsidRPr="00E8358C">
        <w:rPr>
          <w:rStyle w:val="Appelnotedebasdep"/>
        </w:rPr>
        <w:footnoteReference w:id="397"/>
      </w:r>
      <w:r w:rsidRPr="00E8358C">
        <w:t xml:space="preserve">. </w:t>
      </w:r>
      <w:r w:rsidRPr="00E8358C">
        <w:rPr>
          <w:bCs/>
        </w:rPr>
        <w:t>Ces réactions sont inscrites dans ce combat perpétuel contre l’amnésie autour de la participation et des rôles historiques de la masse des esclaves des h</w:t>
      </w:r>
      <w:r w:rsidRPr="00E8358C">
        <w:rPr>
          <w:bCs/>
        </w:rPr>
        <w:t>a</w:t>
      </w:r>
      <w:r w:rsidRPr="00E8358C">
        <w:rPr>
          <w:bCs/>
        </w:rPr>
        <w:t>bitations et des marrons. Certaines des grandes figures du marronnage haïtien négligées dans l’historiographie haïtienne du XIX</w:t>
      </w:r>
      <w:r w:rsidRPr="00E8358C">
        <w:rPr>
          <w:bCs/>
          <w:vertAlign w:val="superscript"/>
        </w:rPr>
        <w:t>e</w:t>
      </w:r>
      <w:r w:rsidRPr="00E8358C">
        <w:rPr>
          <w:bCs/>
        </w:rPr>
        <w:t xml:space="preserve"> siècle ont été sorties de l’ombre</w:t>
      </w:r>
      <w:r>
        <w:rPr>
          <w:bCs/>
        </w:rPr>
        <w:t> </w:t>
      </w:r>
      <w:r w:rsidRPr="00E8358C">
        <w:rPr>
          <w:rStyle w:val="Appelnotedebasdep"/>
          <w:bCs/>
        </w:rPr>
        <w:footnoteReference w:id="398"/>
      </w:r>
      <w:r w:rsidRPr="00E8358C">
        <w:rPr>
          <w:bCs/>
        </w:rPr>
        <w:t xml:space="preserve">. </w:t>
      </w:r>
    </w:p>
    <w:p w:rsidR="004C50DC" w:rsidRDefault="004C50DC" w:rsidP="004C50DC">
      <w:pPr>
        <w:spacing w:before="120" w:after="120"/>
        <w:jc w:val="both"/>
      </w:pPr>
      <w:r w:rsidRPr="00E8358C">
        <w:t>Aujourd’hui, en Haïti, l’esclavage semble constamment réappr</w:t>
      </w:r>
      <w:r w:rsidRPr="00E8358C">
        <w:t>o</w:t>
      </w:r>
      <w:r w:rsidRPr="00E8358C">
        <w:t xml:space="preserve">prié par l’État et les élites gardiennes et productrices de la mémoire historique. Les hommes politiques « marronnent » devant la réalité sociale. Mais en « marronnant », pour reprendre les mots de Leslie Péan, « ils se comportent comme des esclaves conscients que l’ordre colonial n’a </w:t>
      </w:r>
      <w:r>
        <w:t xml:space="preserve">[120] </w:t>
      </w:r>
      <w:r w:rsidRPr="00E8358C">
        <w:t>pas été rompu. Ce n’est pas seulement de l’État marron qu’il s’agit, mais aussi de l’État des marrons. C’est une nation marronne qui cherche une voie de sortie pour une rupture de l’ordre colonial »</w:t>
      </w:r>
      <w:r>
        <w:t> </w:t>
      </w:r>
      <w:r w:rsidRPr="00E8358C">
        <w:rPr>
          <w:rStyle w:val="Appelnotedebasdep"/>
        </w:rPr>
        <w:footnoteReference w:id="399"/>
      </w:r>
      <w:r w:rsidRPr="00E8358C">
        <w:t>. Les marrons étaient des hommes libres qui luttaient contre les colons blancs, alors que les élites dirigeantes sont dans un perp</w:t>
      </w:r>
      <w:r w:rsidRPr="00E8358C">
        <w:t>é</w:t>
      </w:r>
      <w:r w:rsidRPr="00E8358C">
        <w:t>tuel conflit avec eux-mêmes et avec la société. Dans un tel contexte, il faudrait dire : un peuple indépendant qui cherche à se lib</w:t>
      </w:r>
      <w:r w:rsidRPr="00E8358C">
        <w:t>é</w:t>
      </w:r>
      <w:r w:rsidRPr="00E8358C">
        <w:t>rer du joug des affranchis qui succèdent aux colons. Cette nouvelle lutte du pe</w:t>
      </w:r>
      <w:r w:rsidRPr="00E8358C">
        <w:t>u</w:t>
      </w:r>
      <w:r w:rsidRPr="00E8358C">
        <w:t xml:space="preserve">ple haïtien après l’indépendance peut être une analyse par anticipation de la lutte entre </w:t>
      </w:r>
      <w:r w:rsidRPr="00E8358C">
        <w:rPr>
          <w:i/>
        </w:rPr>
        <w:t>libéraux</w:t>
      </w:r>
      <w:r w:rsidRPr="00E8358C">
        <w:t xml:space="preserve"> et </w:t>
      </w:r>
      <w:r w:rsidRPr="00E8358C">
        <w:rPr>
          <w:i/>
        </w:rPr>
        <w:t>nationaux</w:t>
      </w:r>
      <w:r w:rsidRPr="00E8358C">
        <w:t>, car nous nous trouvons face à une nation divisée qui cherche à sortir du système c</w:t>
      </w:r>
      <w:r w:rsidRPr="00E8358C">
        <w:t>o</w:t>
      </w:r>
      <w:r w:rsidRPr="00E8358C">
        <w:t>lonial maintenu autrefois par une « sous-élite »</w:t>
      </w:r>
      <w:r>
        <w:t> </w:t>
      </w:r>
      <w:r w:rsidRPr="00E8358C">
        <w:rPr>
          <w:rStyle w:val="Appelnotedebasdep"/>
        </w:rPr>
        <w:footnoteReference w:id="400"/>
      </w:r>
      <w:r w:rsidRPr="00E8358C">
        <w:t xml:space="preserve"> devenue une « élite à part entière » au lendemain de l’indépendance. Cette élite est to</w:t>
      </w:r>
      <w:r w:rsidRPr="00E8358C">
        <w:t>u</w:t>
      </w:r>
      <w:r w:rsidRPr="00E8358C">
        <w:t>jours persuadée qu’il n’y</w:t>
      </w:r>
      <w:r>
        <w:t xml:space="preserve"> a pas eu de rupture coloniale.</w:t>
      </w:r>
    </w:p>
    <w:p w:rsidR="004C50DC" w:rsidRPr="00E8358C" w:rsidRDefault="004C50DC" w:rsidP="004C50DC">
      <w:pPr>
        <w:spacing w:before="120" w:after="120"/>
        <w:jc w:val="both"/>
      </w:pPr>
    </w:p>
    <w:p w:rsidR="004C50DC" w:rsidRPr="00E8358C" w:rsidRDefault="004C50DC" w:rsidP="004C50DC">
      <w:pPr>
        <w:pStyle w:val="planche"/>
      </w:pPr>
      <w:bookmarkStart w:id="127" w:name="_Toc423347290"/>
      <w:bookmarkStart w:id="128" w:name="_Toc442280468"/>
      <w:bookmarkStart w:id="129" w:name="Memoire_chap_III_2"/>
      <w:r w:rsidRPr="00E8358C">
        <w:t>3.2. Politique culturelle :</w:t>
      </w:r>
      <w:r>
        <w:br/>
      </w:r>
      <w:r w:rsidRPr="00E8358C">
        <w:t>une responsabilité partagée</w:t>
      </w:r>
      <w:r>
        <w:br/>
      </w:r>
      <w:r w:rsidRPr="00E8358C">
        <w:t>entre l’État et les citoyens</w:t>
      </w:r>
      <w:bookmarkEnd w:id="121"/>
      <w:bookmarkEnd w:id="127"/>
      <w:bookmarkEnd w:id="128"/>
    </w:p>
    <w:bookmarkEnd w:id="129"/>
    <w:p w:rsidR="004C50DC" w:rsidRDefault="004C50DC" w:rsidP="004C50DC">
      <w:pPr>
        <w:spacing w:before="120" w:after="120"/>
        <w:jc w:val="both"/>
        <w:rPr>
          <w:lang w:eastAsia="en-CA"/>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rPr>
          <w:lang w:eastAsia="en-CA"/>
        </w:rPr>
        <w:t>La notion de « culture » a toujours été au centre des débats et des réflexions conceptuelles dans les domaines des sciences sociales et humaines. La polysémie de cette notion prend en considération à la fois l</w:t>
      </w:r>
      <w:r w:rsidRPr="00E8358C">
        <w:t>es traditions, les valeurs, les acquis intellectuels et les savoir-faire qui caractérisent un groupe, une communauté, une société h</w:t>
      </w:r>
      <w:r w:rsidRPr="00E8358C">
        <w:t>u</w:t>
      </w:r>
      <w:r w:rsidRPr="00E8358C">
        <w:t>maine, un « nous ». La culture intervient aussi avec un rôle de facilit</w:t>
      </w:r>
      <w:r w:rsidRPr="00E8358C">
        <w:t>a</w:t>
      </w:r>
      <w:r w:rsidRPr="00E8358C">
        <w:t>teur, dans la mesure où elle fournit à l’individu un sens, et par là m</w:t>
      </w:r>
      <w:r w:rsidRPr="00E8358C">
        <w:t>ê</w:t>
      </w:r>
      <w:r w:rsidRPr="00E8358C">
        <w:t>me, des valeurs à projeter sur son existence. Elle suggère « des prat</w:t>
      </w:r>
      <w:r w:rsidRPr="00E8358C">
        <w:t>i</w:t>
      </w:r>
      <w:r w:rsidRPr="00E8358C">
        <w:t>ques linguistiques, alimentaires et vestimentaires ; des comportements et des modes de relations interpersonnelles »</w:t>
      </w:r>
      <w:r>
        <w:t> </w:t>
      </w:r>
      <w:r>
        <w:rPr>
          <w:rStyle w:val="Appelnotedebasdep"/>
        </w:rPr>
        <w:footnoteReference w:id="401"/>
      </w:r>
      <w:r w:rsidRPr="00E8358C">
        <w:t xml:space="preserve"> et prend en compte </w:t>
      </w:r>
      <w:r w:rsidRPr="00E8358C">
        <w:rPr>
          <w:lang w:eastAsia="en-CA"/>
        </w:rPr>
        <w:t>« </w:t>
      </w:r>
      <w:r w:rsidRPr="00E8358C">
        <w:t>les connaissances, les croyances, les arts, les lois, la morale, les co</w:t>
      </w:r>
      <w:r w:rsidRPr="00E8358C">
        <w:t>u</w:t>
      </w:r>
      <w:r w:rsidRPr="00E8358C">
        <w:t>tumes et toutes autres habiletés et mœurs acquises par l’homme en société »</w:t>
      </w:r>
      <w:r>
        <w:t> </w:t>
      </w:r>
      <w:r>
        <w:rPr>
          <w:rStyle w:val="Appelnotedebasdep"/>
        </w:rPr>
        <w:footnoteReference w:id="402"/>
      </w:r>
      <w:r w:rsidRPr="00E8358C">
        <w:t>. Pour l’UNESCO, la culture renvoie aux « façons de vivre e</w:t>
      </w:r>
      <w:r w:rsidRPr="00E8358C">
        <w:t>n</w:t>
      </w:r>
      <w:r w:rsidRPr="00E8358C">
        <w:t>semble », invoque le « bien public » et exige du coup de l’État des actions pour sa sauvegarde, sa valorisation et la mise en place des structures et des institutions pour la</w:t>
      </w:r>
      <w:r>
        <w:t xml:space="preserve"> [121]</w:t>
      </w:r>
      <w:r w:rsidRPr="00E8358C">
        <w:t xml:space="preserve"> modeler et définir ses lignes directrices. Dans ce contexte intervient la notion de « politique cult</w:t>
      </w:r>
      <w:r w:rsidRPr="00E8358C">
        <w:t>u</w:t>
      </w:r>
      <w:r w:rsidRPr="00E8358C">
        <w:t xml:space="preserve">relle » qui, </w:t>
      </w:r>
      <w:r w:rsidRPr="00E8358C">
        <w:rPr>
          <w:lang w:eastAsia="en-CA"/>
        </w:rPr>
        <w:t xml:space="preserve">selon </w:t>
      </w:r>
      <w:r w:rsidRPr="00E8358C">
        <w:t>Joseph Jackson et René Lemieux, « est la manifest</w:t>
      </w:r>
      <w:r w:rsidRPr="00E8358C">
        <w:t>a</w:t>
      </w:r>
      <w:r w:rsidRPr="00E8358C">
        <w:t>tion de la volonté du gouvernement d’adopter et de mettre en œuvre un ensemble cohérent de principes, d’objectifs et de moyens visant la protection et l’épanouissement de l’expression culturelle d’un pays »</w:t>
      </w:r>
      <w:r>
        <w:t> </w:t>
      </w:r>
      <w:r>
        <w:rPr>
          <w:rStyle w:val="Appelnotedebasdep"/>
        </w:rPr>
        <w:footnoteReference w:id="403"/>
      </w:r>
      <w:r w:rsidRPr="00E8358C">
        <w:t>. L’intervention publique est alors nécessaire à travers une p</w:t>
      </w:r>
      <w:r w:rsidRPr="00E8358C">
        <w:t>o</w:t>
      </w:r>
      <w:r w:rsidRPr="00E8358C">
        <w:t xml:space="preserve">litique culturelle cohérente pour assurer la promotion du patrimoine et de la culture. </w:t>
      </w:r>
    </w:p>
    <w:p w:rsidR="004C50DC" w:rsidRPr="00E8358C" w:rsidRDefault="004C50DC" w:rsidP="004C50DC">
      <w:pPr>
        <w:spacing w:before="120" w:after="120"/>
        <w:jc w:val="both"/>
        <w:rPr>
          <w:iCs/>
          <w:lang w:eastAsia="en-CA"/>
        </w:rPr>
      </w:pPr>
      <w:r w:rsidRPr="00E8358C">
        <w:t xml:space="preserve">Selon l’UNESCO, </w:t>
      </w:r>
      <w:r w:rsidRPr="00E8358C">
        <w:rPr>
          <w:lang w:eastAsia="en-CA"/>
        </w:rPr>
        <w:t>la politique culturelle est « l’ensemble des us</w:t>
      </w:r>
      <w:r w:rsidRPr="00E8358C">
        <w:rPr>
          <w:lang w:eastAsia="en-CA"/>
        </w:rPr>
        <w:t>a</w:t>
      </w:r>
      <w:r w:rsidRPr="00E8358C">
        <w:rPr>
          <w:lang w:eastAsia="en-CA"/>
        </w:rPr>
        <w:t>ges et de l’action ou absence d’action pratiquée consciemment et dél</w:t>
      </w:r>
      <w:r w:rsidRPr="00E8358C">
        <w:rPr>
          <w:lang w:eastAsia="en-CA"/>
        </w:rPr>
        <w:t>i</w:t>
      </w:r>
      <w:r w:rsidRPr="00E8358C">
        <w:rPr>
          <w:lang w:eastAsia="en-CA"/>
        </w:rPr>
        <w:t>bérément, dans une société, destinés à satisfaire certains besoins cult</w:t>
      </w:r>
      <w:r w:rsidRPr="00E8358C">
        <w:rPr>
          <w:lang w:eastAsia="en-CA"/>
        </w:rPr>
        <w:t>u</w:t>
      </w:r>
      <w:r w:rsidRPr="00E8358C">
        <w:rPr>
          <w:lang w:eastAsia="en-CA"/>
        </w:rPr>
        <w:t>rels par l’utilisation optimale de toutes les ressources matérielles et humaines se trouvant à la disposition de cette société à un moment donné »</w:t>
      </w:r>
      <w:r>
        <w:rPr>
          <w:lang w:eastAsia="en-CA"/>
        </w:rPr>
        <w:t> </w:t>
      </w:r>
      <w:r>
        <w:rPr>
          <w:rStyle w:val="Appelnotedebasdep"/>
          <w:lang w:eastAsia="en-CA"/>
        </w:rPr>
        <w:footnoteReference w:id="404"/>
      </w:r>
      <w:r w:rsidRPr="00E8358C">
        <w:rPr>
          <w:lang w:eastAsia="en-CA"/>
        </w:rPr>
        <w:t>. La politique culturelle met l’accent sur la participation coordonnée des communautés et de l’État dans les prises de décisions qui souvent se font de manière inconsciente. Ceci dit, la défense de la culture en tant que « patrimoine identitaire » est innée chez tout ind</w:t>
      </w:r>
      <w:r w:rsidRPr="00E8358C">
        <w:rPr>
          <w:lang w:eastAsia="en-CA"/>
        </w:rPr>
        <w:t>i</w:t>
      </w:r>
      <w:r w:rsidRPr="00E8358C">
        <w:rPr>
          <w:lang w:eastAsia="en-CA"/>
        </w:rPr>
        <w:t xml:space="preserve">vidu. Effectivement, le « droit à la culture » est fondamental et </w:t>
      </w:r>
      <w:r w:rsidRPr="00541ED2">
        <w:rPr>
          <w:iCs/>
          <w:lang w:eastAsia="en-CA"/>
        </w:rPr>
        <w:t>souv</w:t>
      </w:r>
      <w:r w:rsidRPr="00541ED2">
        <w:rPr>
          <w:iCs/>
          <w:lang w:eastAsia="en-CA"/>
        </w:rPr>
        <w:t>e</w:t>
      </w:r>
      <w:r w:rsidRPr="00541ED2">
        <w:rPr>
          <w:iCs/>
          <w:lang w:eastAsia="en-CA"/>
        </w:rPr>
        <w:t>rain à chaque société. Les Droits de l’homme universels « n’imposent pas non plus une norme culturelle… ou  un impérialisme culturel d’une région ou d’un ensemble de traditions données »</w:t>
      </w:r>
      <w:r>
        <w:rPr>
          <w:iCs/>
          <w:lang w:eastAsia="en-CA"/>
        </w:rPr>
        <w:t> </w:t>
      </w:r>
      <w:r>
        <w:rPr>
          <w:rStyle w:val="Appelnotedebasdep"/>
          <w:iCs/>
          <w:lang w:eastAsia="en-CA"/>
        </w:rPr>
        <w:footnoteReference w:id="405"/>
      </w:r>
      <w:r w:rsidRPr="00541ED2">
        <w:rPr>
          <w:iCs/>
          <w:lang w:eastAsia="en-CA"/>
        </w:rPr>
        <w:t>. Tous les te</w:t>
      </w:r>
      <w:r w:rsidRPr="00541ED2">
        <w:rPr>
          <w:iCs/>
          <w:lang w:eastAsia="en-CA"/>
        </w:rPr>
        <w:t>x</w:t>
      </w:r>
      <w:r w:rsidRPr="00541ED2">
        <w:rPr>
          <w:iCs/>
          <w:lang w:eastAsia="en-CA"/>
        </w:rPr>
        <w:t>tes universels qui s’ensuivent reconnaissent ce droit essentiel à la vie d’un peuple. La ratification en 2001 de la Déclaration universelle de l’UNESCO sur la diversité culturelle vient soutenir aussi les pri</w:t>
      </w:r>
      <w:r w:rsidRPr="00541ED2">
        <w:rPr>
          <w:iCs/>
          <w:lang w:eastAsia="en-CA"/>
        </w:rPr>
        <w:t>n</w:t>
      </w:r>
      <w:r w:rsidRPr="00541ED2">
        <w:rPr>
          <w:iCs/>
          <w:lang w:eastAsia="en-CA"/>
        </w:rPr>
        <w:t>cipes de la diversité</w:t>
      </w:r>
      <w:r>
        <w:rPr>
          <w:iCs/>
          <w:lang w:eastAsia="en-CA"/>
        </w:rPr>
        <w:t xml:space="preserve"> [122]</w:t>
      </w:r>
      <w:r w:rsidRPr="00541ED2">
        <w:rPr>
          <w:iCs/>
          <w:lang w:eastAsia="en-CA"/>
        </w:rPr>
        <w:t xml:space="preserve"> culturelle et de l’exercice des droits cult</w:t>
      </w:r>
      <w:r w:rsidRPr="00541ED2">
        <w:rPr>
          <w:iCs/>
          <w:lang w:eastAsia="en-CA"/>
        </w:rPr>
        <w:t>u</w:t>
      </w:r>
      <w:r w:rsidRPr="00541ED2">
        <w:rPr>
          <w:iCs/>
          <w:lang w:eastAsia="en-CA"/>
        </w:rPr>
        <w:t>rels</w:t>
      </w:r>
      <w:r>
        <w:rPr>
          <w:iCs/>
          <w:lang w:eastAsia="en-CA"/>
        </w:rPr>
        <w:t> </w:t>
      </w:r>
      <w:r>
        <w:rPr>
          <w:rStyle w:val="Appelnotedebasdep"/>
          <w:iCs/>
          <w:lang w:eastAsia="en-CA"/>
        </w:rPr>
        <w:footnoteReference w:id="406"/>
      </w:r>
      <w:r w:rsidRPr="00541ED2">
        <w:rPr>
          <w:iCs/>
          <w:lang w:eastAsia="en-CA"/>
        </w:rPr>
        <w:t xml:space="preserve">. Aussi </w:t>
      </w:r>
      <w:r w:rsidRPr="00E8358C">
        <w:rPr>
          <w:iCs/>
          <w:lang w:eastAsia="en-CA"/>
        </w:rPr>
        <w:t>« revient-il à chaque État, dans le respect de ses obligations i</w:t>
      </w:r>
      <w:r w:rsidRPr="00E8358C">
        <w:rPr>
          <w:iCs/>
          <w:lang w:eastAsia="en-CA"/>
        </w:rPr>
        <w:t>n</w:t>
      </w:r>
      <w:r w:rsidRPr="00E8358C">
        <w:rPr>
          <w:iCs/>
          <w:lang w:eastAsia="en-CA"/>
        </w:rPr>
        <w:t>ternationales, de définir sa politique culturelle et de la mettre en œuvre par les moyens d’action qu’il juge les mieux adaptés, qu’il s’agisse de soutiens opérationnels ou de cadres réglementaires appr</w:t>
      </w:r>
      <w:r w:rsidRPr="00E8358C">
        <w:rPr>
          <w:iCs/>
          <w:lang w:eastAsia="en-CA"/>
        </w:rPr>
        <w:t>o</w:t>
      </w:r>
      <w:r w:rsidRPr="00E8358C">
        <w:rPr>
          <w:iCs/>
          <w:lang w:eastAsia="en-CA"/>
        </w:rPr>
        <w:t>priés »</w:t>
      </w:r>
      <w:r>
        <w:rPr>
          <w:iCs/>
          <w:lang w:eastAsia="en-CA"/>
        </w:rPr>
        <w:t> </w:t>
      </w:r>
      <w:r w:rsidRPr="00E8358C">
        <w:rPr>
          <w:rStyle w:val="Appelnotedebasdep"/>
          <w:iCs/>
          <w:lang w:eastAsia="en-CA"/>
        </w:rPr>
        <w:footnoteReference w:id="407"/>
      </w:r>
      <w:r w:rsidRPr="00E8358C">
        <w:rPr>
          <w:iCs/>
          <w:lang w:eastAsia="en-CA"/>
        </w:rPr>
        <w:t>. Donc l’indépendance des États est reconnue et garantie sur le plan culturel. Le besoin de contacts et d’échanges culturels entraîne so</w:t>
      </w:r>
      <w:r w:rsidRPr="00E8358C">
        <w:rPr>
          <w:iCs/>
          <w:lang w:eastAsia="en-CA"/>
        </w:rPr>
        <w:t>u</w:t>
      </w:r>
      <w:r w:rsidRPr="00E8358C">
        <w:rPr>
          <w:iCs/>
          <w:lang w:eastAsia="en-CA"/>
        </w:rPr>
        <w:t xml:space="preserve">vent un sentiment de défense. </w:t>
      </w:r>
    </w:p>
    <w:p w:rsidR="004C50DC" w:rsidRPr="00E8358C" w:rsidRDefault="004C50DC" w:rsidP="004C50DC">
      <w:pPr>
        <w:spacing w:before="120" w:after="120"/>
        <w:jc w:val="both"/>
        <w:rPr>
          <w:lang w:eastAsia="en-CA"/>
        </w:rPr>
      </w:pPr>
      <w:r w:rsidRPr="00E8358C">
        <w:rPr>
          <w:lang w:eastAsia="en-CA"/>
        </w:rPr>
        <w:t xml:space="preserve">Jacques Charpentreau pense que la politique culturelle est </w:t>
      </w:r>
      <w:r w:rsidRPr="00E8358C">
        <w:rPr>
          <w:iCs/>
          <w:lang w:eastAsia="en-CA"/>
        </w:rPr>
        <w:t>« une conduite calculée (aux fins) d’arriver à un but particulier »</w:t>
      </w:r>
      <w:r>
        <w:rPr>
          <w:iCs/>
          <w:lang w:eastAsia="en-CA"/>
        </w:rPr>
        <w:t> </w:t>
      </w:r>
      <w:r>
        <w:rPr>
          <w:rStyle w:val="Appelnotedebasdep"/>
          <w:iCs/>
          <w:lang w:eastAsia="en-CA"/>
        </w:rPr>
        <w:footnoteReference w:id="408"/>
      </w:r>
      <w:r w:rsidRPr="00E8358C">
        <w:rPr>
          <w:lang w:eastAsia="en-CA"/>
        </w:rPr>
        <w:t>. Ici le but devient le vecteur des résultats escomptés. Quand il ne tient pas com</w:t>
      </w:r>
      <w:r w:rsidRPr="00E8358C">
        <w:rPr>
          <w:lang w:eastAsia="en-CA"/>
        </w:rPr>
        <w:t>p</w:t>
      </w:r>
      <w:r w:rsidRPr="00E8358C">
        <w:rPr>
          <w:lang w:eastAsia="en-CA"/>
        </w:rPr>
        <w:t>te des aspirations sociales et des réalités historiques, il se heurte à des résistances sur le plan interne. Souvent, les conséquences sapent ce</w:t>
      </w:r>
      <w:r w:rsidRPr="00E8358C">
        <w:rPr>
          <w:lang w:eastAsia="en-CA"/>
        </w:rPr>
        <w:t>r</w:t>
      </w:r>
      <w:r w:rsidRPr="00E8358C">
        <w:rPr>
          <w:lang w:eastAsia="en-CA"/>
        </w:rPr>
        <w:t>tains éléments de l’identité culturelle ou contrefont des caractères or</w:t>
      </w:r>
      <w:r w:rsidRPr="00E8358C">
        <w:rPr>
          <w:lang w:eastAsia="en-CA"/>
        </w:rPr>
        <w:t>i</w:t>
      </w:r>
      <w:r w:rsidRPr="00E8358C">
        <w:rPr>
          <w:lang w:eastAsia="en-CA"/>
        </w:rPr>
        <w:t xml:space="preserve">ginaux essentiels à des pratiques culturelles. </w:t>
      </w:r>
    </w:p>
    <w:p w:rsidR="004C50DC" w:rsidRPr="00E8358C" w:rsidRDefault="004C50DC" w:rsidP="004C50DC">
      <w:pPr>
        <w:spacing w:before="120" w:after="120"/>
        <w:jc w:val="both"/>
      </w:pPr>
      <w:r w:rsidRPr="00E8358C">
        <w:rPr>
          <w:lang w:eastAsia="en-CA"/>
        </w:rPr>
        <w:t>La référence à la « politique culturelle » apparaît comme une obl</w:t>
      </w:r>
      <w:r w:rsidRPr="00E8358C">
        <w:rPr>
          <w:lang w:eastAsia="en-CA"/>
        </w:rPr>
        <w:t>i</w:t>
      </w:r>
      <w:r w:rsidRPr="00E8358C">
        <w:rPr>
          <w:lang w:eastAsia="en-CA"/>
        </w:rPr>
        <w:t>gation étatique pour rendre la culture accessible à tous et pour répo</w:t>
      </w:r>
      <w:r w:rsidRPr="00E8358C">
        <w:rPr>
          <w:lang w:eastAsia="en-CA"/>
        </w:rPr>
        <w:t>n</w:t>
      </w:r>
      <w:r w:rsidRPr="00E8358C">
        <w:rPr>
          <w:lang w:eastAsia="en-CA"/>
        </w:rPr>
        <w:t>dre aux multiples attentes des citoyens en mobilisant des compétences humaines et des ressources matérielles propres à une société. Les di</w:t>
      </w:r>
      <w:r w:rsidRPr="00E8358C">
        <w:rPr>
          <w:lang w:eastAsia="en-CA"/>
        </w:rPr>
        <w:t>s</w:t>
      </w:r>
      <w:r w:rsidRPr="00E8358C">
        <w:rPr>
          <w:lang w:eastAsia="en-CA"/>
        </w:rPr>
        <w:t>positions des lois doivent être le reflet des besoins communautaires pour faciliter leur application et la promotion de la culture et du p</w:t>
      </w:r>
      <w:r w:rsidRPr="00E8358C">
        <w:rPr>
          <w:lang w:eastAsia="en-CA"/>
        </w:rPr>
        <w:t>a</w:t>
      </w:r>
      <w:r w:rsidRPr="00E8358C">
        <w:rPr>
          <w:lang w:eastAsia="en-CA"/>
        </w:rPr>
        <w:t>trimoine. Ainsi, l</w:t>
      </w:r>
      <w:r w:rsidRPr="00E8358C">
        <w:rPr>
          <w:bCs/>
        </w:rPr>
        <w:t xml:space="preserve">a démocratisation culturelle semble être </w:t>
      </w:r>
      <w:r w:rsidRPr="00E8358C">
        <w:t xml:space="preserve">la politique dominante en matière de politiques culturelles qui tiennent compte de la sauvegarde d’un patrimoine culturel. </w:t>
      </w:r>
    </w:p>
    <w:p w:rsidR="004C50DC" w:rsidRPr="00E8358C" w:rsidRDefault="004C50DC" w:rsidP="004C50DC">
      <w:pPr>
        <w:spacing w:before="120" w:after="120"/>
        <w:jc w:val="both"/>
      </w:pPr>
      <w:r w:rsidRPr="00E8358C">
        <w:t>Par sa construction même</w:t>
      </w:r>
      <w:r w:rsidRPr="00E8358C">
        <w:rPr>
          <w:lang w:eastAsia="en-CA"/>
        </w:rPr>
        <w:t>, la « </w:t>
      </w:r>
      <w:r w:rsidRPr="00E8358C">
        <w:t>démocratie culturelle » n’aurait pas seulement pour but de faciliter l’accès à la culture, voire de « l’imposer » à tous, mais de reconnaître l’existence des autres cult</w:t>
      </w:r>
      <w:r w:rsidRPr="00E8358C">
        <w:t>u</w:t>
      </w:r>
      <w:r w:rsidRPr="00E8358C">
        <w:t>res dans un autre pays ou entre divers pays, évitant pour cela d’employer l’expression « culture populaire » en opposition à la « culture cultivée »</w:t>
      </w:r>
      <w:r>
        <w:t> </w:t>
      </w:r>
      <w:r>
        <w:rPr>
          <w:rStyle w:val="Appelnotedebasdep"/>
        </w:rPr>
        <w:footnoteReference w:id="409"/>
      </w:r>
      <w:r w:rsidRPr="00E8358C">
        <w:t>. Il ne faut pas</w:t>
      </w:r>
      <w:r>
        <w:t xml:space="preserve"> [123]</w:t>
      </w:r>
      <w:r w:rsidRPr="00E8358C">
        <w:t xml:space="preserve"> non plus chercher une « légitimité »</w:t>
      </w:r>
      <w:r>
        <w:t> </w:t>
      </w:r>
      <w:r>
        <w:rPr>
          <w:rStyle w:val="Appelnotedebasdep"/>
        </w:rPr>
        <w:footnoteReference w:id="410"/>
      </w:r>
      <w:r w:rsidRPr="00E8358C">
        <w:t xml:space="preserve"> culturelle comme le soutient Pierre Bourdieu. Les « classes dominantes » chériraient la « culture savante », « légitime », alors que les classes « dominées » auraient un goût pour la « culture populaire »</w:t>
      </w:r>
      <w:r>
        <w:t> </w:t>
      </w:r>
      <w:r>
        <w:rPr>
          <w:rStyle w:val="Appelnotedebasdep"/>
        </w:rPr>
        <w:footnoteReference w:id="411"/>
      </w:r>
      <w:r w:rsidRPr="00E8358C">
        <w:t>. N’est-il pas nécessaire que la culture soit analysée su</w:t>
      </w:r>
      <w:r w:rsidRPr="00E8358C">
        <w:t>i</w:t>
      </w:r>
      <w:r w:rsidRPr="00E8358C">
        <w:t>vant une vision beaucoup plus large ?</w:t>
      </w:r>
    </w:p>
    <w:p w:rsidR="004C50DC" w:rsidRDefault="004C50DC" w:rsidP="004C50DC">
      <w:pPr>
        <w:spacing w:before="120" w:after="120"/>
        <w:jc w:val="both"/>
      </w:pPr>
      <w:r w:rsidRPr="00E8358C">
        <w:t>Cette vision doit prévoir comment rendre pérenne le contact de la population avec sa culture, comment mettre la culture aussi au service de la population et de son identité. Comme le rappelle Emmanuel Wallon, « le simple fait de mettre une personne au contact d’une œ</w:t>
      </w:r>
      <w:r w:rsidRPr="00E8358C">
        <w:t>u</w:t>
      </w:r>
      <w:r w:rsidRPr="00E8358C">
        <w:t>vre ne signifie pas qu’elle a accédé à cette œuvre et ainsi à la cult</w:t>
      </w:r>
      <w:r w:rsidRPr="00E8358C">
        <w:t>u</w:t>
      </w:r>
      <w:r w:rsidRPr="00E8358C">
        <w:t>re »</w:t>
      </w:r>
      <w:r>
        <w:t> </w:t>
      </w:r>
      <w:r>
        <w:rPr>
          <w:rStyle w:val="Appelnotedebasdep"/>
        </w:rPr>
        <w:footnoteReference w:id="412"/>
      </w:r>
      <w:r w:rsidRPr="00E8358C">
        <w:t>. Les autorités locales et les membres des communautés sont les principaux acteurs publics et privés de la définition des stratégies et de la détermination des activités culturelles. Autrement dit, la décentral</w:t>
      </w:r>
      <w:r w:rsidRPr="00E8358C">
        <w:t>i</w:t>
      </w:r>
      <w:r w:rsidRPr="00E8358C">
        <w:t xml:space="preserve">sation dans la prise de décision en matière de politique culturelle s’avère indispensable. </w:t>
      </w:r>
    </w:p>
    <w:p w:rsidR="004C50DC" w:rsidRPr="00E8358C" w:rsidRDefault="004C50DC" w:rsidP="004C50DC">
      <w:pPr>
        <w:spacing w:before="120" w:after="120"/>
        <w:jc w:val="both"/>
      </w:pPr>
      <w:r>
        <w:br w:type="page"/>
      </w:r>
    </w:p>
    <w:p w:rsidR="004C50DC" w:rsidRDefault="004C50DC" w:rsidP="004C50DC">
      <w:pPr>
        <w:pStyle w:val="a"/>
      </w:pPr>
      <w:bookmarkStart w:id="130" w:name="_Toc406489669"/>
      <w:bookmarkStart w:id="131" w:name="_Toc423347291"/>
      <w:bookmarkStart w:id="132" w:name="_Toc442280469"/>
      <w:r w:rsidRPr="00E8358C">
        <w:t>3.2.1. Politiq</w:t>
      </w:r>
      <w:r>
        <w:t>ues culturelles en Haïti :</w:t>
      </w:r>
      <w:r>
        <w:br/>
      </w:r>
      <w:r w:rsidRPr="00E8358C">
        <w:t>hier et aujourd’hui</w:t>
      </w:r>
      <w:bookmarkEnd w:id="130"/>
      <w:bookmarkEnd w:id="131"/>
      <w:bookmarkEnd w:id="132"/>
    </w:p>
    <w:p w:rsidR="004C50DC" w:rsidRPr="00E8358C" w:rsidRDefault="004C50DC" w:rsidP="004C50DC">
      <w:pPr>
        <w:spacing w:before="120" w:after="120"/>
        <w:jc w:val="both"/>
      </w:pPr>
    </w:p>
    <w:p w:rsidR="004C50DC" w:rsidRDefault="004C50DC" w:rsidP="004C50DC">
      <w:pPr>
        <w:spacing w:before="120" w:after="120"/>
        <w:jc w:val="both"/>
      </w:pPr>
      <w:r w:rsidRPr="00E8358C">
        <w:t>Il est indéniable que les mémoires de l’esclavage dans la société haïtienne sont peu examinées en termes de culture. Cette attitude est le résultat des différentes politiques culturelles qui les ont évacuées dès la création de la nouvelle nation, alors qu’elles constituent un pilier éducatif. En les considérant comme des patrimoines culturels immat</w:t>
      </w:r>
      <w:r w:rsidRPr="00E8358C">
        <w:t>é</w:t>
      </w:r>
      <w:r w:rsidRPr="00E8358C">
        <w:t>riels, elles peuvent contribuer non seulement au vouloir « vivre e</w:t>
      </w:r>
      <w:r w:rsidRPr="00E8358C">
        <w:t>n</w:t>
      </w:r>
      <w:r w:rsidRPr="00E8358C">
        <w:t>semble », mais également à alimenter et à renforcer l’identité du pe</w:t>
      </w:r>
      <w:r w:rsidRPr="00E8358C">
        <w:t>u</w:t>
      </w:r>
      <w:r w:rsidRPr="00E8358C">
        <w:t>ple et à découvrir Haïti. L</w:t>
      </w:r>
      <w:r w:rsidRPr="00E8358C">
        <w:rPr>
          <w:lang w:eastAsia="en-CA"/>
        </w:rPr>
        <w:t xml:space="preserve">es actions gouvernementales haïtiennes en matière culturelle devraient converger vers la </w:t>
      </w:r>
      <w:r w:rsidRPr="00E8358C">
        <w:t xml:space="preserve">protection et la mise en valeur de manière durable du patrimoine national, notamment celui qui concerne le passé colonial esclavagiste. </w:t>
      </w:r>
    </w:p>
    <w:p w:rsidR="004C50DC" w:rsidRPr="00E8358C" w:rsidRDefault="004C50DC" w:rsidP="004C50DC">
      <w:pPr>
        <w:spacing w:before="120" w:after="120"/>
        <w:jc w:val="both"/>
      </w:pPr>
      <w:r>
        <w:t>[124]</w:t>
      </w:r>
    </w:p>
    <w:p w:rsidR="004C50DC" w:rsidRPr="00E8358C" w:rsidRDefault="004C50DC" w:rsidP="004C50DC">
      <w:pPr>
        <w:spacing w:before="120" w:after="120"/>
        <w:jc w:val="both"/>
        <w:rPr>
          <w:lang w:eastAsia="en-CA"/>
        </w:rPr>
      </w:pPr>
      <w:r w:rsidRPr="00E8358C">
        <w:t>L</w:t>
      </w:r>
      <w:r w:rsidRPr="00E8358C">
        <w:rPr>
          <w:lang w:eastAsia="en-CA"/>
        </w:rPr>
        <w:t>es acteurs – les autorités étatiques et la société civile – doivent comprendre aujourd’hui que le patrimoine mémoriel de l’esclavage pourrait être un carburant de la fierté nationale passée, présente et f</w:t>
      </w:r>
      <w:r w:rsidRPr="00E8358C">
        <w:rPr>
          <w:lang w:eastAsia="en-CA"/>
        </w:rPr>
        <w:t>u</w:t>
      </w:r>
      <w:r w:rsidRPr="00E8358C">
        <w:rPr>
          <w:lang w:eastAsia="en-CA"/>
        </w:rPr>
        <w:t>ture. Ce patrimoine pourrait contribuer à défendre ensemble les int</w:t>
      </w:r>
      <w:r w:rsidRPr="00E8358C">
        <w:rPr>
          <w:lang w:eastAsia="en-CA"/>
        </w:rPr>
        <w:t>é</w:t>
      </w:r>
      <w:r w:rsidRPr="00E8358C">
        <w:rPr>
          <w:lang w:eastAsia="en-CA"/>
        </w:rPr>
        <w:t>rêts nationaux. Pour mettre en branle les politiques culturelles, les élus disposent d</w:t>
      </w:r>
      <w:r w:rsidRPr="00E8358C">
        <w:t>e moyens légaux pour mieux développer des programmes en vue d’appuyer conceptuellement et structurellement les collectiv</w:t>
      </w:r>
      <w:r w:rsidRPr="00E8358C">
        <w:t>i</w:t>
      </w:r>
      <w:r w:rsidRPr="00E8358C">
        <w:t xml:space="preserve">tés. Ces réflexions nous permettent </w:t>
      </w:r>
      <w:r w:rsidRPr="00E8358C">
        <w:rPr>
          <w:lang w:eastAsia="en-CA"/>
        </w:rPr>
        <w:t xml:space="preserve">de mieux situer nos propos sur la question de la politique culturelle haïtienne au regard des mémoires de l’esclavage. </w:t>
      </w:r>
    </w:p>
    <w:p w:rsidR="004C50DC" w:rsidRPr="00E8358C" w:rsidRDefault="004C50DC" w:rsidP="004C50DC">
      <w:pPr>
        <w:spacing w:before="120" w:after="120"/>
        <w:jc w:val="both"/>
      </w:pPr>
      <w:r w:rsidRPr="00E8358C">
        <w:t>Dès 1804, les autorités avaient senti la nécessité de conserver les archives du pays. Même si les moyens techniques faisaient défaut à l’époque, un « archiviste d’État »</w:t>
      </w:r>
      <w:r>
        <w:t> </w:t>
      </w:r>
      <w:r>
        <w:rPr>
          <w:rStyle w:val="Appelnotedebasdep"/>
        </w:rPr>
        <w:footnoteReference w:id="413"/>
      </w:r>
      <w:r>
        <w:t xml:space="preserve"> </w:t>
      </w:r>
      <w:r w:rsidRPr="00E8358C">
        <w:t>fut nommé en conséquence. C</w:t>
      </w:r>
      <w:r w:rsidRPr="00E8358C">
        <w:t>e</w:t>
      </w:r>
      <w:r w:rsidRPr="00E8358C">
        <w:t xml:space="preserve">pendant, ce n’est qu’en 1860 que Nicolas Guillaume Fabre Geffrard, alors président de la République (1859-1867), </w:t>
      </w:r>
      <w:r w:rsidRPr="00E8358C">
        <w:rPr>
          <w:lang w:eastAsia="en-CA"/>
        </w:rPr>
        <w:t>ordonna la création du « Dépôt général des Archives d’Haïti » par arrêté présidentiel, ces a</w:t>
      </w:r>
      <w:r w:rsidRPr="00E8358C">
        <w:rPr>
          <w:lang w:eastAsia="en-CA"/>
        </w:rPr>
        <w:t>r</w:t>
      </w:r>
      <w:r w:rsidRPr="00E8358C">
        <w:rPr>
          <w:lang w:eastAsia="en-CA"/>
        </w:rPr>
        <w:t xml:space="preserve">chives ayant pour fonction d’accueillir tous les cinq ans les documents générés par l’administration publique. </w:t>
      </w:r>
    </w:p>
    <w:p w:rsidR="004C50DC" w:rsidRPr="00E8358C" w:rsidRDefault="004C50DC" w:rsidP="004C50DC">
      <w:pPr>
        <w:spacing w:before="120" w:after="120"/>
        <w:jc w:val="both"/>
      </w:pPr>
      <w:r w:rsidRPr="00E8358C">
        <w:t>Les premiers textes de lois haïtiens en matière culturelle et de sa</w:t>
      </w:r>
      <w:r w:rsidRPr="00E8358C">
        <w:t>u</w:t>
      </w:r>
      <w:r w:rsidRPr="00E8358C">
        <w:t>vegarde du patrimoine s’inspirent des lois françaises et remontent à la fin de la troisième décennie du XX</w:t>
      </w:r>
      <w:r w:rsidRPr="00E8358C">
        <w:rPr>
          <w:vertAlign w:val="superscript"/>
        </w:rPr>
        <w:t>e</w:t>
      </w:r>
      <w:r w:rsidRPr="00E8358C">
        <w:t xml:space="preserve"> siècle. La première loi haïtienne ayant fait référence directement aux mesures de protection du patr</w:t>
      </w:r>
      <w:r w:rsidRPr="00E8358C">
        <w:t>i</w:t>
      </w:r>
      <w:r w:rsidRPr="00E8358C">
        <w:t>moine culturel, particulièrement immobilier, date du 26 juillet 1927 et de la présidence de Louis Borno (1922-1930). Cette loi fixe le doma</w:t>
      </w:r>
      <w:r w:rsidRPr="00E8358C">
        <w:t>i</w:t>
      </w:r>
      <w:r w:rsidRPr="00E8358C">
        <w:t>ne public de l’État qui se caractérise par son utilité commune et cadre avec les événements historiques et culturels propres à faire reconnaître le peuple haïtien. Dans ce domaine public sont listés, entre autres, les remparts de place de guerre et de forteresses, les monuments et so</w:t>
      </w:r>
      <w:r w:rsidRPr="00E8358C">
        <w:t>u</w:t>
      </w:r>
      <w:r w:rsidRPr="00E8358C">
        <w:t>venirs historiques qui « ne sont pas susceptibles d’appropriation pr</w:t>
      </w:r>
      <w:r w:rsidRPr="00E8358C">
        <w:t>i</w:t>
      </w:r>
      <w:r w:rsidRPr="00E8358C">
        <w:t>vée ni de prescription ». Cette loi n’a jamais été abrogée et constitue encore une des lois de référence pour délimiter et protéger les patr</w:t>
      </w:r>
      <w:r w:rsidRPr="00E8358C">
        <w:t>i</w:t>
      </w:r>
      <w:r w:rsidRPr="00E8358C">
        <w:t>moines culturels matériels haïtiens.</w:t>
      </w:r>
    </w:p>
    <w:p w:rsidR="004C50DC" w:rsidRPr="00E8358C" w:rsidRDefault="004C50DC" w:rsidP="004C50DC">
      <w:pPr>
        <w:spacing w:before="120" w:after="120"/>
        <w:jc w:val="both"/>
      </w:pPr>
      <w:r w:rsidRPr="00E8358C">
        <w:t>Il fallut attendre l’accession au pouvoir du président Sténio Vi</w:t>
      </w:r>
      <w:r w:rsidRPr="00E8358C">
        <w:t>n</w:t>
      </w:r>
      <w:r w:rsidRPr="00E8358C">
        <w:t>cent (1930-1941) pour que débutent en 1932 les travaux de restaur</w:t>
      </w:r>
      <w:r w:rsidRPr="00E8358C">
        <w:t>a</w:t>
      </w:r>
      <w:r w:rsidRPr="00E8358C">
        <w:t>tion de certains monuments historiques : la</w:t>
      </w:r>
      <w:r>
        <w:t xml:space="preserve"> [125]</w:t>
      </w:r>
      <w:r w:rsidRPr="00E8358C">
        <w:t xml:space="preserve"> Citadelle Henri Christophe, le Palais Sans Souci, le fort Jacques et la forteresse des Platons. Pour renforcer la loi de 1927, et dans le souci de préserver les biens et les sites historiques du pays, Vincent a promulgué la loi du 23 avril 1940 qui porte son nom, la </w:t>
      </w:r>
      <w:r w:rsidRPr="00E8358C">
        <w:rPr>
          <w:i/>
        </w:rPr>
        <w:t>Loi Vincent</w:t>
      </w:r>
      <w:r w:rsidRPr="00E8358C">
        <w:t>, fixant les modalités de désignation, de classement et de protection « des monuments, ruines et souvenirs historiques, des immeubles et des objets mobiliers, des sites et monuments présentant un caractère archéologique, historique et artistique ou autre d’intérêt public »</w:t>
      </w:r>
      <w:r>
        <w:t> </w:t>
      </w:r>
      <w:r w:rsidRPr="00E8358C">
        <w:rPr>
          <w:rStyle w:val="Appelnotedebasdep"/>
        </w:rPr>
        <w:footnoteReference w:id="414"/>
      </w:r>
      <w:r w:rsidRPr="00E8358C">
        <w:t xml:space="preserve">. </w:t>
      </w:r>
    </w:p>
    <w:p w:rsidR="004C50DC" w:rsidRPr="00E8358C" w:rsidRDefault="004C50DC" w:rsidP="004C50DC">
      <w:pPr>
        <w:spacing w:before="120" w:after="120"/>
        <w:jc w:val="both"/>
      </w:pPr>
      <w:r w:rsidRPr="00E8358C">
        <w:t>Deux axes constituent l’essentiel de l’esprit de cette loi. D’abord elle sensibilise les citoyens à la perte des éléments du « Patrimoine sacré de la Nation »</w:t>
      </w:r>
      <w:r>
        <w:t> </w:t>
      </w:r>
      <w:r w:rsidRPr="00E8358C">
        <w:rPr>
          <w:rStyle w:val="Appelnotedebasdep"/>
        </w:rPr>
        <w:footnoteReference w:id="415"/>
      </w:r>
      <w:r w:rsidRPr="00E8358C">
        <w:t xml:space="preserve"> et à la nécessité de les sauvegarder, de les val</w:t>
      </w:r>
      <w:r w:rsidRPr="00E8358C">
        <w:t>o</w:t>
      </w:r>
      <w:r w:rsidRPr="00E8358C">
        <w:t>riser et de développer des stratégies pouvant permettre leur intégration dans un programme de développement du tourisme. Ce « Patrimoine sacré de la Nation » est constitué des monuments historiques, des s</w:t>
      </w:r>
      <w:r w:rsidRPr="00E8358C">
        <w:t>i</w:t>
      </w:r>
      <w:r w:rsidRPr="00E8358C">
        <w:t>tes, des biens meubles et immeubles, des objets et pratiques qui f</w:t>
      </w:r>
      <w:r w:rsidRPr="00E8358C">
        <w:t>a</w:t>
      </w:r>
      <w:r w:rsidRPr="00E8358C">
        <w:t>çonnent la culture, l’identité et charrient la fierté haïtienne. Ces cadres du patrimoine historique et mémoriel sont considérés comme des s</w:t>
      </w:r>
      <w:r w:rsidRPr="00E8358C">
        <w:t>o</w:t>
      </w:r>
      <w:r w:rsidRPr="00E8358C">
        <w:t>cles de la grandeur des futures générations. La nature des sites et des monuments conservés démontre une fois de plus que l’esclavage en tant que système colonial et ses conséquences dans la société haïtie</w:t>
      </w:r>
      <w:r w:rsidRPr="00E8358C">
        <w:t>n</w:t>
      </w:r>
      <w:r w:rsidRPr="00E8358C">
        <w:t>ne sont évacués en partie. Les hauts lieux historiques du passé col</w:t>
      </w:r>
      <w:r w:rsidRPr="00E8358C">
        <w:t>o</w:t>
      </w:r>
      <w:r w:rsidRPr="00E8358C">
        <w:t>nial et les pratiques culturelles qui témoignent de la résistance à l’esclavage sont les seuls à pouvoir être considérés suivant l’esprit de cette loi, car il s’agit de faire la promotion de la grandeur haïtienne et de la conserver.</w:t>
      </w:r>
    </w:p>
    <w:p w:rsidR="004C50DC" w:rsidRPr="00E8358C" w:rsidRDefault="004C50DC" w:rsidP="004C50DC">
      <w:pPr>
        <w:spacing w:before="120" w:after="120"/>
        <w:jc w:val="both"/>
      </w:pPr>
      <w:r w:rsidRPr="00E8358C">
        <w:t xml:space="preserve">La </w:t>
      </w:r>
      <w:r w:rsidRPr="00E8358C">
        <w:rPr>
          <w:i/>
        </w:rPr>
        <w:t>Loi Vincent</w:t>
      </w:r>
      <w:r w:rsidRPr="00E8358C">
        <w:t xml:space="preserve"> complète le décret de </w:t>
      </w:r>
      <w:r w:rsidRPr="00E8358C">
        <w:rPr>
          <w:lang w:eastAsia="en-CA"/>
        </w:rPr>
        <w:t>1938 qui autorise la constru</w:t>
      </w:r>
      <w:r w:rsidRPr="00E8358C">
        <w:rPr>
          <w:lang w:eastAsia="en-CA"/>
        </w:rPr>
        <w:t>c</w:t>
      </w:r>
      <w:r w:rsidRPr="00E8358C">
        <w:rPr>
          <w:lang w:eastAsia="en-CA"/>
        </w:rPr>
        <w:t xml:space="preserve">tion de la Bibliothèque nationale et du Musée national. </w:t>
      </w:r>
      <w:r w:rsidRPr="00E8358C">
        <w:t>Pour la pr</w:t>
      </w:r>
      <w:r w:rsidRPr="00E8358C">
        <w:t>e</w:t>
      </w:r>
      <w:r w:rsidRPr="00E8358C">
        <w:t>mière fois</w:t>
      </w:r>
      <w:r w:rsidRPr="00E8358C">
        <w:rPr>
          <w:lang w:eastAsia="en-CA"/>
        </w:rPr>
        <w:t xml:space="preserve"> en Haïti, les autorités étatiques faisaient montre de leurs intentions d’inventorier des éléments du patrimoine immatériel haïtien et de les mettre au service de l’éducation de la population. </w:t>
      </w:r>
      <w:r w:rsidRPr="00E8358C">
        <w:t>Toutefois, en se limitant trop à l’immobilier, elle laissait de côté l’aspect immat</w:t>
      </w:r>
      <w:r w:rsidRPr="00E8358C">
        <w:t>é</w:t>
      </w:r>
      <w:r w:rsidRPr="00E8358C">
        <w:t>riel (mémoriel) qui accompagne le matériel et lui donne son sens p</w:t>
      </w:r>
      <w:r w:rsidRPr="00E8358C">
        <w:t>a</w:t>
      </w:r>
      <w:r w:rsidRPr="00E8358C">
        <w:t>trimonial. Autre lacune, il manquait, pour mettre effectivement en œuvre le décret, les institutions compétentes ayant des ressources</w:t>
      </w:r>
      <w:r>
        <w:t xml:space="preserve"> [126]</w:t>
      </w:r>
      <w:r w:rsidRPr="00E8358C">
        <w:t xml:space="preserve"> humaines qualifiées. </w:t>
      </w:r>
    </w:p>
    <w:p w:rsidR="004C50DC" w:rsidRPr="00E8358C" w:rsidRDefault="004C50DC" w:rsidP="004C50DC">
      <w:pPr>
        <w:spacing w:before="120" w:after="120"/>
        <w:jc w:val="both"/>
        <w:rPr>
          <w:lang w:eastAsia="en-CA"/>
        </w:rPr>
      </w:pPr>
      <w:r w:rsidRPr="00E8358C">
        <w:rPr>
          <w:lang w:eastAsia="en-CA"/>
        </w:rPr>
        <w:t>L’éducation par la culture a été l’un des thèmes prioritaires sout</w:t>
      </w:r>
      <w:r w:rsidRPr="00E8358C">
        <w:rPr>
          <w:lang w:eastAsia="en-CA"/>
        </w:rPr>
        <w:t>e</w:t>
      </w:r>
      <w:r w:rsidRPr="00E8358C">
        <w:rPr>
          <w:lang w:eastAsia="en-CA"/>
        </w:rPr>
        <w:t>nus dans un contexte « post-occupation américaine » où la revendic</w:t>
      </w:r>
      <w:r w:rsidRPr="00E8358C">
        <w:rPr>
          <w:lang w:eastAsia="en-CA"/>
        </w:rPr>
        <w:t>a</w:t>
      </w:r>
      <w:r w:rsidRPr="00E8358C">
        <w:rPr>
          <w:lang w:eastAsia="en-CA"/>
        </w:rPr>
        <w:t>tion de l’appartenance à la culture africaine constituait un phare ide</w:t>
      </w:r>
      <w:r w:rsidRPr="00E8358C">
        <w:rPr>
          <w:lang w:eastAsia="en-CA"/>
        </w:rPr>
        <w:t>n</w:t>
      </w:r>
      <w:r w:rsidRPr="00E8358C">
        <w:rPr>
          <w:lang w:eastAsia="en-CA"/>
        </w:rPr>
        <w:t>titaire national. Ce fut le principal outil de résistance face aux o</w:t>
      </w:r>
      <w:r w:rsidRPr="00E8358C">
        <w:rPr>
          <w:lang w:eastAsia="en-CA"/>
        </w:rPr>
        <w:t>c</w:t>
      </w:r>
      <w:r w:rsidRPr="00E8358C">
        <w:rPr>
          <w:lang w:eastAsia="en-CA"/>
        </w:rPr>
        <w:t>cupants. Les élites politiques et intellectuelles qui, par le passé, d</w:t>
      </w:r>
      <w:r w:rsidRPr="00E8358C">
        <w:rPr>
          <w:lang w:eastAsia="en-CA"/>
        </w:rPr>
        <w:t>é</w:t>
      </w:r>
      <w:r w:rsidRPr="00E8358C">
        <w:rPr>
          <w:lang w:eastAsia="en-CA"/>
        </w:rPr>
        <w:t>nonçaient la culture française, la préféraient aux Américains. C’était une stratégie de lutte. D’ailleurs, le français était considéré comme une langue nationale et officielle faisant partie du patrimoine lingui</w:t>
      </w:r>
      <w:r w:rsidRPr="00E8358C">
        <w:rPr>
          <w:lang w:eastAsia="en-CA"/>
        </w:rPr>
        <w:t>s</w:t>
      </w:r>
      <w:r w:rsidRPr="00E8358C">
        <w:rPr>
          <w:lang w:eastAsia="en-CA"/>
        </w:rPr>
        <w:t>tique haïtien.</w:t>
      </w:r>
    </w:p>
    <w:p w:rsidR="004C50DC" w:rsidRPr="00792DC7" w:rsidRDefault="004C50DC" w:rsidP="004C50DC">
      <w:pPr>
        <w:spacing w:before="120" w:after="120"/>
        <w:jc w:val="both"/>
      </w:pPr>
      <w:r w:rsidRPr="00E8358C">
        <w:rPr>
          <w:lang w:eastAsia="en-CA"/>
        </w:rPr>
        <w:t xml:space="preserve">Plus tard, en 1941, le président </w:t>
      </w:r>
      <w:r w:rsidRPr="00E8358C">
        <w:t xml:space="preserve">Élie Lescot (1941-1946) dans un décret-loi, a statué sur les « richesses culturelles populaires » et leur protection. Cette décision politique a été fortement influencée par les intellectuels de la mouvance indigéniste haïtienne qui valorisaient la résistance des Haïtiens à travers la culture populaire dite orale (les contes, les pratiques cultuelles, les légendes issues de l’esclavage). </w:t>
      </w:r>
      <w:r w:rsidRPr="00792DC7">
        <w:t>L’esprit du décret-loi devait permettre aux masses paysannes de s’affirmer à travers leurs pratiques culturelles et cultuelles. Malhe</w:t>
      </w:r>
      <w:r w:rsidRPr="00792DC7">
        <w:t>u</w:t>
      </w:r>
      <w:r w:rsidRPr="00792DC7">
        <w:t xml:space="preserve">reusement, ce texte n’a pas pu empêcher l’isolement du monde paysan et de sa culture. </w:t>
      </w:r>
    </w:p>
    <w:p w:rsidR="004C50DC" w:rsidRPr="00E8358C" w:rsidRDefault="004C50DC" w:rsidP="004C50DC">
      <w:pPr>
        <w:spacing w:before="120" w:after="120"/>
        <w:jc w:val="both"/>
      </w:pPr>
      <w:r w:rsidRPr="00E8358C">
        <w:t>La même année fut promulgué le décret-loi du 10 novembre 1941 instituant la création du Bureau national d’Ethnologie (BNE). Cette institution a pour mission d’identifier, de rassembler et de conserver les objets archéologiques trouvés en territoire haïtien. Elle est chargée aussi de constituer une source précieuse pour les études de reconstit</w:t>
      </w:r>
      <w:r w:rsidRPr="00E8358C">
        <w:t>u</w:t>
      </w:r>
      <w:r w:rsidRPr="00E8358C">
        <w:t>tion de l’histoire et de la culture des peuples ayant habité l’île, et d’entreprendre des études sur la société et la culture haïtiennes en vue d’une meilleure compréhension de l’homme haïtien. Les publications du BNE matérialisent les dispositions du décret. À travers ses public</w:t>
      </w:r>
      <w:r w:rsidRPr="00E8358C">
        <w:t>a</w:t>
      </w:r>
      <w:r w:rsidRPr="00E8358C">
        <w:t>tions scientifiques, le BNE traite un ensemble de sujets qui relèvent de la culture et de l’identité haïtiennes (vodou, musique, danse, traces du passé colonial esclavagiste, etc.) qui alimentent l’ethnologie haïtienne. Le Bureau a été créé pour « étudier et défendre la</w:t>
      </w:r>
      <w:r>
        <w:t xml:space="preserve"> [127]</w:t>
      </w:r>
      <w:r w:rsidRPr="00E8358C">
        <w:t xml:space="preserve"> culture pop</w:t>
      </w:r>
      <w:r w:rsidRPr="00E8358C">
        <w:t>u</w:t>
      </w:r>
      <w:r w:rsidRPr="00E8358C">
        <w:t>laire »</w:t>
      </w:r>
      <w:r>
        <w:t> </w:t>
      </w:r>
      <w:r w:rsidRPr="00E8358C">
        <w:rPr>
          <w:rStyle w:val="Appelnotedebasdep"/>
        </w:rPr>
        <w:footnoteReference w:id="416"/>
      </w:r>
      <w:r w:rsidRPr="00E8358C">
        <w:t>. Dans cette démarche, il conférait la prédominance à « l’apport africain, contrairement à la définition des classes domina</w:t>
      </w:r>
      <w:r w:rsidRPr="00E8358C">
        <w:t>n</w:t>
      </w:r>
      <w:r w:rsidRPr="00E8358C">
        <w:t>tes pour qui l’apport européen constituait l’élément essentiel »</w:t>
      </w:r>
      <w:r>
        <w:t> </w:t>
      </w:r>
      <w:r>
        <w:rPr>
          <w:rStyle w:val="Appelnotedebasdep"/>
        </w:rPr>
        <w:footnoteReference w:id="417"/>
      </w:r>
      <w:r w:rsidRPr="00E8358C">
        <w:t>. Bien qu’il y ait eu une récupération idéologique de ses travaux par le go</w:t>
      </w:r>
      <w:r w:rsidRPr="00E8358C">
        <w:t>u</w:t>
      </w:r>
      <w:r w:rsidRPr="00E8358C">
        <w:t>vernement de François Duvalier, le BNE demeure l’institution état</w:t>
      </w:r>
      <w:r w:rsidRPr="00E8358C">
        <w:t>i</w:t>
      </w:r>
      <w:r w:rsidRPr="00E8358C">
        <w:t xml:space="preserve">que qui a pour la première fois manifesté de l’intérêt pour la culture populaire. </w:t>
      </w:r>
    </w:p>
    <w:p w:rsidR="004C50DC" w:rsidRPr="00E8358C" w:rsidRDefault="004C50DC" w:rsidP="004C50DC">
      <w:pPr>
        <w:spacing w:before="120" w:after="120"/>
        <w:jc w:val="both"/>
      </w:pPr>
      <w:r w:rsidRPr="00E8358C">
        <w:t>Le président Jean Dumarsais Estimé (1946-1950) avait proposé la ville de Port-au-Prince, qui commémorait le bicentenaire de sa fond</w:t>
      </w:r>
      <w:r w:rsidRPr="00E8358C">
        <w:t>a</w:t>
      </w:r>
      <w:r w:rsidRPr="00E8358C">
        <w:t>tion (1749) par les Français durant la colonisation de Saint-Domingue, pour accueillir en 1949 « l’Exposition internationale du bicentenaire de Port-au-Prince »</w:t>
      </w:r>
      <w:r w:rsidRPr="00792DC7">
        <w:footnoteReference w:id="418"/>
      </w:r>
      <w:r w:rsidRPr="00792DC7">
        <w:t xml:space="preserve">. </w:t>
      </w:r>
      <w:r w:rsidRPr="00E8358C">
        <w:t>Cette exposition universelle s’est déroulée entre le 1</w:t>
      </w:r>
      <w:r w:rsidRPr="00E8358C">
        <w:rPr>
          <w:vertAlign w:val="superscript"/>
        </w:rPr>
        <w:t>er</w:t>
      </w:r>
      <w:r w:rsidRPr="00E8358C">
        <w:t xml:space="preserve"> décembre 1949 et le8 juin 1950. L’idée d’une ville mode</w:t>
      </w:r>
      <w:r w:rsidRPr="00E8358C">
        <w:t>r</w:t>
      </w:r>
      <w:r w:rsidRPr="00E8358C">
        <w:t>ne, culturelle, la défense et la promotion de la langue française reco</w:t>
      </w:r>
      <w:r w:rsidRPr="00E8358C">
        <w:t>n</w:t>
      </w:r>
      <w:r w:rsidRPr="00E8358C">
        <w:t>nue comme un héritage du passé colonial esclavagiste, et la richesse p</w:t>
      </w:r>
      <w:r w:rsidRPr="00E8358C">
        <w:t>a</w:t>
      </w:r>
      <w:r w:rsidRPr="00E8358C">
        <w:t>trimoniale d’Haïti faisaient partie des buts fixés par Dumarsais Est</w:t>
      </w:r>
      <w:r w:rsidRPr="00E8358C">
        <w:t>i</w:t>
      </w:r>
      <w:r w:rsidRPr="00E8358C">
        <w:t xml:space="preserve">mé. </w:t>
      </w:r>
    </w:p>
    <w:p w:rsidR="004C50DC" w:rsidRPr="00E8358C" w:rsidRDefault="004C50DC" w:rsidP="004C50DC">
      <w:pPr>
        <w:spacing w:before="120" w:after="120"/>
        <w:jc w:val="both"/>
      </w:pPr>
      <w:r w:rsidRPr="00E8358C">
        <w:t>Le président Paul Eugène Magloire (1950-1956) avait aussi enco</w:t>
      </w:r>
      <w:r w:rsidRPr="00E8358C">
        <w:t>u</w:t>
      </w:r>
      <w:r w:rsidRPr="00E8358C">
        <w:t>ragé les actions visant à sauvegarder, à classer et à mettre en valeur les monuments historiques ayant un intérêt collectif. Dans la pratique, ces encouragements n’ont pas eu effet puisque les structures de gestion faisaient défaut. En 1972, la création du Service national des sites et monuments, organisme privé subventionné par l’État, vient confirmer la volonté des autorités étatiques de se joindre au secteur privé pour favoriser la mise en valeur du patrimoine national. C’est le début d’une prise de conscience de la nécessité de joindre les actions état</w:t>
      </w:r>
      <w:r w:rsidRPr="00E8358C">
        <w:t>i</w:t>
      </w:r>
      <w:r w:rsidRPr="00E8358C">
        <w:t xml:space="preserve">ques à celles de la société civile. </w:t>
      </w:r>
    </w:p>
    <w:p w:rsidR="004C50DC" w:rsidRPr="00E8358C" w:rsidRDefault="004C50DC" w:rsidP="004C50DC">
      <w:pPr>
        <w:spacing w:before="120" w:after="120"/>
        <w:jc w:val="both"/>
      </w:pPr>
      <w:r w:rsidRPr="00E8358C">
        <w:t>Le décret du 29 mars 1979 marque un tournant décisif pour l’État haïtien vers la matérialisation des étapes de l’élaboration d’une polit</w:t>
      </w:r>
      <w:r w:rsidRPr="00E8358C">
        <w:t>i</w:t>
      </w:r>
      <w:r w:rsidRPr="00E8358C">
        <w:t xml:space="preserve">que culturelle en réformant le Service de conservation des monuments et des sites par la création de l’Institut de </w:t>
      </w:r>
      <w:r>
        <w:t xml:space="preserve">[128] </w:t>
      </w:r>
      <w:r w:rsidRPr="00E8358C">
        <w:t>sauvegarde du patr</w:t>
      </w:r>
      <w:r w:rsidRPr="00E8358C">
        <w:t>i</w:t>
      </w:r>
      <w:r w:rsidRPr="00E8358C">
        <w:t>moine national (ISPAN)</w:t>
      </w:r>
      <w:r>
        <w:t> </w:t>
      </w:r>
      <w:r>
        <w:rPr>
          <w:rStyle w:val="Appelnotedebasdep"/>
        </w:rPr>
        <w:footnoteReference w:id="419"/>
      </w:r>
      <w:r w:rsidRPr="00E8358C">
        <w:t>. Depuis sa création, l’ISPAN continue de se confronter à des problèmes d’ordre organisationnel et financier qui sapent les efforts qui ont été fournis. Selon Henry Robert Jolibois, d</w:t>
      </w:r>
      <w:r w:rsidRPr="00E8358C">
        <w:t>i</w:t>
      </w:r>
      <w:r w:rsidRPr="00E8358C">
        <w:t>recteur de l’ISPAN (2012), le problème de l’autonomie financière et de ressources humaines freine les initiatives de l’ISPAN pour arriver à se construire un plan d’urgence et porter les partenaires étatiques ha</w:t>
      </w:r>
      <w:r w:rsidRPr="00E8358C">
        <w:t>ï</w:t>
      </w:r>
      <w:r w:rsidRPr="00E8358C">
        <w:t>tiens (ministère de la Culture, ministère du Tourisme, Bureau national d’Ethnologie…) et internationaux (PNUD, UNESCO) à intégrer le Patrimoine au développement durable, comme en témoigne le constat suivant.</w:t>
      </w:r>
    </w:p>
    <w:p w:rsidR="004C50DC" w:rsidRDefault="004C50DC" w:rsidP="004C50DC">
      <w:pPr>
        <w:pStyle w:val="Citation0"/>
      </w:pPr>
    </w:p>
    <w:p w:rsidR="004C50DC" w:rsidRDefault="004C50DC" w:rsidP="004C50DC">
      <w:pPr>
        <w:pStyle w:val="Citation0"/>
      </w:pPr>
      <w:r w:rsidRPr="00E8358C">
        <w:t>Aujourd’hui, il serait souhaitable que l’ISPAN change de statut j</w:t>
      </w:r>
      <w:r w:rsidRPr="00E8358C">
        <w:t>u</w:t>
      </w:r>
      <w:r w:rsidRPr="00E8358C">
        <w:t>ridique pour être plus autonome financièrement en devenant, par exemple, une compagnie publique autonome, administrée par un conseil d’administration et un conseil scientifique. Le budget de l’ISPAN est a</w:t>
      </w:r>
      <w:r w:rsidRPr="00E8358C">
        <w:t>u</w:t>
      </w:r>
      <w:r w:rsidRPr="00E8358C">
        <w:t>jourd’hui insuffisant, il faudrait développer des recettes propres en faisant par exemple payer l’accès aux monuments nati</w:t>
      </w:r>
      <w:r w:rsidRPr="00E8358C">
        <w:t>o</w:t>
      </w:r>
      <w:r w:rsidRPr="00E8358C">
        <w:t>naux et en développant la recherche de financements et ainsi avoir les moyens de notre politique de protection et de mise en valeur du patrimoine. […] L’ISPAN a joué un r</w:t>
      </w:r>
      <w:r w:rsidRPr="00E8358C">
        <w:t>ô</w:t>
      </w:r>
      <w:r w:rsidRPr="00E8358C">
        <w:t>le important dans le sauvetage et un rôle de coordinateur</w:t>
      </w:r>
      <w:r>
        <w:t> </w:t>
      </w:r>
      <w:r>
        <w:rPr>
          <w:rStyle w:val="Appelnotedebasdep"/>
        </w:rPr>
        <w:footnoteReference w:id="420"/>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Dans la même veine, Ginette Chérubin, architecte, identifie d’autres raisons qui handicapent le travail de l’ISPAN et affectent pr</w:t>
      </w:r>
      <w:r w:rsidRPr="00E8358C">
        <w:t>o</w:t>
      </w:r>
      <w:r w:rsidRPr="00E8358C">
        <w:t>fondément la sauvegarde du patrimoine en Haïti. Depuis bien des a</w:t>
      </w:r>
      <w:r w:rsidRPr="00E8358C">
        <w:t>n</w:t>
      </w:r>
      <w:r w:rsidRPr="00E8358C">
        <w:t>nées, le désir chez les gouvernements de conserver les mêmes prat</w:t>
      </w:r>
      <w:r w:rsidRPr="00E8358C">
        <w:t>i</w:t>
      </w:r>
      <w:r w:rsidRPr="00E8358C">
        <w:t>ques de népotisme dans le secteur public, le non-renouvellement et la démotivation du personnel s’ajoutant à l’absence de civisme, le ma</w:t>
      </w:r>
      <w:r w:rsidRPr="00E8358C">
        <w:t>n</w:t>
      </w:r>
      <w:r w:rsidRPr="00E8358C">
        <w:t>que de volonté réelle de l’État haïtien d’appuyer les efforts pour ass</w:t>
      </w:r>
      <w:r w:rsidRPr="00E8358C">
        <w:t>u</w:t>
      </w:r>
      <w:r w:rsidRPr="00E8358C">
        <w:t>rer la relève par des jeunes dévoués, dynamiques et compétents ne facilitent pas la bonne gestion du patrimoine culturel matériel. Mad</w:t>
      </w:r>
      <w:r w:rsidRPr="00E8358C">
        <w:t>a</w:t>
      </w:r>
      <w:r w:rsidRPr="00E8358C">
        <w:t xml:space="preserve">me Chérubin ne manque pas d’exprimer ses inquiétudes : </w:t>
      </w:r>
    </w:p>
    <w:p w:rsidR="004C50DC" w:rsidRPr="00E8358C" w:rsidRDefault="004C50DC" w:rsidP="004C50DC">
      <w:pPr>
        <w:spacing w:before="120" w:after="120"/>
        <w:jc w:val="both"/>
        <w:rPr>
          <w:szCs w:val="22"/>
          <w:lang w:eastAsia="en-CA"/>
        </w:rPr>
      </w:pPr>
      <w:r w:rsidRPr="00E8358C">
        <w:rPr>
          <w:szCs w:val="22"/>
          <w:lang w:eastAsia="en-CA"/>
        </w:rPr>
        <w:t>La peur des changements et la tolérance générale ont trop lon</w:t>
      </w:r>
      <w:r w:rsidRPr="00E8358C">
        <w:rPr>
          <w:szCs w:val="22"/>
          <w:lang w:eastAsia="en-CA"/>
        </w:rPr>
        <w:t>g</w:t>
      </w:r>
      <w:r w:rsidRPr="00E8358C">
        <w:rPr>
          <w:szCs w:val="22"/>
          <w:lang w:eastAsia="en-CA"/>
        </w:rPr>
        <w:t>temps prévalu dans le secteur public. […] La gestion du patrimoine expérimente, par-dessus tout, une absence de nerf moteur. Où est-elle la réponse aujourd’hui ? La relève fait défaut et l’État ne suit pas : i</w:t>
      </w:r>
      <w:r w:rsidRPr="00E8358C">
        <w:rPr>
          <w:szCs w:val="22"/>
          <w:lang w:eastAsia="en-CA"/>
        </w:rPr>
        <w:t>m</w:t>
      </w:r>
      <w:r w:rsidRPr="00E8358C">
        <w:rPr>
          <w:szCs w:val="22"/>
          <w:lang w:eastAsia="en-CA"/>
        </w:rPr>
        <w:t>préparation, médiocrité, manque d’intérêt, absence de dévouement civique</w:t>
      </w:r>
      <w:r>
        <w:rPr>
          <w:szCs w:val="22"/>
          <w:lang w:eastAsia="en-CA"/>
        </w:rPr>
        <w:t xml:space="preserve"> [129]</w:t>
      </w:r>
      <w:r w:rsidRPr="00E8358C">
        <w:rPr>
          <w:szCs w:val="22"/>
          <w:lang w:eastAsia="en-CA"/>
        </w:rPr>
        <w:t xml:space="preserve"> et de sens du service public, désengagement, démission, manque de vision, manque de passion. La chaîne se brise. J’avoue qu’il y a lieu d’être inquiet</w:t>
      </w:r>
      <w:r>
        <w:rPr>
          <w:szCs w:val="22"/>
          <w:lang w:eastAsia="en-CA"/>
        </w:rPr>
        <w:t> </w:t>
      </w:r>
      <w:r>
        <w:rPr>
          <w:rStyle w:val="Appelnotedebasdep"/>
          <w:szCs w:val="22"/>
          <w:lang w:eastAsia="en-CA"/>
        </w:rPr>
        <w:footnoteReference w:id="421"/>
      </w:r>
      <w:r w:rsidRPr="00E8358C">
        <w:rPr>
          <w:szCs w:val="22"/>
          <w:lang w:eastAsia="en-CA"/>
        </w:rPr>
        <w:t>.</w:t>
      </w:r>
    </w:p>
    <w:p w:rsidR="004C50DC" w:rsidRPr="00E8358C" w:rsidRDefault="004C50DC" w:rsidP="004C50DC">
      <w:pPr>
        <w:spacing w:before="120" w:after="120"/>
        <w:jc w:val="both"/>
      </w:pPr>
      <w:r w:rsidRPr="00E8358C">
        <w:t>L’ISPAN semble être la seule institution active malgré ses diff</w:t>
      </w:r>
      <w:r w:rsidRPr="00E8358C">
        <w:t>i</w:t>
      </w:r>
      <w:r w:rsidRPr="00E8358C">
        <w:t>cultés et son manque de moyens. Des travaux d’inventaire et de cla</w:t>
      </w:r>
      <w:r w:rsidRPr="00E8358C">
        <w:t>s</w:t>
      </w:r>
      <w:r w:rsidRPr="00E8358C">
        <w:t>sement</w:t>
      </w:r>
      <w:r>
        <w:t> </w:t>
      </w:r>
      <w:r>
        <w:rPr>
          <w:rStyle w:val="Appelnotedebasdep"/>
        </w:rPr>
        <w:footnoteReference w:id="422"/>
      </w:r>
      <w:r w:rsidRPr="00E8358C">
        <w:t xml:space="preserve"> ont été également réalisés bien qu’ils touchent surtout le p</w:t>
      </w:r>
      <w:r w:rsidRPr="00E8358C">
        <w:t>a</w:t>
      </w:r>
      <w:r w:rsidRPr="00E8358C">
        <w:t xml:space="preserve">trimoine matériel. </w:t>
      </w:r>
    </w:p>
    <w:p w:rsidR="004C50DC" w:rsidRPr="00E8358C" w:rsidRDefault="004C50DC" w:rsidP="004C50DC">
      <w:pPr>
        <w:spacing w:before="120" w:after="120"/>
        <w:jc w:val="both"/>
      </w:pPr>
      <w:r w:rsidRPr="00E8358C">
        <w:t>La ratification, le 18 janvier 1980, de la Convention pour la prote</w:t>
      </w:r>
      <w:r w:rsidRPr="00E8358C">
        <w:t>c</w:t>
      </w:r>
      <w:r w:rsidRPr="00E8358C">
        <w:t>tion du patrimoine mondial, culturel et naturel de l’UNESCO de 1972 fait obligation à l’État haïtien conformément à l’article 3, « d’identifier et de délimiter les différents biens situés sur son territo</w:t>
      </w:r>
      <w:r w:rsidRPr="00E8358C">
        <w:t>i</w:t>
      </w:r>
      <w:r w:rsidRPr="00E8358C">
        <w:t>re et visés à l’article1</w:t>
      </w:r>
      <w:r w:rsidRPr="00E8358C">
        <w:rPr>
          <w:vertAlign w:val="superscript"/>
        </w:rPr>
        <w:t>er </w:t>
      </w:r>
      <w:r w:rsidRPr="00E8358C">
        <w:t>»</w:t>
      </w:r>
      <w:r>
        <w:t> </w:t>
      </w:r>
      <w:r>
        <w:rPr>
          <w:rStyle w:val="Appelnotedebasdep"/>
        </w:rPr>
        <w:footnoteReference w:id="423"/>
      </w:r>
      <w:r w:rsidRPr="00E8358C">
        <w:t>. Cette convention apporte un nouveau sou</w:t>
      </w:r>
      <w:r w:rsidRPr="00E8358C">
        <w:t>f</w:t>
      </w:r>
      <w:r w:rsidRPr="00E8358C">
        <w:t>fle, une nouvelle capacité légale d’intervention aux institutions patr</w:t>
      </w:r>
      <w:r w:rsidRPr="00E8358C">
        <w:t>i</w:t>
      </w:r>
      <w:r w:rsidRPr="00E8358C">
        <w:t>moniales et culturelles en Haïti. Le Parc national historique et ses sites historiques (Citadelle Henri, Palais Sans Souci, site des R</w:t>
      </w:r>
      <w:r w:rsidRPr="00E8358C">
        <w:t>a</w:t>
      </w:r>
      <w:r w:rsidRPr="00E8358C">
        <w:t>miers…) ont été inventoriés, délimités, classés et restaurés par l’ISPAN en a</w:t>
      </w:r>
      <w:r w:rsidRPr="00E8358C">
        <w:t>p</w:t>
      </w:r>
      <w:r w:rsidRPr="00E8358C">
        <w:t xml:space="preserve">plication de cette convention.  </w:t>
      </w:r>
    </w:p>
    <w:p w:rsidR="004C50DC" w:rsidRPr="00E8358C" w:rsidRDefault="004C50DC" w:rsidP="004C50DC">
      <w:pPr>
        <w:spacing w:before="120" w:after="120"/>
        <w:jc w:val="both"/>
      </w:pPr>
      <w:r w:rsidRPr="00E8358C">
        <w:t>Les trois décrets du 22 octobre 1984 marquent le renouveau d’intérêt du président Jean-Claude Duvalier pour le patrimoine ha</w:t>
      </w:r>
      <w:r w:rsidRPr="00E8358C">
        <w:t>ï</w:t>
      </w:r>
      <w:r w:rsidRPr="00E8358C">
        <w:t>tien, en organisant les Archives nationales</w:t>
      </w:r>
      <w:r>
        <w:t> </w:t>
      </w:r>
      <w:r>
        <w:rPr>
          <w:rStyle w:val="Appelnotedebasdep"/>
        </w:rPr>
        <w:footnoteReference w:id="424"/>
      </w:r>
      <w:r w:rsidRPr="00E8358C">
        <w:t>, le Théâtre national d’Haïti</w:t>
      </w:r>
      <w:r>
        <w:t> </w:t>
      </w:r>
      <w:r>
        <w:rPr>
          <w:rStyle w:val="Appelnotedebasdep"/>
        </w:rPr>
        <w:footnoteReference w:id="425"/>
      </w:r>
      <w:r w:rsidRPr="00E8358C">
        <w:t xml:space="preserve"> et le Musée du Panthéon national haïtien (MUPANAH)</w:t>
      </w:r>
      <w:r>
        <w:t> </w:t>
      </w:r>
      <w:r>
        <w:rPr>
          <w:rStyle w:val="Appelnotedebasdep"/>
        </w:rPr>
        <w:footnoteReference w:id="426"/>
      </w:r>
      <w:r w:rsidRPr="00E8358C">
        <w:t xml:space="preserve">, </w:t>
      </w:r>
      <w:r>
        <w:t xml:space="preserve">[130] </w:t>
      </w:r>
      <w:r w:rsidRPr="00E8358C">
        <w:t>conformément à la loi du 30 juin 1983 portant la création de l’Institut national haïtien de la Culture et des Arts (INHACA), pr</w:t>
      </w:r>
      <w:r w:rsidRPr="00E8358C">
        <w:t>é</w:t>
      </w:r>
      <w:r w:rsidRPr="00E8358C">
        <w:t>voyant en ses articles 18 et 19 des services déconcentrés ou ext</w:t>
      </w:r>
      <w:r w:rsidRPr="00E8358C">
        <w:t>é</w:t>
      </w:r>
      <w:r w:rsidRPr="00E8358C">
        <w:t>rieurs</w:t>
      </w:r>
      <w:r>
        <w:t> </w:t>
      </w:r>
      <w:r>
        <w:rPr>
          <w:rStyle w:val="Appelnotedebasdep"/>
        </w:rPr>
        <w:footnoteReference w:id="427"/>
      </w:r>
      <w:r w:rsidRPr="00E8358C">
        <w:t xml:space="preserve">. Ils sont devenus des </w:t>
      </w:r>
      <w:r w:rsidRPr="00792DC7">
        <w:t>organismes autonomes de l’État ha</w:t>
      </w:r>
      <w:r w:rsidRPr="00792DC7">
        <w:t>ï</w:t>
      </w:r>
      <w:r w:rsidRPr="00792DC7">
        <w:t xml:space="preserve">tien à la suite du décret du </w:t>
      </w:r>
      <w:r w:rsidRPr="00792DC7">
        <w:rPr>
          <w:bCs/>
        </w:rPr>
        <w:t>20 mars 1986</w:t>
      </w:r>
      <w:r>
        <w:rPr>
          <w:bCs/>
        </w:rPr>
        <w:t> </w:t>
      </w:r>
      <w:r>
        <w:rPr>
          <w:rStyle w:val="Appelnotedebasdep"/>
          <w:bCs/>
        </w:rPr>
        <w:footnoteReference w:id="428"/>
      </w:r>
      <w:r w:rsidRPr="00792DC7">
        <w:rPr>
          <w:bCs/>
        </w:rPr>
        <w:t xml:space="preserve"> </w:t>
      </w:r>
      <w:r w:rsidRPr="00792DC7">
        <w:t>et fonctionnent sous la tutelle du ministère de la Culture et de la Communication d’Haïti. Cette nouve</w:t>
      </w:r>
      <w:r w:rsidRPr="00792DC7">
        <w:t>l</w:t>
      </w:r>
      <w:r w:rsidRPr="00792DC7">
        <w:t>le organisation des institutions étatiques spécialisées dans la sauv</w:t>
      </w:r>
      <w:r w:rsidRPr="00792DC7">
        <w:t>e</w:t>
      </w:r>
      <w:r w:rsidRPr="00792DC7">
        <w:t>garde et la valorisation du patrimoine culturel haïtien a été m</w:t>
      </w:r>
      <w:r w:rsidRPr="00792DC7">
        <w:t>a</w:t>
      </w:r>
      <w:r w:rsidRPr="00792DC7">
        <w:t xml:space="preserve">jeure. </w:t>
      </w:r>
    </w:p>
    <w:p w:rsidR="004C50DC" w:rsidRPr="00E8358C" w:rsidRDefault="004C50DC" w:rsidP="004C50DC">
      <w:pPr>
        <w:spacing w:before="120" w:after="120"/>
        <w:jc w:val="both"/>
      </w:pPr>
      <w:r w:rsidRPr="00E8358C">
        <w:t>Les termes « patrimoine culturel matériel et immatériel » re</w:t>
      </w:r>
      <w:r w:rsidRPr="00E8358C">
        <w:t>n</w:t>
      </w:r>
      <w:r w:rsidRPr="00E8358C">
        <w:t>voyant à une « éthique patrimoniale » qui rassemblerait tous les Ha</w:t>
      </w:r>
      <w:r w:rsidRPr="00E8358C">
        <w:t>ï</w:t>
      </w:r>
      <w:r w:rsidRPr="00E8358C">
        <w:t>tiens sont absents du décret du 20 mars 1986. L’éthique patrimoniale est étudiée comme la manière et les principes de gestion de la culture et des richesses patrimoniales pour les rendre accessibles à tous et les inscrire dans une perspective de développement durable. Elle priorise la sauvegarde, la transmission et la mise en valeur du patrimoine hi</w:t>
      </w:r>
      <w:r w:rsidRPr="00E8358C">
        <w:t>s</w:t>
      </w:r>
      <w:r w:rsidRPr="00E8358C">
        <w:t>torique et des pratiques culturelles dans le présent en se préoccupant des retombées éducatives, identitaires et économiques pour les gén</w:t>
      </w:r>
      <w:r w:rsidRPr="00E8358C">
        <w:t>é</w:t>
      </w:r>
      <w:r w:rsidRPr="00E8358C">
        <w:t>rations futures. En analysant l’esprit des textes, on peut dire que les jalons ont été posés pour la désignation du patrimoine culturel mat</w:t>
      </w:r>
      <w:r w:rsidRPr="00E8358C">
        <w:t>é</w:t>
      </w:r>
      <w:r>
        <w:t>riel et immatériel.</w:t>
      </w:r>
    </w:p>
    <w:p w:rsidR="004C50DC" w:rsidRPr="00E8358C" w:rsidRDefault="004C50DC" w:rsidP="004C50DC">
      <w:pPr>
        <w:spacing w:before="120" w:after="120"/>
        <w:jc w:val="both"/>
      </w:pPr>
      <w:r w:rsidRPr="00E8358C">
        <w:t>Un an et quelques jours après les bouleversements politiques de la deuxième moitié des années 1980 qui ont mis fin au régime dictatorial des Duvalier, le 7 février 1986, le peuple haïtien a adopté sa Constit</w:t>
      </w:r>
      <w:r w:rsidRPr="00E8358C">
        <w:t>u</w:t>
      </w:r>
      <w:r w:rsidRPr="00E8358C">
        <w:t>tion, le 29 mars 1987. Par cet acte démocratique, le peuple déterminait les motifs, les principes fondamentaux et les buts coïncidant avec ses aspirations. La culture était l’un des piliers de la nouvelle Haïti, non discriminatoire,</w:t>
      </w:r>
      <w:r>
        <w:t xml:space="preserve"> [131]</w:t>
      </w:r>
      <w:r w:rsidRPr="00E8358C">
        <w:t xml:space="preserve"> inclusive et respectueuse des droits fondame</w:t>
      </w:r>
      <w:r w:rsidRPr="00E8358C">
        <w:t>n</w:t>
      </w:r>
      <w:r w:rsidRPr="00E8358C">
        <w:t>taux</w:t>
      </w:r>
      <w:r>
        <w:t> </w:t>
      </w:r>
      <w:r w:rsidRPr="00E8358C">
        <w:rPr>
          <w:rStyle w:val="Appelnotedebasdep"/>
        </w:rPr>
        <w:footnoteReference w:id="429"/>
      </w:r>
      <w:r w:rsidRPr="00E8358C">
        <w:t xml:space="preserve">. </w:t>
      </w:r>
    </w:p>
    <w:p w:rsidR="004C50DC" w:rsidRPr="00E8358C" w:rsidRDefault="004C50DC" w:rsidP="004C50DC">
      <w:pPr>
        <w:spacing w:before="120" w:after="120"/>
        <w:jc w:val="both"/>
      </w:pPr>
      <w:r w:rsidRPr="00E8358C">
        <w:t>En son article 215, la Constitution haïtienne prescrit que </w:t>
      </w:r>
    </w:p>
    <w:p w:rsidR="004C50DC" w:rsidRDefault="004C50DC" w:rsidP="004C50DC">
      <w:pPr>
        <w:pStyle w:val="Citation0"/>
      </w:pPr>
    </w:p>
    <w:p w:rsidR="004C50DC" w:rsidRDefault="004C50DC" w:rsidP="004C50DC">
      <w:pPr>
        <w:pStyle w:val="Citation0"/>
      </w:pPr>
      <w:r w:rsidRPr="00E8358C">
        <w:t>[L]es richesses archéologiques, historiques, culturelles et folklor</w:t>
      </w:r>
      <w:r w:rsidRPr="00E8358C">
        <w:t>i</w:t>
      </w:r>
      <w:r w:rsidRPr="00E8358C">
        <w:t>ques du pays de même que les richesses architecturales, témoin de la grandeur de notre passé, font partie du patrimoine national. En conséquence, les m</w:t>
      </w:r>
      <w:r w:rsidRPr="00E8358C">
        <w:t>o</w:t>
      </w:r>
      <w:r w:rsidRPr="00E8358C">
        <w:t>numents, les ruines, les sites des grands faits d’armes de nos ancêtres, les centres réputés de nos croyances africaines et tous les vestiges du passé sont placé</w:t>
      </w:r>
      <w:r>
        <w:t>s sous la protection de l’État.</w:t>
      </w:r>
    </w:p>
    <w:p w:rsidR="004C50DC" w:rsidRPr="00E8358C" w:rsidRDefault="004C50DC" w:rsidP="004C50DC">
      <w:pPr>
        <w:pStyle w:val="Citation0"/>
      </w:pPr>
    </w:p>
    <w:p w:rsidR="004C50DC" w:rsidRPr="00E8358C" w:rsidRDefault="004C50DC" w:rsidP="004C50DC">
      <w:pPr>
        <w:spacing w:before="120" w:after="120"/>
        <w:jc w:val="both"/>
      </w:pPr>
      <w:r w:rsidRPr="00E8358C">
        <w:t>Une lecture soutenue de cet article permet de faire deux constats. Premièrement, la définition du « patrimoine national » est réduite à l’identification des lieux, sites et monuments qui supportent des m</w:t>
      </w:r>
      <w:r w:rsidRPr="00E8358C">
        <w:t>o</w:t>
      </w:r>
      <w:r w:rsidRPr="00E8358C">
        <w:t>ments de gloire et quelques éléments des croyances du peuple haïtien. Deuxièmement, le législateur, en intégrant le « folklore » dans le texte prend en compte dans cet ensemble patrimonial le « patrimoine imm</w:t>
      </w:r>
      <w:r w:rsidRPr="00E8358C">
        <w:t>a</w:t>
      </w:r>
      <w:r w:rsidRPr="00E8358C">
        <w:t>tériel » – car le « folklore », à l’époque, renvoyait aussi bien au « patrimoine culturel immatériel » (PCI). En résumé, cet article traduit la volonté de l’État haïtien de sauvegarder et de valoriser le patrimo</w:t>
      </w:r>
      <w:r w:rsidRPr="00E8358C">
        <w:t>i</w:t>
      </w:r>
      <w:r w:rsidRPr="00E8358C">
        <w:t xml:space="preserve">ne culturel et pose les fondations d’une politique culturelle pour les gouvernements qui lui succéderont. </w:t>
      </w:r>
    </w:p>
    <w:p w:rsidR="004C50DC" w:rsidRDefault="004C50DC" w:rsidP="004C50DC">
      <w:pPr>
        <w:spacing w:before="120" w:after="120"/>
        <w:jc w:val="both"/>
      </w:pPr>
      <w:r w:rsidRPr="00E8358C">
        <w:t>L’arrivée au pouvoir du président Leslie François Manigat a porté Haïti à faire sa première expérience d’un ministère de la Culture, c</w:t>
      </w:r>
      <w:r w:rsidRPr="00E8358C">
        <w:t>e</w:t>
      </w:r>
      <w:r w:rsidRPr="00E8358C">
        <w:t>lui-ci ayant été créé en juin 1988. Depuis, il reste le principal minist</w:t>
      </w:r>
      <w:r w:rsidRPr="00E8358C">
        <w:t>è</w:t>
      </w:r>
      <w:r w:rsidRPr="00E8358C">
        <w:t>re en charge de la définition et de l’application de la politique culture</w:t>
      </w:r>
      <w:r w:rsidRPr="00E8358C">
        <w:t>l</w:t>
      </w:r>
      <w:r w:rsidRPr="00E8358C">
        <w:t>le de l’État. L’inexistence d’une loi relative à son organisation et à son fonctionnement a laissé un vide juridique jusqu’ici. Par contre, l</w:t>
      </w:r>
      <w:r w:rsidRPr="00E8358C">
        <w:rPr>
          <w:lang w:eastAsia="en-CA"/>
        </w:rPr>
        <w:t xml:space="preserve">es agents culturels sont invités à </w:t>
      </w:r>
      <w:r w:rsidRPr="00E8358C">
        <w:t>inscrire leurs actions dans le champ de la promotion et de la gestion des éléments du patrimoine culturel ha</w:t>
      </w:r>
      <w:r w:rsidRPr="00E8358C">
        <w:t>ï</w:t>
      </w:r>
      <w:r w:rsidRPr="00E8358C">
        <w:t>tien – (cette gestion en est encore au stade des tâtonnements)</w:t>
      </w:r>
      <w:r w:rsidRPr="00E8358C">
        <w:rPr>
          <w:lang w:eastAsia="en-CA"/>
        </w:rPr>
        <w:t xml:space="preserve">. </w:t>
      </w:r>
      <w:r w:rsidRPr="00E8358C">
        <w:t>Par la même occasion, des organismes autonomes publics identifiés comme garants de la culture et du patrimoine sont placés sous sa tutelle</w:t>
      </w:r>
      <w:r>
        <w:t> </w:t>
      </w:r>
      <w:r w:rsidRPr="00E8358C">
        <w:rPr>
          <w:rStyle w:val="Appelnotedebasdep"/>
        </w:rPr>
        <w:footnoteReference w:id="430"/>
      </w:r>
      <w:r w:rsidRPr="00E8358C">
        <w:t xml:space="preserve">. Ce regroupement traduit les efforts de l’État vis-à-vis de la culture. </w:t>
      </w:r>
    </w:p>
    <w:p w:rsidR="004C50DC" w:rsidRPr="00E8358C" w:rsidRDefault="004C50DC" w:rsidP="004C50DC">
      <w:pPr>
        <w:spacing w:before="120" w:after="120"/>
        <w:jc w:val="both"/>
      </w:pPr>
      <w:r>
        <w:t>[132]</w:t>
      </w:r>
    </w:p>
    <w:p w:rsidR="004C50DC" w:rsidRPr="00E8358C" w:rsidRDefault="004C50DC" w:rsidP="004C50DC">
      <w:pPr>
        <w:spacing w:before="120" w:after="120"/>
        <w:jc w:val="both"/>
      </w:pPr>
      <w:r w:rsidRPr="00E8358C">
        <w:t>Les dispositions du décret du 12 mai 1989, publié sous le gouve</w:t>
      </w:r>
      <w:r w:rsidRPr="00E8358C">
        <w:t>r</w:t>
      </w:r>
      <w:r w:rsidRPr="00E8358C">
        <w:t>nement militaire dirigé par le général Prosper Avril</w:t>
      </w:r>
      <w:r>
        <w:t> </w:t>
      </w:r>
      <w:r>
        <w:rPr>
          <w:rStyle w:val="Appelnotedebasdep"/>
        </w:rPr>
        <w:footnoteReference w:id="431"/>
      </w:r>
      <w:r w:rsidRPr="00E8358C">
        <w:t>, ont créé un o</w:t>
      </w:r>
      <w:r w:rsidRPr="00E8358C">
        <w:t>r</w:t>
      </w:r>
      <w:r w:rsidRPr="00E8358C">
        <w:t>ganisme autonome de consultation dénommé « Commission nati</w:t>
      </w:r>
      <w:r w:rsidRPr="00E8358C">
        <w:t>o</w:t>
      </w:r>
      <w:r w:rsidRPr="00E8358C">
        <w:t>nale du Patrimoine » ayant pour mission la gestion du patrimoine n</w:t>
      </w:r>
      <w:r w:rsidRPr="00E8358C">
        <w:t>a</w:t>
      </w:r>
      <w:r w:rsidRPr="00E8358C">
        <w:t>tional. La  commission ne se limite pas au patrimoine matériel ; elle lui ajo</w:t>
      </w:r>
      <w:r w:rsidRPr="00E8358C">
        <w:t>u</w:t>
      </w:r>
      <w:r w:rsidRPr="00E8358C">
        <w:t>te d’autres valeurs culturelles, évoquées pour la première fois dans la législation haïtienne. Selon Michel Philippe Lerebours, cet élargiss</w:t>
      </w:r>
      <w:r w:rsidRPr="00E8358C">
        <w:t>e</w:t>
      </w:r>
      <w:r w:rsidRPr="00E8358C">
        <w:t>ment soutenu du champ patrimonial « entraînait une couve</w:t>
      </w:r>
      <w:r w:rsidRPr="00E8358C">
        <w:t>r</w:t>
      </w:r>
      <w:r w:rsidRPr="00E8358C">
        <w:t>ture plus large et plus efficace du patrimoine culturel pris dans sa complexité et sa plus grande variété »</w:t>
      </w:r>
      <w:r>
        <w:t> </w:t>
      </w:r>
      <w:r>
        <w:rPr>
          <w:rStyle w:val="Appelnotedebasdep"/>
        </w:rPr>
        <w:footnoteReference w:id="432"/>
      </w:r>
      <w:r w:rsidRPr="00E8358C">
        <w:t>, car y étaient inclus des documents manu</w:t>
      </w:r>
      <w:r w:rsidRPr="00E8358C">
        <w:t>s</w:t>
      </w:r>
      <w:r w:rsidRPr="00E8358C">
        <w:t>crits ou imprimés, des documents historiques, photographiques, son</w:t>
      </w:r>
      <w:r w:rsidRPr="00E8358C">
        <w:t>o</w:t>
      </w:r>
      <w:r w:rsidRPr="00E8358C">
        <w:t>res, cinématographiques, iconographiques, des œuvres d’art, des o</w:t>
      </w:r>
      <w:r w:rsidRPr="00E8358C">
        <w:t>b</w:t>
      </w:r>
      <w:r w:rsidRPr="00E8358C">
        <w:t>jets et des ustensiles de la vie quotidienne du passé haïtien, des m</w:t>
      </w:r>
      <w:r w:rsidRPr="00E8358C">
        <w:t>o</w:t>
      </w:r>
      <w:r w:rsidRPr="00E8358C">
        <w:t>numents et des sites historiques et archéologiques, militaires, admini</w:t>
      </w:r>
      <w:r w:rsidRPr="00E8358C">
        <w:t>s</w:t>
      </w:r>
      <w:r w:rsidRPr="00E8358C">
        <w:t xml:space="preserve">tratifs, religieux, résidentiels et autres, significatifs d’une époque… Le décret considère le patrimoine culturel étudié dans sa complexité et sa variété. Cependant, il ignore encore une fois la protection des biens culturels immatériels. Et la Commission nationale du patrimoine n’a jamais été opérationnelle. </w:t>
      </w:r>
    </w:p>
    <w:p w:rsidR="004C50DC" w:rsidRPr="00E8358C" w:rsidRDefault="004C50DC" w:rsidP="004C50DC">
      <w:pPr>
        <w:spacing w:before="120" w:after="120"/>
        <w:jc w:val="both"/>
      </w:pPr>
      <w:r w:rsidRPr="00E8358C">
        <w:rPr>
          <w:lang w:eastAsia="en-CA"/>
        </w:rPr>
        <w:t xml:space="preserve">Comme le rappelle la ministre Magalie Comeau, </w:t>
      </w:r>
      <w:r w:rsidRPr="00E8358C">
        <w:rPr>
          <w:b/>
          <w:bCs/>
          <w:lang w:eastAsia="en-CA"/>
        </w:rPr>
        <w:t>« </w:t>
      </w:r>
      <w:r w:rsidRPr="00E8358C">
        <w:rPr>
          <w:iCs/>
          <w:lang w:eastAsia="en-CA"/>
        </w:rPr>
        <w:t>la culture est un lieu de définition et de redéfinition permanente de la nation. Pour avoir oublié cela, nos dirigeants ont souvent contribué à laisser se morceler dans l’inégalité et dans la haine une nation qu’ils avaient pour fonction de rassembler dans ses multiples expressions, d’unifier dans sa diversité »</w:t>
      </w:r>
      <w:r>
        <w:rPr>
          <w:iCs/>
          <w:lang w:eastAsia="en-CA"/>
        </w:rPr>
        <w:t> </w:t>
      </w:r>
      <w:r>
        <w:rPr>
          <w:rStyle w:val="Appelnotedebasdep"/>
          <w:iCs/>
          <w:lang w:eastAsia="en-CA"/>
        </w:rPr>
        <w:footnoteReference w:id="433"/>
      </w:r>
      <w:r w:rsidRPr="00E8358C">
        <w:rPr>
          <w:iCs/>
          <w:lang w:eastAsia="en-CA"/>
        </w:rPr>
        <w:t>.</w:t>
      </w:r>
      <w:r w:rsidRPr="00E8358C">
        <w:rPr>
          <w:lang w:eastAsia="en-CA"/>
        </w:rPr>
        <w:t xml:space="preserve"> Il faut rappeler que les événements qui ont conduit au départ du président Jean-Bertrand Aristide en février 2004 ont eu des suites fâcheuses pour la société haïtienne. Elle était divisée politiquement entre ceux qui se disaient toujours fidèles au régime </w:t>
      </w:r>
      <w:r w:rsidRPr="00E8358C">
        <w:rPr>
          <w:i/>
          <w:lang w:eastAsia="en-CA"/>
        </w:rPr>
        <w:t>Lavalas</w:t>
      </w:r>
      <w:r w:rsidRPr="00E8358C">
        <w:rPr>
          <w:lang w:eastAsia="en-CA"/>
        </w:rPr>
        <w:t xml:space="preserve"> (Aristide) et les partisans des nouveaux héritiers du gouve</w:t>
      </w:r>
      <w:r w:rsidRPr="00E8358C">
        <w:rPr>
          <w:lang w:eastAsia="en-CA"/>
        </w:rPr>
        <w:t>r</w:t>
      </w:r>
      <w:r w:rsidRPr="00E8358C">
        <w:rPr>
          <w:lang w:eastAsia="en-CA"/>
        </w:rPr>
        <w:t xml:space="preserve">nement intérimaire. C’est dans ce contexte que la ministre entend donner à l’action culturelle et au patrimoine « un rôle </w:t>
      </w:r>
      <w:r>
        <w:rPr>
          <w:lang w:eastAsia="en-CA"/>
        </w:rPr>
        <w:t xml:space="preserve">[133] </w:t>
      </w:r>
      <w:r w:rsidRPr="00E8358C">
        <w:rPr>
          <w:lang w:eastAsia="en-CA"/>
        </w:rPr>
        <w:t>important dans la reconstitution du lien social »</w:t>
      </w:r>
      <w:r>
        <w:rPr>
          <w:lang w:eastAsia="en-CA"/>
        </w:rPr>
        <w:t> </w:t>
      </w:r>
      <w:r>
        <w:rPr>
          <w:rStyle w:val="Appelnotedebasdep"/>
          <w:lang w:eastAsia="en-CA"/>
        </w:rPr>
        <w:footnoteReference w:id="434"/>
      </w:r>
      <w:r w:rsidRPr="00E8358C">
        <w:rPr>
          <w:lang w:eastAsia="en-CA"/>
        </w:rPr>
        <w:t xml:space="preserve"> et qu’elle « place sa politique culturelle face à un grand défi : celui de contribuer à la refondation et à l’animation du dialogue social… en travaillant à la réconciliation de l’État avec la société civile et en multipliant les passerelles, les esp</w:t>
      </w:r>
      <w:r w:rsidRPr="00E8358C">
        <w:rPr>
          <w:lang w:eastAsia="en-CA"/>
        </w:rPr>
        <w:t>a</w:t>
      </w:r>
      <w:r w:rsidRPr="00E8358C">
        <w:rPr>
          <w:lang w:eastAsia="en-CA"/>
        </w:rPr>
        <w:t>ces  d’interaction et d’échanges entre le ministère et les citoyens »</w:t>
      </w:r>
      <w:r>
        <w:rPr>
          <w:lang w:eastAsia="en-CA"/>
        </w:rPr>
        <w:t> </w:t>
      </w:r>
      <w:r>
        <w:rPr>
          <w:rStyle w:val="Appelnotedebasdep"/>
          <w:lang w:eastAsia="en-CA"/>
        </w:rPr>
        <w:footnoteReference w:id="435"/>
      </w:r>
      <w:r w:rsidRPr="00E8358C">
        <w:rPr>
          <w:lang w:eastAsia="en-CA"/>
        </w:rPr>
        <w:t>. En ce sens, la culture et la communication s’associent pour créer un cadre d’assimilation de la vie publique nationale et de reconstruction du civisme. Madame Denis s’</w:t>
      </w:r>
      <w:r w:rsidRPr="00E8358C">
        <w:t>est vouée aussi à la valorisation de la culture haïtienne, mais la matérialisation de son projet durant toute la durée du gouvernement intérimaire n’a pas été à la hauteur des résu</w:t>
      </w:r>
      <w:r w:rsidRPr="00E8358C">
        <w:t>l</w:t>
      </w:r>
      <w:r w:rsidRPr="00E8358C">
        <w:t>tats escomptés.</w:t>
      </w:r>
    </w:p>
    <w:p w:rsidR="004C50DC" w:rsidRPr="00E8358C" w:rsidRDefault="004C50DC" w:rsidP="004C50DC">
      <w:pPr>
        <w:spacing w:before="120" w:after="120"/>
        <w:jc w:val="both"/>
      </w:pPr>
      <w:r w:rsidRPr="00E8358C">
        <w:t>Le Premier ministre Jacques Édouard Alexis confie en 2006 à la culture la mission de participer à la re</w:t>
      </w:r>
      <w:r w:rsidRPr="00E8358C">
        <w:rPr>
          <w:rStyle w:val="lev"/>
          <w:b w:val="0"/>
        </w:rPr>
        <w:t xml:space="preserve">lance de la production nationale et à la création de la richesse, ainsi qu’à </w:t>
      </w:r>
      <w:r w:rsidRPr="00E8358C">
        <w:t>la refondation de l’État ha</w:t>
      </w:r>
      <w:r w:rsidRPr="00E8358C">
        <w:t>ï</w:t>
      </w:r>
      <w:r w:rsidRPr="00E8358C">
        <w:t>tien et de ses rapports avec l’extérieur</w:t>
      </w:r>
      <w:r>
        <w:t> </w:t>
      </w:r>
      <w:r>
        <w:rPr>
          <w:rStyle w:val="Appelnotedebasdep"/>
        </w:rPr>
        <w:footnoteReference w:id="436"/>
      </w:r>
      <w:r w:rsidRPr="00E8358C">
        <w:t xml:space="preserve">. </w:t>
      </w:r>
    </w:p>
    <w:p w:rsidR="004C50DC" w:rsidRDefault="004C50DC" w:rsidP="004C50DC">
      <w:pPr>
        <w:pStyle w:val="Citation0"/>
      </w:pPr>
    </w:p>
    <w:p w:rsidR="004C50DC" w:rsidRDefault="004C50DC" w:rsidP="004C50DC">
      <w:pPr>
        <w:pStyle w:val="Citation0"/>
      </w:pPr>
      <w:r w:rsidRPr="00E8358C">
        <w:t>Le gouvernement travaillera de concert avec les institutions locales à la sauvegarde et à la réhabilitation du patrimoine national, à l’établissement de plans de gestion et d’exploitation, ainsi qu’à l’élaboration de mesures pour la promotion de ce patrimoine</w:t>
      </w:r>
      <w:r>
        <w:t> </w:t>
      </w:r>
      <w:r>
        <w:rPr>
          <w:rStyle w:val="Appelnotedebasdep"/>
        </w:rPr>
        <w:footnoteReference w:id="437"/>
      </w:r>
      <w:r w:rsidRPr="00E8358C">
        <w:t>.</w:t>
      </w:r>
    </w:p>
    <w:p w:rsidR="004C50DC" w:rsidRPr="00E8358C" w:rsidRDefault="004C50DC" w:rsidP="004C50DC">
      <w:pPr>
        <w:pStyle w:val="Citation0"/>
      </w:pPr>
    </w:p>
    <w:p w:rsidR="004C50DC" w:rsidRPr="00AD3FFD" w:rsidRDefault="004C50DC" w:rsidP="004C50DC">
      <w:pPr>
        <w:spacing w:before="120" w:after="120"/>
        <w:jc w:val="both"/>
      </w:pPr>
      <w:bookmarkStart w:id="133" w:name="_Toc406486084"/>
      <w:bookmarkStart w:id="134" w:name="_Toc406489671"/>
      <w:bookmarkStart w:id="135" w:name="_Toc421022240"/>
      <w:bookmarkStart w:id="136" w:name="_Toc423345953"/>
      <w:bookmarkStart w:id="137" w:name="_Toc423347292"/>
      <w:bookmarkStart w:id="138" w:name="_Toc423348225"/>
      <w:bookmarkStart w:id="139" w:name="_Toc442280470"/>
      <w:r w:rsidRPr="00AD3FFD">
        <w:t>Les orientations de cette politique laissent comprendre que la d</w:t>
      </w:r>
      <w:r w:rsidRPr="00AD3FFD">
        <w:t>i</w:t>
      </w:r>
      <w:r w:rsidRPr="00AD3FFD">
        <w:t>versité culturelle haïtienne se produit dans les richesses patrimoniales à préserver et constitue un axe de création de richesse et de compr</w:t>
      </w:r>
      <w:r w:rsidRPr="00AD3FFD">
        <w:t>é</w:t>
      </w:r>
      <w:r w:rsidRPr="00AD3FFD">
        <w:t>hension mutuelle. Elle peut aussi contribuer à « éliminer les discrim</w:t>
      </w:r>
      <w:r w:rsidRPr="00AD3FFD">
        <w:t>i</w:t>
      </w:r>
      <w:r w:rsidRPr="00AD3FFD">
        <w:t xml:space="preserve">nations </w:t>
      </w:r>
      <w:r>
        <w:t>e</w:t>
      </w:r>
      <w:r w:rsidRPr="00AD3FFD">
        <w:t>t contradictions villes-campagnes qui fissurent la société ha</w:t>
      </w:r>
      <w:r w:rsidRPr="00AD3FFD">
        <w:t>ï</w:t>
      </w:r>
      <w:r w:rsidRPr="00AD3FFD">
        <w:t>tienne »</w:t>
      </w:r>
      <w:r>
        <w:t> </w:t>
      </w:r>
      <w:r>
        <w:rPr>
          <w:rStyle w:val="Appelnotedebasdep"/>
        </w:rPr>
        <w:footnoteReference w:id="438"/>
      </w:r>
      <w:r w:rsidRPr="00AD3FFD">
        <w:t>.</w:t>
      </w:r>
      <w:bookmarkEnd w:id="133"/>
      <w:bookmarkEnd w:id="134"/>
      <w:bookmarkEnd w:id="135"/>
      <w:bookmarkEnd w:id="136"/>
      <w:bookmarkEnd w:id="137"/>
      <w:bookmarkEnd w:id="138"/>
      <w:bookmarkEnd w:id="139"/>
    </w:p>
    <w:p w:rsidR="004C50DC" w:rsidRPr="00E8358C" w:rsidRDefault="004C50DC" w:rsidP="004C50DC">
      <w:pPr>
        <w:spacing w:before="120" w:after="120"/>
        <w:jc w:val="both"/>
      </w:pPr>
      <w:r w:rsidRPr="00E8358C">
        <w:t xml:space="preserve">Le </w:t>
      </w:r>
      <w:r w:rsidRPr="00E8358C">
        <w:rPr>
          <w:i/>
        </w:rPr>
        <w:t>Document de stratégie nationale pour la croissance et la rédu</w:t>
      </w:r>
      <w:r w:rsidRPr="00E8358C">
        <w:rPr>
          <w:i/>
        </w:rPr>
        <w:t>c</w:t>
      </w:r>
      <w:r w:rsidRPr="00E8358C">
        <w:rPr>
          <w:i/>
        </w:rPr>
        <w:t>tion de la pauvreté</w:t>
      </w:r>
      <w:r w:rsidRPr="00E8358C">
        <w:t xml:space="preserve"> (DSNCRP) mentionne spécifiquement qu’il faut « sauvegarder, protéger et valoriser le patrimoine culturel, matériel et immatériel, ainsi que les traditions populaires »</w:t>
      </w:r>
      <w:r>
        <w:t> </w:t>
      </w:r>
      <w:r>
        <w:rPr>
          <w:rStyle w:val="Appelnotedebasdep"/>
        </w:rPr>
        <w:footnoteReference w:id="439"/>
      </w:r>
      <w:r w:rsidRPr="00E8358C">
        <w:t xml:space="preserve">. Des </w:t>
      </w:r>
      <w:r>
        <w:t xml:space="preserve">[134] </w:t>
      </w:r>
      <w:r w:rsidRPr="00E8358C">
        <w:t>initiat</w:t>
      </w:r>
      <w:r w:rsidRPr="00E8358C">
        <w:t>i</w:t>
      </w:r>
      <w:r w:rsidRPr="00E8358C">
        <w:t xml:space="preserve">ves d’inventaire des pratiques culturelles ont été mises en branle, dans l’Artibonite surtout, visant à documenter et à valoriser des </w:t>
      </w:r>
      <w:r w:rsidRPr="00E8358C">
        <w:rPr>
          <w:i/>
        </w:rPr>
        <w:t xml:space="preserve">lakou, </w:t>
      </w:r>
      <w:r w:rsidRPr="00E8358C">
        <w:t>entre autres ceux de Souvnans, Badjo et Soukri</w:t>
      </w:r>
      <w:r w:rsidRPr="00E8358C">
        <w:rPr>
          <w:i/>
        </w:rPr>
        <w:t xml:space="preserve">, </w:t>
      </w:r>
      <w:r w:rsidRPr="00E8358C">
        <w:t>qui sont des hauts lieux de la pratique du vodou en Haïti. Ces efforts n’ont pas retenu tellement l’attention ou fait l’unanimité dans la communauté haïtienne ; les cr</w:t>
      </w:r>
      <w:r w:rsidRPr="00E8358C">
        <w:t>i</w:t>
      </w:r>
      <w:r w:rsidRPr="00E8358C">
        <w:t>tiques ont regretté qu’une fois de plus, le patrimoine immatériel ha</w:t>
      </w:r>
      <w:r w:rsidRPr="00E8358C">
        <w:t>ï</w:t>
      </w:r>
      <w:r w:rsidRPr="00E8358C">
        <w:t>tien ait été réduit au culte du vodou. De nombreux citoyens haïtiens croient aussi que, dans le domaine du patrimoine immatériel, les hommes politiques investissent surtout dans le carnaval, les fêtes p</w:t>
      </w:r>
      <w:r w:rsidRPr="00E8358C">
        <w:t>a</w:t>
      </w:r>
      <w:r w:rsidRPr="00E8358C">
        <w:t xml:space="preserve">tronales et le </w:t>
      </w:r>
      <w:r w:rsidRPr="00E8358C">
        <w:rPr>
          <w:i/>
        </w:rPr>
        <w:t>rara</w:t>
      </w:r>
      <w:r w:rsidRPr="00E8358C">
        <w:t>. Dans cette dernière catégorie se trouve le ministre Eddy Lubin qui, dans sa proposition de politique culturelle, a écrit : « le patrimoine immatériel semble, à travers le financement du carn</w:t>
      </w:r>
      <w:r w:rsidRPr="00E8358C">
        <w:t>a</w:t>
      </w:r>
      <w:r w:rsidRPr="00E8358C">
        <w:t>val, des rara et des fêtes patronales, bénéficier d’une attention des p</w:t>
      </w:r>
      <w:r w:rsidRPr="00E8358C">
        <w:t>o</w:t>
      </w:r>
      <w:r w:rsidRPr="00E8358C">
        <w:t>litiques et ceci depuis des années… Tout le reste du patrimoine imm</w:t>
      </w:r>
      <w:r w:rsidRPr="00E8358C">
        <w:t>a</w:t>
      </w:r>
      <w:r w:rsidRPr="00E8358C">
        <w:t>tériel est laissé pour compte »</w:t>
      </w:r>
      <w:r>
        <w:t> </w:t>
      </w:r>
      <w:r>
        <w:rPr>
          <w:rStyle w:val="Appelnotedebasdep"/>
        </w:rPr>
        <w:footnoteReference w:id="440"/>
      </w:r>
      <w:r w:rsidRPr="00E8358C">
        <w:t>. Nous soulignons que le « PCI » co</w:t>
      </w:r>
      <w:r w:rsidRPr="00E8358C">
        <w:t>m</w:t>
      </w:r>
      <w:r w:rsidRPr="00E8358C">
        <w:t xml:space="preserve">prend aussi la mémoire, notamment la mémoire de l’esclavage. </w:t>
      </w:r>
    </w:p>
    <w:p w:rsidR="004C50DC" w:rsidRPr="00E8358C" w:rsidRDefault="004C50DC" w:rsidP="004C50DC">
      <w:pPr>
        <w:spacing w:before="120" w:after="120"/>
        <w:jc w:val="both"/>
      </w:pPr>
      <w:r w:rsidRPr="00E8358C">
        <w:t>Pour que la gestion du patrimoine culturel puisse être effective et totale, il faut s’assurer que les traditions, les mémoires, les pratiques culturelles et cultuelles dans une société marquée par l’oralité soient comprises dans la logique patrimoniale. Sensibilisé à la nécessité de sauvegarder le patrimoine culturel immatériel haïtien, le Parlement a ratifié le 17 septembre 2009 la Convention de l’UNESCO sur la sa</w:t>
      </w:r>
      <w:r w:rsidRPr="00E8358C">
        <w:t>u</w:t>
      </w:r>
      <w:r w:rsidRPr="00E8358C">
        <w:t>vegarde du patrimoine immatériel. Il s’agit enfin de l’intervention d’un texte de loi qui prend en compte spécifiquement cette catégorie de patrimoine très présent et vivant dans la société haïtienne. Cette nouvelle loi ne permet pas aux mémoires de l’esclavage de se const</w:t>
      </w:r>
      <w:r w:rsidRPr="00E8358C">
        <w:t>i</w:t>
      </w:r>
      <w:r w:rsidRPr="00E8358C">
        <w:t xml:space="preserve">tuer en patrimoine, car la mémoire ou le patrimoine mémoriel n’est pas vraiment mentionné dans la Convention. Il ne s’agit pas d’une pratique vivante admissible à la liste représentative du patrimoine culturel immatériel à sauvegarder en urgence. Son statut paraît un peu ambigu devant la loi. </w:t>
      </w:r>
    </w:p>
    <w:p w:rsidR="004C50DC" w:rsidRPr="00E8358C" w:rsidRDefault="004C50DC" w:rsidP="004C50DC">
      <w:pPr>
        <w:spacing w:before="120" w:after="120"/>
        <w:jc w:val="both"/>
        <w:rPr>
          <w:lang w:eastAsia="en-CA"/>
        </w:rPr>
      </w:pPr>
      <w:r w:rsidRPr="00E8358C">
        <w:t>Dans le « Plan d’action pour le relèvement et le développement d’Haïti » (mars 2010) suite au terrible tremblement de terre du 12 ja</w:t>
      </w:r>
      <w:r w:rsidRPr="00E8358C">
        <w:t>n</w:t>
      </w:r>
      <w:r w:rsidRPr="00E8358C">
        <w:t>vier 2010, il fallait encore miser sur la culture</w:t>
      </w:r>
      <w:r>
        <w:t xml:space="preserve"> [135]</w:t>
      </w:r>
      <w:r w:rsidRPr="00E8358C">
        <w:t xml:space="preserve"> comme élément fondamental de la reconstruction d’Haïti. Il était question « d’assurer par le programme d’éducation culturelle à l’école la promotion du p</w:t>
      </w:r>
      <w:r w:rsidRPr="00E8358C">
        <w:t>a</w:t>
      </w:r>
      <w:r w:rsidRPr="00E8358C">
        <w:t>trimoine haïtien et favoriser la coopération culturelle internationale ». Le</w:t>
      </w:r>
      <w:r w:rsidRPr="00E8358C">
        <w:rPr>
          <w:lang w:eastAsia="en-CA"/>
        </w:rPr>
        <w:t>s leçons tirées du tremblement de 2010 portaient les autorités go</w:t>
      </w:r>
      <w:r w:rsidRPr="00E8358C">
        <w:rPr>
          <w:lang w:eastAsia="en-CA"/>
        </w:rPr>
        <w:t>u</w:t>
      </w:r>
      <w:r w:rsidRPr="00E8358C">
        <w:rPr>
          <w:lang w:eastAsia="en-CA"/>
        </w:rPr>
        <w:t>vernementales à voir dans la culture la base de la reconstruction du pays. Des assises nationales de la culture ont été organisées en 2011. Le ministère de la Culture ne pouvait atteindre seul un tel objectif. Il devait « s’attacher à coordonner conjointement avec les ministères concernés (Éducation nationale, Intérieur et Collectivités territoriales, Commerce, Affaires sociales, etc.) la réforme législative et régleme</w:t>
      </w:r>
      <w:r w:rsidRPr="00E8358C">
        <w:rPr>
          <w:lang w:eastAsia="en-CA"/>
        </w:rPr>
        <w:t>n</w:t>
      </w:r>
      <w:r w:rsidRPr="00E8358C">
        <w:rPr>
          <w:lang w:eastAsia="en-CA"/>
        </w:rPr>
        <w:t>taire de l’ensemble du corpus juridique relatif aux droits attachés à la culture (droit d’auteur et droits voisins, droit du patrimoine culturel matériel et immatériel, droit du spectacle vivant, cinéma et audiov</w:t>
      </w:r>
      <w:r w:rsidRPr="00E8358C">
        <w:rPr>
          <w:lang w:eastAsia="en-CA"/>
        </w:rPr>
        <w:t>i</w:t>
      </w:r>
      <w:r w:rsidRPr="00E8358C">
        <w:rPr>
          <w:lang w:eastAsia="en-CA"/>
        </w:rPr>
        <w:t>suel, enseignements artistiques, etc.) »</w:t>
      </w:r>
      <w:r>
        <w:rPr>
          <w:lang w:eastAsia="en-CA"/>
        </w:rPr>
        <w:t> </w:t>
      </w:r>
      <w:r>
        <w:rPr>
          <w:rStyle w:val="Appelnotedebasdep"/>
          <w:lang w:eastAsia="en-CA"/>
        </w:rPr>
        <w:footnoteReference w:id="441"/>
      </w:r>
      <w:r w:rsidRPr="00E8358C">
        <w:rPr>
          <w:lang w:eastAsia="en-CA"/>
        </w:rPr>
        <w:t>. Le Ministère devait « encourager toutes initiatives visant à collecter, inventorier, étudier et valoriser les patrimoines immobiliers, mobiliers et immatériels de la République »</w:t>
      </w:r>
      <w:r>
        <w:rPr>
          <w:lang w:eastAsia="en-CA"/>
        </w:rPr>
        <w:t> </w:t>
      </w:r>
      <w:r>
        <w:rPr>
          <w:rStyle w:val="Appelnotedebasdep"/>
          <w:lang w:eastAsia="en-CA"/>
        </w:rPr>
        <w:footnoteReference w:id="442"/>
      </w:r>
      <w:r>
        <w:rPr>
          <w:lang w:eastAsia="en-CA"/>
        </w:rPr>
        <w:t>.</w:t>
      </w:r>
    </w:p>
    <w:p w:rsidR="004C50DC" w:rsidRPr="00E8358C" w:rsidRDefault="004C50DC" w:rsidP="004C50DC">
      <w:pPr>
        <w:spacing w:before="120" w:after="120"/>
        <w:jc w:val="both"/>
        <w:rPr>
          <w:lang w:eastAsia="en-CA"/>
        </w:rPr>
      </w:pPr>
      <w:r w:rsidRPr="00E8358C">
        <w:rPr>
          <w:lang w:eastAsia="en-CA"/>
        </w:rPr>
        <w:t>Le Premier ministre Garry Conille, dans sa Déclaration de polit</w:t>
      </w:r>
      <w:r w:rsidRPr="00E8358C">
        <w:rPr>
          <w:lang w:eastAsia="en-CA"/>
        </w:rPr>
        <w:t>i</w:t>
      </w:r>
      <w:r w:rsidRPr="00E8358C">
        <w:rPr>
          <w:lang w:eastAsia="en-CA"/>
        </w:rPr>
        <w:t xml:space="preserve">que générale en 2011 au Sénat de la République, pense qu’il faut « poser la problématique de la culture comme acte et instrument de refondation de la Cité ». Par là même, la culture doit devenir un objet de réaffirmation de l’Haïtien, mais peu d’actions suivent le discours de Conille. </w:t>
      </w:r>
    </w:p>
    <w:p w:rsidR="004C50DC" w:rsidRPr="00E8358C" w:rsidRDefault="004C50DC" w:rsidP="004C50DC">
      <w:pPr>
        <w:spacing w:before="120" w:after="120"/>
        <w:jc w:val="both"/>
        <w:rPr>
          <w:lang w:eastAsia="en-CA"/>
        </w:rPr>
      </w:pPr>
      <w:r w:rsidRPr="00E8358C">
        <w:t>« Fòk pèp la jwenn » [« le peuple doit trouver »] est le slogan du Premier ministre Laurent Salvador Lamothe. Dans son programme des cinq « E»</w:t>
      </w:r>
      <w:r>
        <w:t> </w:t>
      </w:r>
      <w:r>
        <w:rPr>
          <w:rStyle w:val="Appelnotedebasdep"/>
        </w:rPr>
        <w:footnoteReference w:id="443"/>
      </w:r>
      <w:r w:rsidRPr="00E8358C">
        <w:t>, quelle est la place de la culture ? Le nouveau gouve</w:t>
      </w:r>
      <w:r w:rsidRPr="00E8358C">
        <w:t>r</w:t>
      </w:r>
      <w:r w:rsidRPr="00E8358C">
        <w:t>nement se dit conscient que la culture contribue au développement humain et est associée à l’éducation et à la santé. Dans le cinquième « E », « </w:t>
      </w:r>
      <w:r w:rsidRPr="00E8358C">
        <w:rPr>
          <w:bCs/>
          <w:iCs/>
          <w:lang w:eastAsia="en-CA"/>
        </w:rPr>
        <w:t xml:space="preserve">Éducation, développement humain et social », la culture est intégrée comme un </w:t>
      </w:r>
      <w:r w:rsidRPr="00E8358C">
        <w:rPr>
          <w:lang w:eastAsia="en-CA"/>
        </w:rPr>
        <w:t xml:space="preserve">ciment pour le « vivre ensemble » communautaire et comme </w:t>
      </w:r>
      <w:r w:rsidRPr="00E8358C">
        <w:rPr>
          <w:bCs/>
          <w:iCs/>
          <w:lang w:eastAsia="en-CA"/>
        </w:rPr>
        <w:t xml:space="preserve">un </w:t>
      </w:r>
      <w:r w:rsidRPr="00E8358C">
        <w:rPr>
          <w:lang w:eastAsia="en-CA"/>
        </w:rPr>
        <w:t>atout</w:t>
      </w:r>
      <w:r w:rsidRPr="00E8358C">
        <w:rPr>
          <w:bCs/>
          <w:iCs/>
          <w:lang w:eastAsia="en-CA"/>
        </w:rPr>
        <w:t xml:space="preserve"> considérable pour qu’</w:t>
      </w:r>
      <w:r w:rsidRPr="00E8358C">
        <w:rPr>
          <w:lang w:eastAsia="en-CA"/>
        </w:rPr>
        <w:t>Haïti revienne sur la carte touristique mondiale. Laurent Salvador Lamothe soutient que « si ce</w:t>
      </w:r>
      <w:r w:rsidRPr="00E8358C">
        <w:rPr>
          <w:lang w:eastAsia="en-CA"/>
        </w:rPr>
        <w:t>r</w:t>
      </w:r>
      <w:r w:rsidRPr="00E8358C">
        <w:rPr>
          <w:lang w:eastAsia="en-CA"/>
        </w:rPr>
        <w:t>tains pays ont fait de leur patrimoine culturel le moteur de leur dév</w:t>
      </w:r>
      <w:r w:rsidRPr="00E8358C">
        <w:rPr>
          <w:lang w:eastAsia="en-CA"/>
        </w:rPr>
        <w:t>e</w:t>
      </w:r>
      <w:r w:rsidRPr="00E8358C">
        <w:rPr>
          <w:lang w:eastAsia="en-CA"/>
        </w:rPr>
        <w:t xml:space="preserve">loppement, en Haïti nous avons </w:t>
      </w:r>
      <w:r>
        <w:rPr>
          <w:lang w:eastAsia="en-CA"/>
        </w:rPr>
        <w:t xml:space="preserve">[136] </w:t>
      </w:r>
      <w:r w:rsidRPr="00E8358C">
        <w:rPr>
          <w:lang w:eastAsia="en-CA"/>
        </w:rPr>
        <w:t>tendance à laisser le nôtre se dégrader. Mon gouvernement va mettre en œuvre des projets inn</w:t>
      </w:r>
      <w:r w:rsidRPr="00E8358C">
        <w:rPr>
          <w:lang w:eastAsia="en-CA"/>
        </w:rPr>
        <w:t>o</w:t>
      </w:r>
      <w:r w:rsidRPr="00E8358C">
        <w:rPr>
          <w:lang w:eastAsia="en-CA"/>
        </w:rPr>
        <w:t>vants pour valoriser le patrimoine des différentes régions du pays… »</w:t>
      </w:r>
      <w:r>
        <w:rPr>
          <w:lang w:eastAsia="en-CA"/>
        </w:rPr>
        <w:t> </w:t>
      </w:r>
      <w:r>
        <w:rPr>
          <w:rStyle w:val="Appelnotedebasdep"/>
          <w:lang w:eastAsia="en-CA"/>
        </w:rPr>
        <w:footnoteReference w:id="444"/>
      </w:r>
      <w:r w:rsidRPr="00E8358C">
        <w:rPr>
          <w:lang w:eastAsia="en-CA"/>
        </w:rPr>
        <w:t>. La nécessité d’une Loi-cadre pour le ministère de la Cult</w:t>
      </w:r>
      <w:r w:rsidRPr="00E8358C">
        <w:rPr>
          <w:lang w:eastAsia="en-CA"/>
        </w:rPr>
        <w:t>u</w:t>
      </w:r>
      <w:r w:rsidRPr="00E8358C">
        <w:rPr>
          <w:lang w:eastAsia="en-CA"/>
        </w:rPr>
        <w:t>re est à nouveau évoquée, car c’est une déficience légale et instit</w:t>
      </w:r>
      <w:r w:rsidRPr="00E8358C">
        <w:rPr>
          <w:lang w:eastAsia="en-CA"/>
        </w:rPr>
        <w:t>u</w:t>
      </w:r>
      <w:r w:rsidRPr="00E8358C">
        <w:rPr>
          <w:lang w:eastAsia="en-CA"/>
        </w:rPr>
        <w:t xml:space="preserve">tionnelle qu’il faut résoudre. </w:t>
      </w:r>
    </w:p>
    <w:p w:rsidR="004C50DC" w:rsidRPr="00E8358C" w:rsidRDefault="004C50DC" w:rsidP="004C50DC">
      <w:pPr>
        <w:spacing w:before="120" w:after="120"/>
        <w:jc w:val="both"/>
      </w:pPr>
      <w:r w:rsidRPr="00E8358C">
        <w:rPr>
          <w:lang w:eastAsia="en-CA"/>
        </w:rPr>
        <w:t xml:space="preserve">Faire la lumière sur les politiques culturelles en Haïti a été l’objectif de ce point pour pouvoir analyser ensuite la place accordée aux mémoires de l’esclavage. Nous avons recueilli les témoignages de deux participants concernés par le sujet. À la question « existe-t-il une politique culturelle qui définit les axes d’intervention ? », </w:t>
      </w:r>
      <w:r w:rsidRPr="00E8358C">
        <w:t>Vénite, 66 ans, ancienne cadre du ministère de la Culture répond : « pas à ma connaissance ». Elle croit que la concertation sur la culture fait défaut en Haïti.</w:t>
      </w:r>
    </w:p>
    <w:p w:rsidR="004C50DC" w:rsidRDefault="004C50DC" w:rsidP="004C50DC">
      <w:pPr>
        <w:pStyle w:val="Citation0"/>
      </w:pPr>
    </w:p>
    <w:p w:rsidR="004C50DC" w:rsidRDefault="004C50DC" w:rsidP="004C50DC">
      <w:pPr>
        <w:pStyle w:val="Citation0"/>
      </w:pPr>
      <w:r w:rsidRPr="00E8358C">
        <w:t>Dans un contexte de développement culturel, toutes les institutions d</w:t>
      </w:r>
      <w:r w:rsidRPr="00E8358C">
        <w:t>e</w:t>
      </w:r>
      <w:r w:rsidRPr="00E8358C">
        <w:t>vraient, en principe, être concernées, chacune ayant ses responsabilités d</w:t>
      </w:r>
      <w:r w:rsidRPr="00E8358C">
        <w:t>é</w:t>
      </w:r>
      <w:r w:rsidRPr="00E8358C">
        <w:t>finies sous la houlette du ministère de la Culture et de celui de la Planific</w:t>
      </w:r>
      <w:r w:rsidRPr="00E8358C">
        <w:t>a</w:t>
      </w:r>
      <w:r w:rsidRPr="00E8358C">
        <w:t>tion. Les Travaux publics, Transport et Communication pour les découve</w:t>
      </w:r>
      <w:r w:rsidRPr="00E8358C">
        <w:t>r</w:t>
      </w:r>
      <w:r w:rsidRPr="00E8358C">
        <w:t>tes archéologiques urbaines ; l’Agriculture pour l’archéologie rurale et les questions écologiques ; l’Éducation et le Tourisme pour la promotion et la transmission de l’esprit des lieux de mémoire et des mémoires ; l’Économie et les Finances pour l’apport monétaire ; le Parlement pour l</w:t>
      </w:r>
      <w:r w:rsidRPr="00E8358C">
        <w:t>é</w:t>
      </w:r>
      <w:r w:rsidRPr="00E8358C">
        <w:t>giférer contre vols, pillages et trafics illicites. La Justice, l’Intérieur et les collectivités territoriales et la S</w:t>
      </w:r>
      <w:r w:rsidRPr="00E8358C">
        <w:t>é</w:t>
      </w:r>
      <w:r w:rsidRPr="00E8358C">
        <w:t>curité publique pour l’application des normes. Les Affaires étrangères pour appuyer les décisions, car il revient de faire la promotion de l’image du pays à l’extérieur. (Vénite, entrevue, 12 avril 2014)</w:t>
      </w:r>
    </w:p>
    <w:p w:rsidR="004C50DC" w:rsidRPr="00E8358C" w:rsidRDefault="004C50DC" w:rsidP="004C50DC">
      <w:pPr>
        <w:pStyle w:val="Citation0"/>
      </w:pPr>
    </w:p>
    <w:p w:rsidR="004C50DC" w:rsidRPr="00E8358C" w:rsidRDefault="004C50DC" w:rsidP="004C50DC">
      <w:pPr>
        <w:spacing w:before="120" w:after="120"/>
        <w:jc w:val="both"/>
        <w:rPr>
          <w:lang w:eastAsia="en-CA"/>
        </w:rPr>
      </w:pPr>
      <w:r w:rsidRPr="00E8358C">
        <w:t>Les avis de Vénite situent les voies à emprunter pour élaborer une politique culturelle en Haïti qui soit digne de sa riche culture. Ils reje</w:t>
      </w:r>
      <w:r w:rsidRPr="00E8358C">
        <w:t>t</w:t>
      </w:r>
      <w:r w:rsidRPr="00E8358C">
        <w:t xml:space="preserve">tent également toute idée qui laisserait croire que le ministère de la Culture est le seul concerné. </w:t>
      </w:r>
      <w:r w:rsidRPr="00E8358C">
        <w:rPr>
          <w:lang w:eastAsia="en-CA"/>
        </w:rPr>
        <w:t>Peu d’employés du ministère de la Cult</w:t>
      </w:r>
      <w:r w:rsidRPr="00E8358C">
        <w:rPr>
          <w:lang w:eastAsia="en-CA"/>
        </w:rPr>
        <w:t>u</w:t>
      </w:r>
      <w:r w:rsidRPr="00E8358C">
        <w:rPr>
          <w:lang w:eastAsia="en-CA"/>
        </w:rPr>
        <w:t>re trouvent les mots appropriés pour nous parler de politique culture</w:t>
      </w:r>
      <w:r w:rsidRPr="00E8358C">
        <w:rPr>
          <w:lang w:eastAsia="en-CA"/>
        </w:rPr>
        <w:t>l</w:t>
      </w:r>
      <w:r w:rsidRPr="00E8358C">
        <w:rPr>
          <w:lang w:eastAsia="en-CA"/>
        </w:rPr>
        <w:t>le. Edwin, 37 ans, cadre à la section de communication au Ministère haïtien de la Culture, résume laconiquement son avis que nous avons recueilli le 13 avril 2014 à Port-au-Prince. Il refuse de parler de l’existence d’une politique culturelle en Haïti et nous confie que ce sujet n’a jamais été discuté au ministère de la Culture à sa connaissa</w:t>
      </w:r>
      <w:r w:rsidRPr="00E8358C">
        <w:rPr>
          <w:lang w:eastAsia="en-CA"/>
        </w:rPr>
        <w:t>n</w:t>
      </w:r>
      <w:r w:rsidRPr="00E8358C">
        <w:rPr>
          <w:lang w:eastAsia="en-CA"/>
        </w:rPr>
        <w:t>ce.</w:t>
      </w:r>
    </w:p>
    <w:p w:rsidR="004C50DC" w:rsidRDefault="004C50DC" w:rsidP="004C50DC">
      <w:pPr>
        <w:pStyle w:val="Citation0i"/>
        <w:rPr>
          <w:szCs w:val="22"/>
        </w:rPr>
      </w:pPr>
      <w:r w:rsidRPr="00E8358C">
        <w:rPr>
          <w:szCs w:val="22"/>
        </w:rPr>
        <w:t>Se ou ki vin fè m panse a kesyon politik kiltirèl sa. Si li egziste, ebyen se sou papye. Mwen se nan diskou politik jeneral Premye minis yo m konn tande pale de sa. Mwen nan ministè a depi 10 zan, m pa janm wè yo vin diskite de sa ak nou, ni chita ak nou pou defini l ou pou ta fè n pran kon</w:t>
      </w:r>
      <w:r w:rsidRPr="00E8358C">
        <w:rPr>
          <w:szCs w:val="22"/>
        </w:rPr>
        <w:t>e</w:t>
      </w:r>
      <w:r w:rsidRPr="00E8358C">
        <w:rPr>
          <w:szCs w:val="22"/>
        </w:rPr>
        <w:t>sans de li konsa pou n ta aplike l nan sèvis nou. Petèt se lè m pa la, sa te fèt [</w:t>
      </w:r>
      <w:r>
        <w:rPr>
          <w:szCs w:val="22"/>
        </w:rPr>
        <w:t>ri].</w:t>
      </w:r>
    </w:p>
    <w:p w:rsidR="004C50DC" w:rsidRPr="00E8358C" w:rsidRDefault="004C50DC" w:rsidP="004C50DC">
      <w:pPr>
        <w:pStyle w:val="Citation0i"/>
        <w:rPr>
          <w:szCs w:val="22"/>
        </w:rPr>
      </w:pPr>
    </w:p>
    <w:p w:rsidR="004C50DC" w:rsidRDefault="004C50DC" w:rsidP="004C50DC">
      <w:pPr>
        <w:spacing w:before="120" w:after="120"/>
        <w:jc w:val="both"/>
        <w:rPr>
          <w:szCs w:val="22"/>
          <w:lang w:eastAsia="en-CA"/>
        </w:rPr>
      </w:pPr>
      <w:r>
        <w:rPr>
          <w:szCs w:val="22"/>
          <w:lang w:eastAsia="en-CA"/>
        </w:rPr>
        <w:t>[137]</w:t>
      </w:r>
    </w:p>
    <w:p w:rsidR="004C50DC" w:rsidRPr="00E8358C" w:rsidRDefault="004C50DC" w:rsidP="004C50DC">
      <w:pPr>
        <w:pStyle w:val="Citation0"/>
        <w:rPr>
          <w:lang w:eastAsia="en-CA"/>
        </w:rPr>
      </w:pPr>
      <w:r w:rsidRPr="00E8358C">
        <w:rPr>
          <w:lang w:eastAsia="en-CA"/>
        </w:rPr>
        <w:t>[Honnêtement, c’est vous qui me portez à réfléchir à la question de la pol</w:t>
      </w:r>
      <w:r w:rsidRPr="00E8358C">
        <w:rPr>
          <w:lang w:eastAsia="en-CA"/>
        </w:rPr>
        <w:t>i</w:t>
      </w:r>
      <w:r w:rsidRPr="00E8358C">
        <w:rPr>
          <w:lang w:eastAsia="en-CA"/>
        </w:rPr>
        <w:t>tique culturelle en Haïti. S’il elleexiste, elle reste au stade des discours lors des séances de déclaration de politique générale des Premiers ministres. Je travaille au ministère depuis dix ans. Aucune discussion ou aucun débat n’a jamais porté sur une telle question ni aucune réflexion sur sa définition réelle n’a été réalisée. On n’a jamais été touché par le contenu pour son application dans le cadre de nos attributions. Peut-être que les séances ont été organisées en mon a</w:t>
      </w:r>
      <w:r w:rsidRPr="00E8358C">
        <w:rPr>
          <w:lang w:eastAsia="en-CA"/>
        </w:rPr>
        <w:t>b</w:t>
      </w:r>
      <w:r w:rsidRPr="00E8358C">
        <w:rPr>
          <w:lang w:eastAsia="en-CA"/>
        </w:rPr>
        <w:t xml:space="preserve">sence (rire)]. </w:t>
      </w:r>
    </w:p>
    <w:p w:rsidR="004C50DC" w:rsidRDefault="004C50DC" w:rsidP="004C50DC">
      <w:pPr>
        <w:pStyle w:val="Citation0c"/>
      </w:pPr>
      <w:r w:rsidRPr="00E8358C">
        <w:t xml:space="preserve">(Edwin, entrevue, </w:t>
      </w:r>
      <w:r w:rsidRPr="00E8358C">
        <w:rPr>
          <w:szCs w:val="22"/>
        </w:rPr>
        <w:t>Port</w:t>
      </w:r>
      <w:r w:rsidRPr="00E8358C">
        <w:t>-au-Prince, 13 avril 2014)</w:t>
      </w:r>
    </w:p>
    <w:p w:rsidR="004C50DC" w:rsidRPr="00E8358C" w:rsidRDefault="004C50DC" w:rsidP="004C50DC">
      <w:pPr>
        <w:pStyle w:val="Citation0c"/>
      </w:pPr>
    </w:p>
    <w:p w:rsidR="004C50DC" w:rsidRPr="00E8358C" w:rsidRDefault="004C50DC" w:rsidP="004C50DC">
      <w:pPr>
        <w:spacing w:before="120" w:after="120"/>
        <w:jc w:val="both"/>
        <w:rPr>
          <w:lang w:eastAsia="en-CA"/>
        </w:rPr>
      </w:pPr>
      <w:r w:rsidRPr="00E8358C">
        <w:rPr>
          <w:lang w:eastAsia="en-CA"/>
        </w:rPr>
        <w:t>Dans les propos d’Edwin, on peut comprendre que les professio</w:t>
      </w:r>
      <w:r w:rsidRPr="00E8358C">
        <w:rPr>
          <w:lang w:eastAsia="en-CA"/>
        </w:rPr>
        <w:t>n</w:t>
      </w:r>
      <w:r w:rsidRPr="00E8358C">
        <w:rPr>
          <w:lang w:eastAsia="en-CA"/>
        </w:rPr>
        <w:t>nels étatiques de la Culture ignorent souvent les décisions prises au ministère, ou qu’ils en sont exclus. Edwin poursuit, précisant que les résultats constatés jusqu’ici sont le fruit des efforts de quelques mini</w:t>
      </w:r>
      <w:r w:rsidRPr="00E8358C">
        <w:rPr>
          <w:lang w:eastAsia="en-CA"/>
        </w:rPr>
        <w:t>s</w:t>
      </w:r>
      <w:r w:rsidRPr="00E8358C">
        <w:rPr>
          <w:lang w:eastAsia="en-CA"/>
        </w:rPr>
        <w:t>tres et de la détermination des employés.</w:t>
      </w:r>
    </w:p>
    <w:p w:rsidR="004C50DC" w:rsidRDefault="004C50DC" w:rsidP="004C50DC">
      <w:pPr>
        <w:pStyle w:val="Citation0i"/>
      </w:pPr>
    </w:p>
    <w:p w:rsidR="004C50DC" w:rsidRDefault="004C50DC" w:rsidP="004C50DC">
      <w:pPr>
        <w:pStyle w:val="Citation0i"/>
      </w:pPr>
      <w:r w:rsidRPr="00E8358C">
        <w:t>Monchè, jodia si gen yon aksyon k ap fèt pou kilti se pa nan yon politik byen defini li soti. Se pito Minis yo, ki chita ak konseye e selon sa go</w:t>
      </w:r>
      <w:r w:rsidRPr="00E8358C">
        <w:t>u</w:t>
      </w:r>
      <w:r w:rsidRPr="00E8358C">
        <w:t>venman an vle pase nan yon moman presi yo reyalize. Se volonte ak det</w:t>
      </w:r>
      <w:r w:rsidRPr="00E8358C">
        <w:t>è</w:t>
      </w:r>
      <w:r w:rsidRPr="00E8358C">
        <w:t>minasyon kèk anplwaye nan en1stitisyon otonom ki depan de Ministè a tankou ISPAN, MUPANAH…, ki fè nou ka pale de kilti, pwoteksyon ak mete an valè patrimwann.</w:t>
      </w:r>
    </w:p>
    <w:p w:rsidR="004C50DC" w:rsidRDefault="004C50DC" w:rsidP="004C50DC">
      <w:pPr>
        <w:pStyle w:val="Citation0"/>
        <w:rPr>
          <w:lang w:eastAsia="en-CA"/>
        </w:rPr>
      </w:pPr>
      <w:r w:rsidRPr="00E8358C">
        <w:rPr>
          <w:lang w:eastAsia="en-CA"/>
        </w:rPr>
        <w:t>[Aujourd’hui, les quelques actions entreprises par le Ministère ne sont pas, en réalité, des résultats d’une politique culturelle bien définie au préalable. Parfois, c’est la matérialisation d’une idée d’un ministre après concertation avec son cabinet pour répondre à une demande du gouvernement. Elles sont souvent l’œuvre de quelques employés d</w:t>
      </w:r>
      <w:r w:rsidRPr="00E8358C">
        <w:rPr>
          <w:lang w:eastAsia="en-CA"/>
        </w:rPr>
        <w:t>é</w:t>
      </w:r>
      <w:r w:rsidRPr="00E8358C">
        <w:rPr>
          <w:lang w:eastAsia="en-CA"/>
        </w:rPr>
        <w:t>terminés et motivés à la cause de la culture et du patrimoine dans les institutions autonomes (I</w:t>
      </w:r>
      <w:r w:rsidRPr="00E8358C">
        <w:rPr>
          <w:lang w:eastAsia="en-CA"/>
        </w:rPr>
        <w:t>S</w:t>
      </w:r>
      <w:r w:rsidRPr="00E8358C">
        <w:rPr>
          <w:lang w:eastAsia="en-CA"/>
        </w:rPr>
        <w:t>PAN, MUPANAH…) contrôlées par le M</w:t>
      </w:r>
      <w:r w:rsidRPr="00E8358C">
        <w:rPr>
          <w:lang w:eastAsia="en-CA"/>
        </w:rPr>
        <w:t>i</w:t>
      </w:r>
      <w:r w:rsidRPr="00E8358C">
        <w:rPr>
          <w:lang w:eastAsia="en-CA"/>
        </w:rPr>
        <w:t>nistère. Si on peut encore parler de la culture, de la sauvegarde et de la mise en valeur du patrimoine, c’est grâce à ces efforts marqués par la conscience professionnelle]. (Ibid.)</w:t>
      </w:r>
    </w:p>
    <w:p w:rsidR="004C50DC" w:rsidRPr="00E8358C" w:rsidRDefault="004C50DC" w:rsidP="004C50DC">
      <w:pPr>
        <w:pStyle w:val="Citation0"/>
        <w:rPr>
          <w:lang w:eastAsia="en-CA"/>
        </w:rPr>
      </w:pPr>
    </w:p>
    <w:p w:rsidR="004C50DC" w:rsidRPr="00E8358C" w:rsidRDefault="004C50DC" w:rsidP="004C50DC">
      <w:pPr>
        <w:spacing w:before="120" w:after="120"/>
        <w:jc w:val="both"/>
        <w:rPr>
          <w:lang w:eastAsia="en-CA"/>
        </w:rPr>
      </w:pPr>
      <w:r w:rsidRPr="00E8358C">
        <w:rPr>
          <w:lang w:eastAsia="en-CA"/>
        </w:rPr>
        <w:t>Il incombe effectivement aux institutions citées par Edwin de prendre les devants et de jouer un rôle actif dans la réalisation d’une politique culturelle en Haïti, car elles constituent des organismes ph</w:t>
      </w:r>
      <w:r w:rsidRPr="00E8358C">
        <w:rPr>
          <w:lang w:eastAsia="en-CA"/>
        </w:rPr>
        <w:t>a</w:t>
      </w:r>
      <w:r w:rsidRPr="00E8358C">
        <w:rPr>
          <w:lang w:eastAsia="en-CA"/>
        </w:rPr>
        <w:t>res qui participent à la définition des lignes directrices du Ministère de la Culture. La motivation des employés est aussi une piste à exploiter pour édifier la matérialisation d’un tel objectif.</w:t>
      </w:r>
    </w:p>
    <w:p w:rsidR="004C50DC" w:rsidRPr="00E8358C" w:rsidRDefault="004C50DC" w:rsidP="004C50DC">
      <w:pPr>
        <w:spacing w:before="120" w:after="120"/>
        <w:jc w:val="both"/>
      </w:pPr>
      <w:r w:rsidRPr="00E8358C">
        <w:t xml:space="preserve">Il est intéressant également de souligner que, dans ce décor d’hésitation institutionnelle et d’inexistence jusqu’à ce jour d’une « loi-cadre pour le ministère de la Culture », le </w:t>
      </w:r>
      <w:r w:rsidRPr="00792DC7">
        <w:t>11 [138] décembre 2013</w:t>
      </w:r>
      <w:r>
        <w:t> </w:t>
      </w:r>
      <w:r>
        <w:rPr>
          <w:rStyle w:val="Appelnotedebasdep"/>
        </w:rPr>
        <w:footnoteReference w:id="445"/>
      </w:r>
      <w:r w:rsidRPr="00792DC7">
        <w:t xml:space="preserve">, le Bureau national d’Ethnologie (BNE), </w:t>
      </w:r>
      <w:r w:rsidRPr="00E8358C">
        <w:t>dépositaire de la pol</w:t>
      </w:r>
      <w:r w:rsidRPr="00E8358C">
        <w:t>i</w:t>
      </w:r>
      <w:r w:rsidRPr="00E8358C">
        <w:t xml:space="preserve">tique culturelle, </w:t>
      </w:r>
      <w:r w:rsidRPr="00792DC7">
        <w:t>a pris une décision visant à réglementer toute explo</w:t>
      </w:r>
      <w:r w:rsidRPr="00792DC7">
        <w:t>i</w:t>
      </w:r>
      <w:r w:rsidRPr="00792DC7">
        <w:t xml:space="preserve">tation, recherche et exploration touchant </w:t>
      </w:r>
      <w:r w:rsidRPr="00E8358C">
        <w:t>la gestion des patrimo</w:t>
      </w:r>
      <w:r w:rsidRPr="00E8358C">
        <w:t>i</w:t>
      </w:r>
      <w:r w:rsidRPr="00E8358C">
        <w:t>nes</w:t>
      </w:r>
      <w:r w:rsidRPr="00792DC7">
        <w:t xml:space="preserve"> archéologiques, matériels et immatériels, ainsi que la pratique de la spéléologie en Haïti. Cet avis s’étend aussi « aux </w:t>
      </w:r>
      <w:r w:rsidRPr="00E8358C">
        <w:t>prises de photos et de vidéos réalisées sur les œuvres du patrimoine national et publiées sur des sites Internet. Elles sont désormais interdites sans autorisation préalable ». Cette extension de prérogatives est-elle prévue par le d</w:t>
      </w:r>
      <w:r w:rsidRPr="00E8358C">
        <w:t>é</w:t>
      </w:r>
      <w:r w:rsidRPr="00E8358C">
        <w:t>cret du 20 octobre 1984 ?</w:t>
      </w:r>
      <w:r>
        <w:t> </w:t>
      </w:r>
      <w:r>
        <w:rPr>
          <w:rStyle w:val="Appelnotedebasdep"/>
        </w:rPr>
        <w:footnoteReference w:id="446"/>
      </w:r>
    </w:p>
    <w:p w:rsidR="004C50DC" w:rsidRDefault="004C50DC" w:rsidP="004C50DC">
      <w:pPr>
        <w:spacing w:before="120" w:after="120"/>
        <w:jc w:val="both"/>
      </w:pPr>
      <w:r w:rsidRPr="00E8358C">
        <w:t>On s’accorde aussi à reconnaître les limites de ce communiqué qui ne fait pas la différence entre, d’un côté, la recherche anthropologique ou archéologique et, de l’autre, le devoir de mémoire qui incite so</w:t>
      </w:r>
      <w:r w:rsidRPr="00E8358C">
        <w:t>u</w:t>
      </w:r>
      <w:r w:rsidRPr="00E8358C">
        <w:t>vent les citoyens à mener leurs propres recherches scientifiques, crit</w:t>
      </w:r>
      <w:r w:rsidRPr="00E8358C">
        <w:t>i</w:t>
      </w:r>
      <w:r w:rsidRPr="00E8358C">
        <w:t>ques et objectives sur leur passé ou à se documenter sur des faits en rapport avec l’histoire contemporaine. Par là même, ils peuvent se constituer des espaces de souvenir et de réflexion en dehors du cadre étatique établi. Toutefois, à</w:t>
      </w:r>
      <w:r w:rsidRPr="00792DC7">
        <w:t xml:space="preserve"> travers cette démarche protectionniste du patrimoine national haïtien, le BNE veut être le principal garant des richesses archéologiques et anthropologiques haïtiennes. C’est une réponse conjoncturelle </w:t>
      </w:r>
      <w:r w:rsidRPr="00E8358C">
        <w:t xml:space="preserve">pour </w:t>
      </w:r>
      <w:r w:rsidRPr="00792DC7">
        <w:t xml:space="preserve">prévenir les actes de vandalisme dont sont toujours victimes les lieux de mémoires en Haïti. </w:t>
      </w:r>
      <w:r w:rsidRPr="00E8358C">
        <w:t>L’enjeu culturel est déterminant. L’État et les communautés doivent s’engager plein</w:t>
      </w:r>
      <w:r w:rsidRPr="00E8358C">
        <w:t>e</w:t>
      </w:r>
      <w:r w:rsidRPr="00E8358C">
        <w:t>ment pour que la promotion du patrimoine national soit mieux élab</w:t>
      </w:r>
      <w:r w:rsidRPr="00E8358C">
        <w:t>o</w:t>
      </w:r>
      <w:r w:rsidRPr="00E8358C">
        <w:t>rée et durable. Il faut faire des efforts pour défendre aussi la diversité des expressions culturelles haïtiennes à l’heure actuelle, où les crit</w:t>
      </w:r>
      <w:r w:rsidRPr="00E8358C">
        <w:t>i</w:t>
      </w:r>
      <w:r w:rsidRPr="00E8358C">
        <w:t>ques accusent le marché culturel haïtien d’être opaque et de manquer de professionnalisme. Une fois de plus, aucune volonté de réfléchir sur les manifestations des mémoires de l’esclavage et sur leur place dans la socié</w:t>
      </w:r>
      <w:r>
        <w:t>té haïtienne n’a été repérée.</w:t>
      </w:r>
    </w:p>
    <w:p w:rsidR="004C50DC" w:rsidRPr="00E8358C" w:rsidRDefault="004C50DC" w:rsidP="004C50DC">
      <w:pPr>
        <w:spacing w:before="120" w:after="120"/>
        <w:jc w:val="both"/>
      </w:pPr>
      <w:r>
        <w:t>[139]</w:t>
      </w:r>
    </w:p>
    <w:p w:rsidR="004C50DC" w:rsidRPr="00E8358C" w:rsidRDefault="004C50DC" w:rsidP="004C50DC">
      <w:pPr>
        <w:spacing w:before="120" w:after="120"/>
        <w:jc w:val="both"/>
      </w:pPr>
      <w:r w:rsidRPr="00E8358C">
        <w:t>En principe, la culture est l’un des droits fondamentaux reconnus au peuple haïtien. Elle représente un levier indispensable à l’établissement d’un État démocratique, à l’acceptation et à la co</w:t>
      </w:r>
      <w:r w:rsidRPr="00E8358C">
        <w:t>m</w:t>
      </w:r>
      <w:r w:rsidRPr="00E8358C">
        <w:t>préhension de l’autre. C’est le bien commun de tous. Et au terme de cette analyse des politiques culturelles haïtiennes, on aperçoit que les gouvernements ont bien compris l’importance de la liberté et de la diversité culturelle. Ils ont tous voulu créer des espaces de dévelo</w:t>
      </w:r>
      <w:r w:rsidRPr="00E8358C">
        <w:t>p</w:t>
      </w:r>
      <w:r w:rsidRPr="00E8358C">
        <w:t>pement de la culture et de sauvegarde du patrimoine national haïtien. Ils ont tenté aussi d’émettre des conditions-cadres pour faciliter la m</w:t>
      </w:r>
      <w:r w:rsidRPr="00E8358C">
        <w:t>i</w:t>
      </w:r>
      <w:r w:rsidRPr="00E8358C">
        <w:t>se en valeur des pratiques de vie de la société. Ils ne veulent pas s’ingérer dans les productions des artistes, des artisans, des auteurs… Ceci ne veut pas dire que la culture à certains moments n’a pas été instrumentalisée à des fins politiques</w:t>
      </w:r>
      <w:r>
        <w:t> </w:t>
      </w:r>
      <w:r w:rsidRPr="00E8358C">
        <w:rPr>
          <w:rStyle w:val="Appelnotedebasdep"/>
        </w:rPr>
        <w:footnoteReference w:id="447"/>
      </w:r>
      <w:r w:rsidRPr="00E8358C">
        <w:t xml:space="preserve"> ou commerciales. </w:t>
      </w:r>
    </w:p>
    <w:p w:rsidR="004C50DC" w:rsidRPr="00E8358C" w:rsidRDefault="004C50DC" w:rsidP="004C50DC">
      <w:pPr>
        <w:spacing w:before="120" w:after="120"/>
        <w:jc w:val="both"/>
      </w:pPr>
      <w:r w:rsidRPr="00E8358C">
        <w:t>On note que la politique culturelle rime avec la valorisation et la promotion nationale et internationale d’Haïti. Dans cette foulée, les autorités entendent assumer la responsabilité de classer et d’inventorier ce qu’elles appellent les éléments du patrimoine nati</w:t>
      </w:r>
      <w:r w:rsidRPr="00E8358C">
        <w:t>o</w:t>
      </w:r>
      <w:r w:rsidRPr="00E8358C">
        <w:t xml:space="preserve">nal, de reconnaître les artistes et leurs œuvres. En l’absence d’une loi-cadre pour le ministère de la Culture, elles se contentent d’inscrire leurs intentions dans leurs déclarations de politique générale. </w:t>
      </w:r>
    </w:p>
    <w:p w:rsidR="004C50DC" w:rsidRPr="00E8358C" w:rsidRDefault="004C50DC" w:rsidP="004C50DC">
      <w:pPr>
        <w:spacing w:before="120" w:after="120"/>
        <w:jc w:val="both"/>
      </w:pPr>
      <w:r w:rsidRPr="00E8358C">
        <w:t>L’attitude des autorités compétentes se situe donc, en quelque so</w:t>
      </w:r>
      <w:r w:rsidRPr="00E8358C">
        <w:t>r</w:t>
      </w:r>
      <w:r w:rsidRPr="00E8358C">
        <w:t>te, à la frontière de l’inertie et de l’action concrète. Cependant, face à la mutation sociale et culturelle, les Haïtiens ont soif de se découvrir, de se reconnaître en plein cœur d’une mondialisation des cultures e</w:t>
      </w:r>
      <w:r w:rsidRPr="00E8358C">
        <w:t>n</w:t>
      </w:r>
      <w:r w:rsidRPr="00E8358C">
        <w:t>tretenue par les nouvelles technologies de l’information. Les citoyens les plus sensibles à la préservation des éléments authentiques de la culture haïtienne s’inquiètent. La participation de la population à la vie culturelle est aussi indispensable pour mieux appréhender le p</w:t>
      </w:r>
      <w:r w:rsidRPr="00E8358C">
        <w:t>a</w:t>
      </w:r>
      <w:r w:rsidRPr="00E8358C">
        <w:t>trimoine et les traditions, et assurer leur transmission et leur perpétu</w:t>
      </w:r>
      <w:r w:rsidRPr="00E8358C">
        <w:t>a</w:t>
      </w:r>
      <w:r w:rsidRPr="00E8358C">
        <w:t>tion au bénéfice des générations futures. Il faut donc que la politique soit à l’écoute des communautés pour démocratiser la culture comme un outil de fusionnement actif de tous les secteurs, que ce soit le to</w:t>
      </w:r>
      <w:r w:rsidRPr="00E8358C">
        <w:t>u</w:t>
      </w:r>
      <w:r w:rsidRPr="00E8358C">
        <w:t>risme, le domaine social, les loisirs, l’économie, l’éducation ou l’environnement.</w:t>
      </w:r>
    </w:p>
    <w:p w:rsidR="004C50DC" w:rsidRDefault="004C50DC" w:rsidP="004C50DC">
      <w:pPr>
        <w:spacing w:before="120" w:after="120"/>
        <w:jc w:val="both"/>
      </w:pPr>
      <w:bookmarkStart w:id="140" w:name="_Toc406489672"/>
      <w:bookmarkStart w:id="141" w:name="_Toc423347293"/>
      <w:bookmarkStart w:id="142" w:name="_Toc442280471"/>
      <w:r>
        <w:t>[140]</w:t>
      </w:r>
    </w:p>
    <w:p w:rsidR="004C50DC" w:rsidRDefault="004C50DC" w:rsidP="004C50DC">
      <w:pPr>
        <w:spacing w:before="120" w:after="120"/>
        <w:jc w:val="both"/>
      </w:pPr>
    </w:p>
    <w:p w:rsidR="004C50DC" w:rsidRPr="00E8358C" w:rsidRDefault="004C50DC" w:rsidP="004C50DC">
      <w:pPr>
        <w:pStyle w:val="a"/>
      </w:pPr>
      <w:r w:rsidRPr="00E8358C">
        <w:t>3.2.2. La mémoire de l’esclavage</w:t>
      </w:r>
      <w:r>
        <w:br/>
      </w:r>
      <w:r w:rsidRPr="00E8358C">
        <w:t>dans les politiques culturelles</w:t>
      </w:r>
      <w:bookmarkEnd w:id="140"/>
      <w:bookmarkEnd w:id="141"/>
      <w:bookmarkEnd w:id="142"/>
    </w:p>
    <w:p w:rsidR="004C50DC" w:rsidRDefault="004C50DC" w:rsidP="004C50DC">
      <w:pPr>
        <w:spacing w:before="120" w:after="120"/>
        <w:jc w:val="both"/>
      </w:pPr>
    </w:p>
    <w:p w:rsidR="004C50DC" w:rsidRPr="00E8358C" w:rsidRDefault="004C50DC" w:rsidP="004C50DC">
      <w:pPr>
        <w:spacing w:before="120" w:after="120"/>
        <w:jc w:val="both"/>
        <w:rPr>
          <w:lang w:eastAsia="en-CA"/>
        </w:rPr>
      </w:pPr>
      <w:r w:rsidRPr="00E8358C">
        <w:t xml:space="preserve">Le processus de mise en patrimoine des mémoires de l’esclavage nous amène à faire ressortir son adéquation ou son inadéquation avec la mémoire collective haïtienne. </w:t>
      </w:r>
      <w:r w:rsidRPr="00E8358C">
        <w:rPr>
          <w:lang w:eastAsia="en-CA"/>
        </w:rPr>
        <w:t xml:space="preserve">En 2004, une </w:t>
      </w:r>
      <w:r w:rsidRPr="00E8358C">
        <w:rPr>
          <w:shd w:val="clear" w:color="auto" w:fill="FFFFFF"/>
        </w:rPr>
        <w:t>Commission préside</w:t>
      </w:r>
      <w:r w:rsidRPr="00E8358C">
        <w:rPr>
          <w:shd w:val="clear" w:color="auto" w:fill="FFFFFF"/>
        </w:rPr>
        <w:t>n</w:t>
      </w:r>
      <w:r w:rsidRPr="00E8358C">
        <w:rPr>
          <w:shd w:val="clear" w:color="auto" w:fill="FFFFFF"/>
        </w:rPr>
        <w:t xml:space="preserve">tielle de commémoration du bicentenaire de l’Indépendance a été constituée. </w:t>
      </w:r>
      <w:r w:rsidRPr="00E8358C">
        <w:rPr>
          <w:lang w:eastAsia="en-CA"/>
        </w:rPr>
        <w:t xml:space="preserve">Le </w:t>
      </w:r>
      <w:r w:rsidRPr="00E8358C">
        <w:rPr>
          <w:shd w:val="clear" w:color="auto" w:fill="FFFFFF"/>
        </w:rPr>
        <w:t xml:space="preserve">ministère de la Culture </w:t>
      </w:r>
      <w:r w:rsidRPr="00E8358C">
        <w:rPr>
          <w:lang w:eastAsia="en-CA"/>
        </w:rPr>
        <w:t>et l’UNESCO ont encouragé l</w:t>
      </w:r>
      <w:r w:rsidRPr="00E8358C">
        <w:rPr>
          <w:shd w:val="clear" w:color="auto" w:fill="FFFFFF"/>
        </w:rPr>
        <w:t>’</w:t>
      </w:r>
      <w:r w:rsidRPr="00E8358C">
        <w:rPr>
          <w:lang w:eastAsia="en-CA"/>
        </w:rPr>
        <w:t>initiative visant à réfléchir, documenter, identifier et réaliser un e</w:t>
      </w:r>
      <w:r w:rsidRPr="00E8358C">
        <w:rPr>
          <w:lang w:eastAsia="en-CA"/>
        </w:rPr>
        <w:t>n</w:t>
      </w:r>
      <w:r w:rsidRPr="00E8358C">
        <w:rPr>
          <w:lang w:eastAsia="en-CA"/>
        </w:rPr>
        <w:t>semble d’activités qui prennent en compte les mémoires du passé c</w:t>
      </w:r>
      <w:r w:rsidRPr="00E8358C">
        <w:rPr>
          <w:lang w:eastAsia="en-CA"/>
        </w:rPr>
        <w:t>o</w:t>
      </w:r>
      <w:r w:rsidRPr="00E8358C">
        <w:rPr>
          <w:lang w:eastAsia="en-CA"/>
        </w:rPr>
        <w:t>lonial esclavagiste et les formes de résistance qui ont conduit à l’Indépendance haïtienne. Elle consiste, de concert avec les collectiv</w:t>
      </w:r>
      <w:r w:rsidRPr="00E8358C">
        <w:rPr>
          <w:lang w:eastAsia="en-CA"/>
        </w:rPr>
        <w:t>i</w:t>
      </w:r>
      <w:r w:rsidRPr="00E8358C">
        <w:rPr>
          <w:lang w:eastAsia="en-CA"/>
        </w:rPr>
        <w:t xml:space="preserve">tés intéressées, à mettre en valeur des sites et des monuments comme la citadelle des Platons </w:t>
      </w:r>
      <w:r w:rsidRPr="00E8358C">
        <w:t>située à proximité de la ville de Torbeck (</w:t>
      </w:r>
      <w:r w:rsidRPr="00E8358C">
        <w:rPr>
          <w:lang w:eastAsia="en-CA"/>
        </w:rPr>
        <w:t>Cayes), le camp Gérard et l’habitation Pémerle dans la plaine des Cayes, ou à réhabiliter le site de Fort-Jacques dans la commune de Kenscoff (près de Pétion-Ville) et la statue du Nègre marron au Champ-de-Mars à Port-au-Prince. Cette démarche peut être consid</w:t>
      </w:r>
      <w:r w:rsidRPr="00E8358C">
        <w:rPr>
          <w:lang w:eastAsia="en-CA"/>
        </w:rPr>
        <w:t>é</w:t>
      </w:r>
      <w:r w:rsidRPr="00E8358C">
        <w:rPr>
          <w:lang w:eastAsia="en-CA"/>
        </w:rPr>
        <w:t xml:space="preserve">rée comme un pas vers une patrimonialisation de la mémoire de l’esclavage en Haïti. </w:t>
      </w:r>
    </w:p>
    <w:p w:rsidR="004C50DC" w:rsidRPr="00E8358C" w:rsidRDefault="004C50DC" w:rsidP="004C50DC">
      <w:pPr>
        <w:spacing w:before="120" w:after="120"/>
        <w:jc w:val="both"/>
        <w:rPr>
          <w:lang w:eastAsia="en-CA"/>
        </w:rPr>
      </w:pPr>
      <w:r w:rsidRPr="00E8358C">
        <w:rPr>
          <w:lang w:eastAsia="en-CA"/>
        </w:rPr>
        <w:t>Parmi les autres manifestations culturelles soutenues par le mini</w:t>
      </w:r>
      <w:r w:rsidRPr="00E8358C">
        <w:rPr>
          <w:lang w:eastAsia="en-CA"/>
        </w:rPr>
        <w:t>s</w:t>
      </w:r>
      <w:r w:rsidRPr="00E8358C">
        <w:rPr>
          <w:lang w:eastAsia="en-CA"/>
        </w:rPr>
        <w:t>tère de la Culture, il faut souligner aussi le projet « Route 2004 » et le « rappel à la population de la portée historique de l’événement du Bois-Caïman, par la réalisation en août 2004 du </w:t>
      </w:r>
      <w:r w:rsidRPr="00E8358C">
        <w:rPr>
          <w:i/>
          <w:lang w:eastAsia="en-CA"/>
        </w:rPr>
        <w:t>spectacle de l’Aurore</w:t>
      </w:r>
      <w:r w:rsidRPr="00E8358C">
        <w:rPr>
          <w:lang w:eastAsia="en-CA"/>
        </w:rPr>
        <w:t xml:space="preserve"> dans le cadre de la journée internationale du souvenir des luttes contre l’esclavage et de son abolition »</w:t>
      </w:r>
      <w:r>
        <w:rPr>
          <w:lang w:eastAsia="en-CA"/>
        </w:rPr>
        <w:t> </w:t>
      </w:r>
      <w:r w:rsidRPr="00E8358C">
        <w:rPr>
          <w:rStyle w:val="Appelnotedebasdep"/>
          <w:lang w:eastAsia="en-CA"/>
        </w:rPr>
        <w:footnoteReference w:id="448"/>
      </w:r>
      <w:r w:rsidRPr="00E8358C">
        <w:rPr>
          <w:lang w:eastAsia="en-CA"/>
        </w:rPr>
        <w:t>. L’année 2006 a été consacrée « année Dessalines », l’ensemble des activités visant à rendre un v</w:t>
      </w:r>
      <w:r w:rsidRPr="00E8358C">
        <w:rPr>
          <w:lang w:eastAsia="en-CA"/>
        </w:rPr>
        <w:t>i</w:t>
      </w:r>
      <w:r w:rsidRPr="00E8358C">
        <w:rPr>
          <w:lang w:eastAsia="en-CA"/>
        </w:rPr>
        <w:t>brant hommage à Jean-Jacques Dessalines, le père fondateur de la N</w:t>
      </w:r>
      <w:r w:rsidRPr="00E8358C">
        <w:rPr>
          <w:lang w:eastAsia="en-CA"/>
        </w:rPr>
        <w:t>a</w:t>
      </w:r>
      <w:r w:rsidRPr="00E8358C">
        <w:rPr>
          <w:lang w:eastAsia="en-CA"/>
        </w:rPr>
        <w:t>tion, par « une relecture du personnage, de son discours et de son a</w:t>
      </w:r>
      <w:r w:rsidRPr="00E8358C">
        <w:rPr>
          <w:lang w:eastAsia="en-CA"/>
        </w:rPr>
        <w:t>c</w:t>
      </w:r>
      <w:r w:rsidRPr="00E8358C">
        <w:rPr>
          <w:lang w:eastAsia="en-CA"/>
        </w:rPr>
        <w:t>tion », estime la ministre Magalie Comeau.</w:t>
      </w:r>
    </w:p>
    <w:p w:rsidR="004C50DC" w:rsidRDefault="004C50DC" w:rsidP="004C50DC">
      <w:pPr>
        <w:spacing w:before="120" w:after="120"/>
        <w:jc w:val="both"/>
        <w:rPr>
          <w:lang w:eastAsia="en-CA"/>
        </w:rPr>
      </w:pPr>
      <w:r w:rsidRPr="00E8358C">
        <w:rPr>
          <w:lang w:eastAsia="en-CA"/>
        </w:rPr>
        <w:t>Enfin, le don par la République d’Haïti à la mairie de Bordeaux d’un buste de Toussaint Louverture</w:t>
      </w:r>
      <w:r>
        <w:rPr>
          <w:lang w:eastAsia="en-CA"/>
        </w:rPr>
        <w:t> </w:t>
      </w:r>
      <w:r w:rsidRPr="00E8358C">
        <w:rPr>
          <w:rStyle w:val="Appelnotedebasdep"/>
          <w:lang w:eastAsia="en-CA"/>
        </w:rPr>
        <w:footnoteReference w:id="449"/>
      </w:r>
      <w:r>
        <w:rPr>
          <w:lang w:eastAsia="en-CA"/>
        </w:rPr>
        <w:t xml:space="preserve"> </w:t>
      </w:r>
      <w:r w:rsidRPr="00E8358C">
        <w:rPr>
          <w:lang w:eastAsia="en-CA"/>
        </w:rPr>
        <w:t xml:space="preserve">qui a été placé dans le square qui porte son nom dans le quartier de Bastide marque un tournant dans la reconnaissance de l’un des précurseurs de la lutte contre l’esclavage à Saint-Domingue. Pendant les </w:t>
      </w:r>
      <w:r w:rsidRPr="00D40E05">
        <w:rPr>
          <w:lang w:eastAsia="en-CA"/>
        </w:rPr>
        <w:t xml:space="preserve">200 ans d’indépendance d’Haïti, </w:t>
      </w:r>
      <w:r w:rsidRPr="00E8358C">
        <w:rPr>
          <w:lang w:eastAsia="en-CA"/>
        </w:rPr>
        <w:t>l</w:t>
      </w:r>
      <w:r w:rsidRPr="00D40E05">
        <w:rPr>
          <w:lang w:eastAsia="en-CA"/>
        </w:rPr>
        <w:t xml:space="preserve">es gouvernements passés </w:t>
      </w:r>
      <w:r w:rsidRPr="00E8358C">
        <w:rPr>
          <w:lang w:eastAsia="en-CA"/>
        </w:rPr>
        <w:t>se sont montrés très réticents ou n’ont manife</w:t>
      </w:r>
      <w:r w:rsidRPr="00E8358C">
        <w:rPr>
          <w:lang w:eastAsia="en-CA"/>
        </w:rPr>
        <w:t>s</w:t>
      </w:r>
      <w:r w:rsidRPr="00E8358C">
        <w:rPr>
          <w:lang w:eastAsia="en-CA"/>
        </w:rPr>
        <w:t>té que peu d’intérêt à</w:t>
      </w:r>
      <w:r>
        <w:rPr>
          <w:lang w:eastAsia="en-CA"/>
        </w:rPr>
        <w:t xml:space="preserve"> [141]</w:t>
      </w:r>
      <w:r w:rsidRPr="00E8358C">
        <w:rPr>
          <w:lang w:eastAsia="en-CA"/>
        </w:rPr>
        <w:t xml:space="preserve"> l’idée de commémorer la mémoire de l’esclavage avec autant d’éclat. Durant les deux ans qu’a duré la tra</w:t>
      </w:r>
      <w:r w:rsidRPr="00E8358C">
        <w:rPr>
          <w:lang w:eastAsia="en-CA"/>
        </w:rPr>
        <w:t>n</w:t>
      </w:r>
      <w:r w:rsidRPr="00E8358C">
        <w:rPr>
          <w:lang w:eastAsia="en-CA"/>
        </w:rPr>
        <w:t>sition entre le départ forcé du président Jean-Bertrand Artistide (29 février 2004) et l’investiture du président René Préval (14 mai 2006), on a ressenti dans ce gouvernement la volonté de briser le mur du s</w:t>
      </w:r>
      <w:r w:rsidRPr="00E8358C">
        <w:rPr>
          <w:lang w:eastAsia="en-CA"/>
        </w:rPr>
        <w:t>i</w:t>
      </w:r>
      <w:r w:rsidRPr="00E8358C">
        <w:rPr>
          <w:lang w:eastAsia="en-CA"/>
        </w:rPr>
        <w:t>lence sur le système esclavagiste et ses mémoires en Haïti. Jamais a</w:t>
      </w:r>
      <w:r w:rsidRPr="00E8358C">
        <w:rPr>
          <w:lang w:eastAsia="en-CA"/>
        </w:rPr>
        <w:t>u</w:t>
      </w:r>
      <w:r w:rsidRPr="00E8358C">
        <w:rPr>
          <w:lang w:eastAsia="en-CA"/>
        </w:rPr>
        <w:t>tant d’actions aussi concrètes n’avaient été posées. Justement, le go</w:t>
      </w:r>
      <w:r w:rsidRPr="00E8358C">
        <w:rPr>
          <w:lang w:eastAsia="en-CA"/>
        </w:rPr>
        <w:t>u</w:t>
      </w:r>
      <w:r w:rsidRPr="00E8358C">
        <w:rPr>
          <w:lang w:eastAsia="en-CA"/>
        </w:rPr>
        <w:t xml:space="preserve">vernement de transition héritait d’une circonstance favorable : la soif du peuple haïtien de commémorer dignement le bicentenaire de l’Indépendance après les séries de manifestations violentes contre le président Jean-Bertrand Aristide en 2004 qui l’en avaient empêché. Cependant, les efforts pour revisiter les lieux qui rappellent les temps forts du passé colonial, donc esclavagiste, ont été suspendus depuis 2006. L’ISPAN se trouve seul engagé dans les démarches pour </w:t>
      </w:r>
      <w:r>
        <w:rPr>
          <w:lang w:eastAsia="en-CA"/>
        </w:rPr>
        <w:t>conserver ce qui reste du bâti.</w:t>
      </w:r>
    </w:p>
    <w:p w:rsidR="004C50DC" w:rsidRPr="00E8358C" w:rsidRDefault="004C50DC" w:rsidP="004C50DC">
      <w:pPr>
        <w:spacing w:before="120" w:after="120"/>
        <w:jc w:val="both"/>
        <w:rPr>
          <w:lang w:eastAsia="en-CA"/>
        </w:rPr>
      </w:pPr>
      <w:r w:rsidRPr="00E8358C">
        <w:rPr>
          <w:lang w:eastAsia="en-CA"/>
        </w:rPr>
        <w:t>L’État h</w:t>
      </w:r>
      <w:r w:rsidRPr="00D40E05">
        <w:rPr>
          <w:lang w:eastAsia="en-CA"/>
        </w:rPr>
        <w:t>aïtien est encore réticent</w:t>
      </w:r>
      <w:r w:rsidRPr="00E8358C">
        <w:rPr>
          <w:lang w:eastAsia="en-CA"/>
        </w:rPr>
        <w:t xml:space="preserve"> à l’idée de patrimonialiser la m</w:t>
      </w:r>
      <w:r w:rsidRPr="00E8358C">
        <w:rPr>
          <w:lang w:eastAsia="en-CA"/>
        </w:rPr>
        <w:t>é</w:t>
      </w:r>
      <w:r w:rsidRPr="00E8358C">
        <w:rPr>
          <w:lang w:eastAsia="en-CA"/>
        </w:rPr>
        <w:t>moire de l’esclavage. C’est une mémoire sensible. Il faut éviter d’aborder les questions qui fâchent (la souffrance) de peur que l’on fasse le lien avec les réalités du présent. Le passé, c’est le passé. Le présent, c’est tout ce qui compte. Mais le présent haïtien n’est-il pas conditionné aussi par le passé colonial ? Les inégalités sociales ont toujours triomphé. De nombreux Haïtiens font quotidiennement l’expérience douloureuse de la pauvreté perçue comme l’une des conséquences de l’esclavage. Les mots d’Adelia, 42 ans, habitante du quartier de Bel-Air à Port-au-Prince, expriment bien cette dure situ</w:t>
      </w:r>
      <w:r w:rsidRPr="00E8358C">
        <w:rPr>
          <w:lang w:eastAsia="en-CA"/>
        </w:rPr>
        <w:t>a</w:t>
      </w:r>
      <w:r w:rsidRPr="00E8358C">
        <w:rPr>
          <w:lang w:eastAsia="en-CA"/>
        </w:rPr>
        <w:t>tion.</w:t>
      </w:r>
    </w:p>
    <w:p w:rsidR="004C50DC" w:rsidRDefault="004C50DC" w:rsidP="004C50DC">
      <w:pPr>
        <w:pStyle w:val="Citation0i"/>
      </w:pPr>
    </w:p>
    <w:p w:rsidR="004C50DC" w:rsidRDefault="004C50DC" w:rsidP="004C50DC">
      <w:pPr>
        <w:pStyle w:val="Citation0i"/>
      </w:pPr>
      <w:r w:rsidRPr="00E8358C">
        <w:t>Kijan pou w ta vle pou chèf ak mèt peyi yo ta pale de esklavaj. Yo pa gen okenn enterè nan sa... Ou pa wè se sa n ap viv bò isit la. Tout vi n, nou te ka konpare l ak kondisyon tan lesklavaj. Menm si nou pa gen chenn nan pye n, men li nan lanfè lavi n… Dirijan nou yo ap mennen vi kolon blan yo. Y ap banbile sou tèt nou. Silans yo a vle di anpil bagay. Y ap eksplw</w:t>
      </w:r>
      <w:r w:rsidRPr="00E8358C">
        <w:t>a</w:t>
      </w:r>
      <w:r w:rsidRPr="00E8358C">
        <w:t>te n tankou se yo sèl papa Dessalines te goumen pou bay endepandans. Kòm yo te tiye Anperè a aprèsa, se te pou ka redwi nou menm ti pèp la, ti pey</w:t>
      </w:r>
      <w:r w:rsidRPr="00E8358C">
        <w:t>i</w:t>
      </w:r>
      <w:r w:rsidRPr="00E8358C">
        <w:t>zan yo nan kondisyon esklavaj anko. Malerezman sa pap pase, n ap kont</w:t>
      </w:r>
      <w:r w:rsidRPr="00E8358C">
        <w:t>i</w:t>
      </w:r>
      <w:r w:rsidRPr="00E8358C">
        <w:t>nye lite pou sa chanje… Yo panse si yo eklere je pèp la sou sa ki te pase nan tan esklavaj la sa ka rive.Yo pa vle pèdi pouvwa yo.</w:t>
      </w:r>
    </w:p>
    <w:p w:rsidR="004C50DC" w:rsidRPr="00E8358C" w:rsidRDefault="004C50DC" w:rsidP="004C50DC">
      <w:pPr>
        <w:pStyle w:val="Citation0"/>
      </w:pPr>
      <w:r w:rsidRPr="00E8358C">
        <w:t>[Comment voulez-vous que les autorités gouvernementales parlent de l’esclavage. Ils n’ont aucun intérêt à en parler... Voyez seulement notre s</w:t>
      </w:r>
      <w:r w:rsidRPr="00E8358C">
        <w:t>i</w:t>
      </w:r>
      <w:r w:rsidRPr="00E8358C">
        <w:t>tuation dans ce quartier. Notre vie quotidienne peut se comp</w:t>
      </w:r>
      <w:r w:rsidRPr="00E8358C">
        <w:t>a</w:t>
      </w:r>
      <w:r w:rsidRPr="00E8358C">
        <w:t>rer à la dure réalité de l’esclavage colonial. Nous ne portons plus les chaînes visibl</w:t>
      </w:r>
      <w:r w:rsidRPr="00E8358C">
        <w:t>e</w:t>
      </w:r>
      <w:r w:rsidRPr="00E8358C">
        <w:t>ment, mais elles se perpétuent dans cet enfer de l’existence… Nos dir</w:t>
      </w:r>
      <w:r w:rsidRPr="00E8358C">
        <w:t>i</w:t>
      </w:r>
      <w:r w:rsidRPr="00E8358C">
        <w:t>geants mènent des vies de colons au détriment de la population. Leur s</w:t>
      </w:r>
      <w:r w:rsidRPr="00E8358C">
        <w:t>i</w:t>
      </w:r>
      <w:r w:rsidRPr="00E8358C">
        <w:t>lence traduit tout. Ils se comportent comme les seuls bénéficiaires de l’acte héroïque de Jean-Jacques Dessalines, le père fondateur de la Nation ha</w:t>
      </w:r>
      <w:r w:rsidRPr="00E8358C">
        <w:t>ï</w:t>
      </w:r>
      <w:r w:rsidRPr="00E8358C">
        <w:t>tienne. Ils avaient assassiné l’empereur dans</w:t>
      </w:r>
      <w:r>
        <w:t xml:space="preserve"> [142]</w:t>
      </w:r>
      <w:r w:rsidRPr="00E8358C">
        <w:t xml:space="preserve"> l’objectif de réduire la classe pauvre et la ma</w:t>
      </w:r>
      <w:r w:rsidRPr="00E8358C">
        <w:t>s</w:t>
      </w:r>
      <w:r w:rsidRPr="00E8358C">
        <w:t>se paysanne  en esclavage. Nous jurons que cela ne se reproduira plus. La lutte pour le changement doit continuer. Ils pensent que notre connaissance de ce passé colonial esclavagiste pourrait conduire à leur renversement du pouvoir. Ils ont peur de perdre le pouvoir.]</w:t>
      </w:r>
    </w:p>
    <w:p w:rsidR="004C50DC" w:rsidRDefault="004C50DC" w:rsidP="004C50DC">
      <w:pPr>
        <w:pStyle w:val="Citation0c"/>
      </w:pPr>
      <w:r w:rsidRPr="00E8358C">
        <w:t>(Adelia, entrevue, 11 mars 2013)</w:t>
      </w:r>
    </w:p>
    <w:p w:rsidR="004C50DC" w:rsidRPr="00E8358C" w:rsidRDefault="004C50DC" w:rsidP="004C50DC">
      <w:pPr>
        <w:spacing w:before="120" w:after="120"/>
        <w:jc w:val="both"/>
        <w:rPr>
          <w:szCs w:val="22"/>
        </w:rPr>
      </w:pPr>
    </w:p>
    <w:p w:rsidR="004C50DC" w:rsidRPr="00E8358C" w:rsidRDefault="004C50DC" w:rsidP="004C50DC">
      <w:pPr>
        <w:spacing w:before="120" w:after="120"/>
        <w:jc w:val="both"/>
      </w:pPr>
      <w:r w:rsidRPr="00E8358C">
        <w:t>La remémoration est intentionnelle. Cette opinion paraît partisane et semble n’exprimer qu’un plaidoyer et des rancœurs ; mais pour Adelia, la situation de vulnérabilité est forte. Son point de vue est f</w:t>
      </w:r>
      <w:r w:rsidRPr="00E8358C">
        <w:t>a</w:t>
      </w:r>
      <w:r w:rsidRPr="00E8358C">
        <w:t>çonné par son environnement et par les expériences douloureuses de sa vie. C’est en ce sens que Paul Ricœur, dans sa philosophie de l’action, désigne « l’homme comme agissant et souffrant »</w:t>
      </w:r>
      <w:r>
        <w:t> </w:t>
      </w:r>
      <w:r w:rsidRPr="00E8358C">
        <w:rPr>
          <w:rStyle w:val="Appelnotedebasdep"/>
        </w:rPr>
        <w:footnoteReference w:id="450"/>
      </w:r>
      <w:r w:rsidRPr="00E8358C">
        <w:t>. Nous c</w:t>
      </w:r>
      <w:r w:rsidRPr="00E8358C">
        <w:t>i</w:t>
      </w:r>
      <w:r w:rsidRPr="00E8358C">
        <w:t>tons aussi les propos de Clémentine, 21 ans, étudiante en droit avec laquelle nous nous sommes entretenu à Jacmel.</w:t>
      </w:r>
    </w:p>
    <w:p w:rsidR="004C50DC" w:rsidRDefault="004C50DC" w:rsidP="004C50DC">
      <w:pPr>
        <w:pStyle w:val="Citation0"/>
        <w:rPr>
          <w:lang w:eastAsia="en-CA"/>
        </w:rPr>
      </w:pPr>
    </w:p>
    <w:p w:rsidR="004C50DC" w:rsidRPr="00E8358C" w:rsidRDefault="004C50DC" w:rsidP="004C50DC">
      <w:pPr>
        <w:pStyle w:val="Citation0"/>
        <w:rPr>
          <w:lang w:eastAsia="en-CA"/>
        </w:rPr>
      </w:pPr>
      <w:r w:rsidRPr="00E8358C">
        <w:rPr>
          <w:lang w:eastAsia="en-CA"/>
        </w:rPr>
        <w:t>Nos dirigeants maintiennent le système esclavagiste dans leur m</w:t>
      </w:r>
      <w:r w:rsidRPr="00E8358C">
        <w:rPr>
          <w:lang w:eastAsia="en-CA"/>
        </w:rPr>
        <w:t>a</w:t>
      </w:r>
      <w:r w:rsidRPr="00E8358C">
        <w:rPr>
          <w:lang w:eastAsia="en-CA"/>
        </w:rPr>
        <w:t>nière de gérer les affaires publiques. Ils n’ont aucun intérêt à rompre avec l’esprit colonialiste. L’esprit d’exploitation de l’homme par l’homme. Le fait d’être au timon de l’État, ils pensent que le pays leur appartient. L’esprit civique leur manque parfois…</w:t>
      </w:r>
    </w:p>
    <w:p w:rsidR="004C50DC" w:rsidRDefault="004C50DC" w:rsidP="004C50DC">
      <w:pPr>
        <w:pStyle w:val="Citation0c"/>
      </w:pPr>
      <w:r w:rsidRPr="00E8358C">
        <w:t>(Clémentine, entrevue, 20 août 2013)</w:t>
      </w:r>
    </w:p>
    <w:p w:rsidR="004C50DC" w:rsidRPr="00E8358C" w:rsidRDefault="004C50DC" w:rsidP="004C50DC">
      <w:pPr>
        <w:pStyle w:val="Citation0c"/>
      </w:pPr>
    </w:p>
    <w:p w:rsidR="004C50DC" w:rsidRPr="00E8358C" w:rsidRDefault="004C50DC" w:rsidP="004C50DC">
      <w:pPr>
        <w:spacing w:before="120" w:after="120"/>
        <w:jc w:val="both"/>
        <w:rPr>
          <w:lang w:eastAsia="en-CA"/>
        </w:rPr>
      </w:pPr>
      <w:r w:rsidRPr="00E8358C">
        <w:t>Dans la déclaration de l’étudiante, on voit apparaître une accus</w:t>
      </w:r>
      <w:r w:rsidRPr="00E8358C">
        <w:t>a</w:t>
      </w:r>
      <w:r w:rsidRPr="00E8358C">
        <w:t>tion systématique des autorités de l’État. Dans le registre de gouve</w:t>
      </w:r>
      <w:r w:rsidRPr="00E8358C">
        <w:t>r</w:t>
      </w:r>
      <w:r w:rsidRPr="00E8358C">
        <w:t>nance établie depuis 1804, Clémentine pense que les dirigeants pe</w:t>
      </w:r>
      <w:r w:rsidRPr="00E8358C">
        <w:t>u</w:t>
      </w:r>
      <w:r w:rsidRPr="00E8358C">
        <w:t>vent mieux asseoir leur pouvoir. L’avidité politique ne leur permet pas de se préoccuper de la condition des masses populaires. L’intérêt co</w:t>
      </w:r>
      <w:r w:rsidRPr="00E8358C">
        <w:t>l</w:t>
      </w:r>
      <w:r w:rsidRPr="00E8358C">
        <w:t xml:space="preserve">lectifleur importe peu. Dans les </w:t>
      </w:r>
      <w:r w:rsidRPr="00E8358C">
        <w:rPr>
          <w:lang w:eastAsia="en-CA"/>
        </w:rPr>
        <w:t>propos d’Anthime, 30 ans, un ouvrier habitant le bidonville de Jalousie à Pétion-Ville, on dénote aussi la même préoccupation.</w:t>
      </w:r>
    </w:p>
    <w:p w:rsidR="004C50DC" w:rsidRDefault="004C50DC" w:rsidP="004C50DC">
      <w:pPr>
        <w:pStyle w:val="Citation0"/>
        <w:rPr>
          <w:lang w:eastAsia="en-CA"/>
        </w:rPr>
      </w:pPr>
    </w:p>
    <w:p w:rsidR="004C50DC" w:rsidRDefault="004C50DC" w:rsidP="004C50DC">
      <w:pPr>
        <w:pStyle w:val="Citation0i"/>
      </w:pPr>
      <w:r w:rsidRPr="00E8358C">
        <w:t>Nou se vrè pitit ansyen esklav yo. N ap viv nan yon povrete ki pa di non lakòz patwon ak politisyen mete tèt yo ansanm pou toupizi n. Se yo ki ra</w:t>
      </w:r>
      <w:r w:rsidRPr="00E8358C">
        <w:t>n</w:t>
      </w:r>
      <w:r w:rsidRPr="00E8358C">
        <w:t>plase ansyen bouwo nan tan kolini an. Sitiyasyon sa a enève n anpil. Pol</w:t>
      </w:r>
      <w:r w:rsidRPr="00E8358C">
        <w:t>i</w:t>
      </w:r>
      <w:r w:rsidRPr="00E8358C">
        <w:t>tisyen yo dechèpiye peyi a. Sa vrèman se yon eritaj moman bout di tan le</w:t>
      </w:r>
      <w:r w:rsidRPr="00E8358C">
        <w:t>s</w:t>
      </w:r>
      <w:r w:rsidRPr="00E8358C">
        <w:t>klavaj la.</w:t>
      </w:r>
    </w:p>
    <w:p w:rsidR="004C50DC" w:rsidRPr="00E8358C" w:rsidRDefault="004C50DC" w:rsidP="004C50DC">
      <w:pPr>
        <w:pStyle w:val="Citation0"/>
        <w:rPr>
          <w:lang w:eastAsia="en-CA"/>
        </w:rPr>
      </w:pPr>
      <w:r w:rsidRPr="00E8358C">
        <w:t>[</w:t>
      </w:r>
      <w:r w:rsidRPr="00E8358C">
        <w:rPr>
          <w:lang w:eastAsia="en-CA"/>
        </w:rPr>
        <w:t>Nous sommes les fils et les filles des anciens esclaves. Nous v</w:t>
      </w:r>
      <w:r w:rsidRPr="00E8358C">
        <w:rPr>
          <w:lang w:eastAsia="en-CA"/>
        </w:rPr>
        <w:t>i</w:t>
      </w:r>
      <w:r w:rsidRPr="00E8358C">
        <w:rPr>
          <w:lang w:eastAsia="en-CA"/>
        </w:rPr>
        <w:t>vons dans des conditions de pauvreté à cause des conditions de travail que nous i</w:t>
      </w:r>
      <w:r w:rsidRPr="00E8358C">
        <w:rPr>
          <w:lang w:eastAsia="en-CA"/>
        </w:rPr>
        <w:t>m</w:t>
      </w:r>
      <w:r w:rsidRPr="00E8358C">
        <w:rPr>
          <w:lang w:eastAsia="en-CA"/>
        </w:rPr>
        <w:t>posent les patrons et les politiques. Ces derniers rempl</w:t>
      </w:r>
      <w:r w:rsidRPr="00E8358C">
        <w:rPr>
          <w:lang w:eastAsia="en-CA"/>
        </w:rPr>
        <w:t>a</w:t>
      </w:r>
      <w:r w:rsidRPr="00E8358C">
        <w:rPr>
          <w:lang w:eastAsia="en-CA"/>
        </w:rPr>
        <w:t>cent les anciens bourreaux de l’époque coloniale. C’est une situation qui nous indigne. Les politiques dépouillent le pays.La situation dans laquelle nous vivons est un pur héritage des années noires de la col</w:t>
      </w:r>
      <w:r w:rsidRPr="00E8358C">
        <w:rPr>
          <w:lang w:eastAsia="en-CA"/>
        </w:rPr>
        <w:t>o</w:t>
      </w:r>
      <w:r w:rsidRPr="00E8358C">
        <w:rPr>
          <w:lang w:eastAsia="en-CA"/>
        </w:rPr>
        <w:t>nisation.</w:t>
      </w:r>
      <w:r w:rsidRPr="00E8358C">
        <w:t>]</w:t>
      </w:r>
    </w:p>
    <w:p w:rsidR="004C50DC" w:rsidRDefault="004C50DC" w:rsidP="004C50DC">
      <w:pPr>
        <w:pStyle w:val="Citation0c"/>
      </w:pPr>
      <w:r w:rsidRPr="00E8358C">
        <w:t>(Anthime, entrevue, 15 avril 2013)</w:t>
      </w:r>
    </w:p>
    <w:p w:rsidR="004C50DC" w:rsidRPr="00E8358C" w:rsidRDefault="004C50DC" w:rsidP="004C50DC">
      <w:pPr>
        <w:pStyle w:val="Citation0"/>
        <w:rPr>
          <w:lang w:eastAsia="en-CA"/>
        </w:rPr>
      </w:pPr>
    </w:p>
    <w:p w:rsidR="004C50DC" w:rsidRPr="00E8358C" w:rsidRDefault="004C50DC" w:rsidP="004C50DC">
      <w:pPr>
        <w:spacing w:before="120" w:after="120"/>
        <w:jc w:val="both"/>
        <w:rPr>
          <w:lang w:eastAsia="en-CA"/>
        </w:rPr>
      </w:pPr>
      <w:r w:rsidRPr="00E8358C">
        <w:rPr>
          <w:lang w:eastAsia="ja-JP"/>
        </w:rPr>
        <w:t>De façon culturelle, les Haïtiens ont toujours quelque chose qui r</w:t>
      </w:r>
      <w:r w:rsidRPr="00E8358C">
        <w:rPr>
          <w:lang w:eastAsia="ja-JP"/>
        </w:rPr>
        <w:t>e</w:t>
      </w:r>
      <w:r w:rsidRPr="00E8358C">
        <w:rPr>
          <w:lang w:eastAsia="ja-JP"/>
        </w:rPr>
        <w:t>lève de la critique</w:t>
      </w:r>
      <w:r>
        <w:rPr>
          <w:lang w:eastAsia="ja-JP"/>
        </w:rPr>
        <w:t xml:space="preserve"> [143]</w:t>
      </w:r>
      <w:r w:rsidRPr="00E8358C">
        <w:rPr>
          <w:lang w:eastAsia="ja-JP"/>
        </w:rPr>
        <w:t xml:space="preserve"> exacerbée du pouvoir et de l’exercice du po</w:t>
      </w:r>
      <w:r w:rsidRPr="00E8358C">
        <w:rPr>
          <w:lang w:eastAsia="ja-JP"/>
        </w:rPr>
        <w:t>u</w:t>
      </w:r>
      <w:r w:rsidRPr="00E8358C">
        <w:rPr>
          <w:lang w:eastAsia="ja-JP"/>
        </w:rPr>
        <w:t>voir</w:t>
      </w:r>
      <w:r>
        <w:rPr>
          <w:lang w:eastAsia="ja-JP"/>
        </w:rPr>
        <w:t> </w:t>
      </w:r>
      <w:r w:rsidRPr="00E8358C">
        <w:rPr>
          <w:rStyle w:val="Appelnotedebasdep"/>
          <w:lang w:eastAsia="ja-JP"/>
        </w:rPr>
        <w:footnoteReference w:id="451"/>
      </w:r>
      <w:r w:rsidRPr="00E8358C">
        <w:rPr>
          <w:lang w:eastAsia="ja-JP"/>
        </w:rPr>
        <w:t>. Cette critique, souvent, ne relève pas d’intérêts communs ou institutionnels, mais est parfois associée à des intérêts personnels. Toutefois, l</w:t>
      </w:r>
      <w:r w:rsidRPr="00E8358C">
        <w:rPr>
          <w:lang w:eastAsia="en-CA"/>
        </w:rPr>
        <w:t>a banalisation d’une partie importante de la mémoire de l’esclavage dans le choix mémoriel officiel suscite des réflexions c</w:t>
      </w:r>
      <w:r w:rsidRPr="00E8358C">
        <w:rPr>
          <w:lang w:eastAsia="en-CA"/>
        </w:rPr>
        <w:t>i</w:t>
      </w:r>
      <w:r w:rsidRPr="00E8358C">
        <w:rPr>
          <w:lang w:eastAsia="en-CA"/>
        </w:rPr>
        <w:t xml:space="preserve">toyennes qui aboutissent souvent à des accusations que le silence des élites dirigeantes sur ce pan de la mémoire alimente encore davantage. La mémoire de l’esclavage est vraiment l’objet de controverses dans la population. </w:t>
      </w:r>
    </w:p>
    <w:p w:rsidR="004C50DC" w:rsidRPr="00E8358C" w:rsidRDefault="004C50DC" w:rsidP="004C50DC">
      <w:pPr>
        <w:spacing w:before="120" w:after="120"/>
        <w:jc w:val="both"/>
        <w:rPr>
          <w:lang w:eastAsia="en-CA"/>
        </w:rPr>
      </w:pPr>
      <w:r w:rsidRPr="00E8358C">
        <w:rPr>
          <w:lang w:eastAsia="en-CA"/>
        </w:rPr>
        <w:t>Karly, 48 ans, employé au ministère du Tourisme, rencontré au Cap-Haïtien, semble avoir une approche beaucoup moins critique que les précédents interlocuteurs. Dans son témoignage, recueilli le 27 mars 2014, il pose le problème de la patrimonialisation des mémoires de l’esclavage en Haïti sous un angle institutionnel et suivant un choix mémoriel. Selon lui, l’État haïtien n’a pas d’autre choix que de faire la promotion de la mémoire glorieuse. Ses maigres moyens le contra</w:t>
      </w:r>
      <w:r w:rsidRPr="00E8358C">
        <w:rPr>
          <w:lang w:eastAsia="en-CA"/>
        </w:rPr>
        <w:t>i</w:t>
      </w:r>
      <w:r w:rsidRPr="00E8358C">
        <w:rPr>
          <w:lang w:eastAsia="en-CA"/>
        </w:rPr>
        <w:t>gnent aussi à adopter cette posture. Dans ce contexte, la mémoire gl</w:t>
      </w:r>
      <w:r w:rsidRPr="00E8358C">
        <w:rPr>
          <w:lang w:eastAsia="en-CA"/>
        </w:rPr>
        <w:t>o</w:t>
      </w:r>
      <w:r w:rsidRPr="00E8358C">
        <w:rPr>
          <w:lang w:eastAsia="en-CA"/>
        </w:rPr>
        <w:t xml:space="preserve">rieuse maintient en l’état toute mémoire de l’esclavage qui charrie les douleurs dans l’intention de faire ressortir les conséquences de l’esclavage dans la société haïtienne post-indépendante. </w:t>
      </w:r>
    </w:p>
    <w:p w:rsidR="004C50DC" w:rsidRDefault="004C50DC" w:rsidP="004C50DC">
      <w:pPr>
        <w:pStyle w:val="Citation0"/>
        <w:rPr>
          <w:lang w:eastAsia="en-CA"/>
        </w:rPr>
      </w:pPr>
    </w:p>
    <w:p w:rsidR="004C50DC" w:rsidRPr="00E8358C" w:rsidRDefault="004C50DC" w:rsidP="004C50DC">
      <w:pPr>
        <w:pStyle w:val="Citation0"/>
        <w:rPr>
          <w:lang w:eastAsia="en-CA"/>
        </w:rPr>
      </w:pPr>
      <w:r w:rsidRPr="00E8358C">
        <w:rPr>
          <w:lang w:eastAsia="en-CA"/>
        </w:rPr>
        <w:t>À ma connaissance, certains efforts sont déployés pour favoriser une mise en valeur de la mémoire de l’esclavage. Ils touchent, entre autres, les sites du Parc national historique. Certes, les habitations coloniales sont peu to</w:t>
      </w:r>
      <w:r w:rsidRPr="00E8358C">
        <w:rPr>
          <w:lang w:eastAsia="en-CA"/>
        </w:rPr>
        <w:t>u</w:t>
      </w:r>
      <w:r w:rsidRPr="00E8358C">
        <w:rPr>
          <w:lang w:eastAsia="en-CA"/>
        </w:rPr>
        <w:t>chées par ces initiatives. Il faut comprendre que l’État cherche perpétue</w:t>
      </w:r>
      <w:r w:rsidRPr="00E8358C">
        <w:rPr>
          <w:lang w:eastAsia="en-CA"/>
        </w:rPr>
        <w:t>l</w:t>
      </w:r>
      <w:r w:rsidRPr="00E8358C">
        <w:rPr>
          <w:lang w:eastAsia="en-CA"/>
        </w:rPr>
        <w:t>lement à mettre de l’avant la mémoire glorie</w:t>
      </w:r>
      <w:r w:rsidRPr="00E8358C">
        <w:rPr>
          <w:lang w:eastAsia="en-CA"/>
        </w:rPr>
        <w:t>u</w:t>
      </w:r>
      <w:r w:rsidRPr="00E8358C">
        <w:rPr>
          <w:lang w:eastAsia="en-CA"/>
        </w:rPr>
        <w:t>se. Une attitude que bon nombre d’Haïtiens partagent. Ajoutée à tout cela, la conservation des sites exige des débours. L’État haïtien a des choix à faire. À mon avis, c’est bien d’opter pour la mémoire qui fait la gloire du peuple haïtien dans le registre de l’esclavage.</w:t>
      </w:r>
    </w:p>
    <w:p w:rsidR="004C50DC" w:rsidRDefault="004C50DC" w:rsidP="004C50DC">
      <w:pPr>
        <w:pStyle w:val="Citation0c"/>
      </w:pPr>
      <w:r w:rsidRPr="00E8358C">
        <w:t xml:space="preserve">(Karly, entrevue, 27 mars 2014) </w:t>
      </w:r>
    </w:p>
    <w:p w:rsidR="004C50DC" w:rsidRPr="00E8358C" w:rsidRDefault="004C50DC" w:rsidP="004C50DC">
      <w:pPr>
        <w:pStyle w:val="Citation0c"/>
      </w:pPr>
    </w:p>
    <w:p w:rsidR="004C50DC" w:rsidRPr="00E8358C" w:rsidRDefault="004C50DC" w:rsidP="004C50DC">
      <w:pPr>
        <w:spacing w:before="120" w:after="120"/>
        <w:jc w:val="both"/>
        <w:rPr>
          <w:lang w:eastAsia="en-CA"/>
        </w:rPr>
      </w:pPr>
      <w:r w:rsidRPr="00E8358C">
        <w:rPr>
          <w:lang w:eastAsia="en-CA"/>
        </w:rPr>
        <w:t>Il revient toujours à l’État de faire un choix en ce qui concerne la mémoire à transmettre. Cette attitude évoquée par Karly est le fruit de la construction mémorielle officielle. Edwin, l’employé du ministère de la Culture, pense aussi</w:t>
      </w:r>
    </w:p>
    <w:p w:rsidR="004C50DC" w:rsidRDefault="004C50DC" w:rsidP="004C50DC">
      <w:pPr>
        <w:pStyle w:val="Citation0"/>
        <w:rPr>
          <w:lang w:eastAsia="en-CA"/>
        </w:rPr>
      </w:pPr>
    </w:p>
    <w:p w:rsidR="004C50DC" w:rsidRPr="00E8358C" w:rsidRDefault="004C50DC" w:rsidP="004C50DC">
      <w:pPr>
        <w:pStyle w:val="Citation0"/>
        <w:rPr>
          <w:lang w:eastAsia="en-CA"/>
        </w:rPr>
      </w:pPr>
      <w:r w:rsidRPr="00E8358C">
        <w:rPr>
          <w:lang w:eastAsia="en-CA"/>
        </w:rPr>
        <w:t>[qu’il] ne faut pas également oublier le facteur économique dans les anal</w:t>
      </w:r>
      <w:r w:rsidRPr="00E8358C">
        <w:rPr>
          <w:lang w:eastAsia="en-CA"/>
        </w:rPr>
        <w:t>y</w:t>
      </w:r>
      <w:r w:rsidRPr="00E8358C">
        <w:rPr>
          <w:lang w:eastAsia="en-CA"/>
        </w:rPr>
        <w:t>ses décisionnelles des autorités haïtiennes concernant la p</w:t>
      </w:r>
      <w:r w:rsidRPr="00E8358C">
        <w:rPr>
          <w:lang w:eastAsia="en-CA"/>
        </w:rPr>
        <w:t>a</w:t>
      </w:r>
      <w:r w:rsidRPr="00E8358C">
        <w:rPr>
          <w:lang w:eastAsia="en-CA"/>
        </w:rPr>
        <w:t>trimonialisation des</w:t>
      </w:r>
      <w:r>
        <w:rPr>
          <w:lang w:eastAsia="en-CA"/>
        </w:rPr>
        <w:t xml:space="preserve"> [144]</w:t>
      </w:r>
      <w:r w:rsidRPr="00E8358C">
        <w:rPr>
          <w:lang w:eastAsia="en-CA"/>
        </w:rPr>
        <w:t xml:space="preserve"> mémoires de l’esclavage. L’état de pauvreté des communautés est prioritaire par rapport au programme de sauv</w:t>
      </w:r>
      <w:r w:rsidRPr="00E8358C">
        <w:rPr>
          <w:lang w:eastAsia="en-CA"/>
        </w:rPr>
        <w:t>e</w:t>
      </w:r>
      <w:r w:rsidRPr="00E8358C">
        <w:rPr>
          <w:lang w:eastAsia="en-CA"/>
        </w:rPr>
        <w:t>garde du patrimoine. Ce serait une insulte pour la population de mettre en valeur le passé colonial esclavagiste dans ce contexte. Certes, la culture peut aider à réduire la pauvreté, mais il faut développer un programme lié au tourisme culturel qui entraînera une augmentation du PIB haïtien par la création d’emplois directs ou indirects.</w:t>
      </w:r>
    </w:p>
    <w:p w:rsidR="004C50DC" w:rsidRDefault="004C50DC" w:rsidP="004C50DC">
      <w:pPr>
        <w:pStyle w:val="Citation0c"/>
      </w:pPr>
      <w:r w:rsidRPr="00E8358C">
        <w:t>(Edwin, entrevue, 13 avril 2014)</w:t>
      </w:r>
    </w:p>
    <w:p w:rsidR="004C50DC" w:rsidRPr="00E8358C" w:rsidRDefault="004C50DC" w:rsidP="004C50DC">
      <w:pPr>
        <w:spacing w:before="120" w:after="120"/>
        <w:jc w:val="both"/>
        <w:rPr>
          <w:lang w:eastAsia="en-CA"/>
        </w:rPr>
      </w:pPr>
    </w:p>
    <w:p w:rsidR="004C50DC" w:rsidRPr="00E8358C" w:rsidRDefault="004C50DC" w:rsidP="004C50DC">
      <w:pPr>
        <w:spacing w:before="120" w:after="120"/>
        <w:jc w:val="both"/>
        <w:rPr>
          <w:lang w:eastAsia="en-CA"/>
        </w:rPr>
      </w:pPr>
      <w:r w:rsidRPr="00E8358C">
        <w:rPr>
          <w:lang w:eastAsia="en-CA"/>
        </w:rPr>
        <w:t>Dans la même veine, mais avec plus de prudence, Clément, 63 ans, professeur de sociologie à l’Université d’État d’Haïti, émet un point de vue qui rassemble l’automatisme mémoriel de l’esclavage ou la figure de l’esclave dans la société haïtienne :</w:t>
      </w:r>
    </w:p>
    <w:p w:rsidR="004C50DC" w:rsidRDefault="004C50DC" w:rsidP="004C50DC">
      <w:pPr>
        <w:pStyle w:val="Citation0"/>
        <w:rPr>
          <w:lang w:eastAsia="en-CA"/>
        </w:rPr>
      </w:pPr>
    </w:p>
    <w:p w:rsidR="004C50DC" w:rsidRPr="00E8358C" w:rsidRDefault="004C50DC" w:rsidP="004C50DC">
      <w:pPr>
        <w:pStyle w:val="Citation0"/>
        <w:rPr>
          <w:lang w:eastAsia="en-CA"/>
        </w:rPr>
      </w:pPr>
      <w:r w:rsidRPr="00E8358C">
        <w:rPr>
          <w:lang w:eastAsia="en-CA"/>
        </w:rPr>
        <w:t>Ventre affamé ne se soucie point de la culture, voire s’occuper de la m</w:t>
      </w:r>
      <w:r w:rsidRPr="00E8358C">
        <w:rPr>
          <w:lang w:eastAsia="en-CA"/>
        </w:rPr>
        <w:t>é</w:t>
      </w:r>
      <w:r w:rsidRPr="00E8358C">
        <w:rPr>
          <w:lang w:eastAsia="en-CA"/>
        </w:rPr>
        <w:t>moire de l’esclavage qui remémore automatiquement la sou</w:t>
      </w:r>
      <w:r w:rsidRPr="00E8358C">
        <w:rPr>
          <w:lang w:eastAsia="en-CA"/>
        </w:rPr>
        <w:t>f</w:t>
      </w:r>
      <w:r w:rsidRPr="00E8358C">
        <w:rPr>
          <w:lang w:eastAsia="en-CA"/>
        </w:rPr>
        <w:t>france bien qu’elle soit faite aussi de valeur culturelle de résistance. Les réactions s</w:t>
      </w:r>
      <w:r w:rsidRPr="00E8358C">
        <w:rPr>
          <w:lang w:eastAsia="en-CA"/>
        </w:rPr>
        <w:t>o</w:t>
      </w:r>
      <w:r w:rsidRPr="00E8358C">
        <w:rPr>
          <w:lang w:eastAsia="en-CA"/>
        </w:rPr>
        <w:t>ciales sont autant le reflet de la culture que du niveau de vie. Durant ces deux dernières décennies, la situation de misère que vit la majorité de la population haïtienne semble avoir raison de la culture en général et de la mémoire l’esclavage en particulier. Je pense que si on enregistre une nette amélioration des conditions de vie de la population, l’État aura moins de difficultés à se pencher sur le problème de patrimonialisation des mémo</w:t>
      </w:r>
      <w:r w:rsidRPr="00E8358C">
        <w:rPr>
          <w:lang w:eastAsia="en-CA"/>
        </w:rPr>
        <w:t>i</w:t>
      </w:r>
      <w:r w:rsidRPr="00E8358C">
        <w:rPr>
          <w:lang w:eastAsia="en-CA"/>
        </w:rPr>
        <w:t>res de l’esclavage. La popul</w:t>
      </w:r>
      <w:r w:rsidRPr="00E8358C">
        <w:rPr>
          <w:lang w:eastAsia="en-CA"/>
        </w:rPr>
        <w:t>a</w:t>
      </w:r>
      <w:r w:rsidRPr="00E8358C">
        <w:rPr>
          <w:lang w:eastAsia="en-CA"/>
        </w:rPr>
        <w:t>tion sera à même d’avoir un niveau d’éducation qui la portera à s’intéresser davantage au patrimoine et à la mémoire. Ainsi, les m</w:t>
      </w:r>
      <w:r w:rsidRPr="00E8358C">
        <w:rPr>
          <w:lang w:eastAsia="en-CA"/>
        </w:rPr>
        <w:t>é</w:t>
      </w:r>
      <w:r w:rsidRPr="00E8358C">
        <w:rPr>
          <w:lang w:eastAsia="en-CA"/>
        </w:rPr>
        <w:t>moires de l’esclavage seront vues comme un outil pédagogique, un tremplin pour l’acceptation de l’Autre.</w:t>
      </w:r>
    </w:p>
    <w:p w:rsidR="004C50DC" w:rsidRDefault="004C50DC" w:rsidP="004C50DC">
      <w:pPr>
        <w:pStyle w:val="Citation0c"/>
      </w:pPr>
      <w:r w:rsidRPr="00E8358C">
        <w:t>(Clément, entrevue, 11 novembre 2013)</w:t>
      </w:r>
    </w:p>
    <w:p w:rsidR="004C50DC" w:rsidRPr="00E8358C" w:rsidRDefault="004C50DC" w:rsidP="004C50DC">
      <w:pPr>
        <w:spacing w:before="120" w:after="120"/>
        <w:jc w:val="both"/>
        <w:rPr>
          <w:szCs w:val="22"/>
          <w:lang w:eastAsia="en-CA"/>
        </w:rPr>
      </w:pPr>
    </w:p>
    <w:p w:rsidR="004C50DC" w:rsidRPr="00E8358C" w:rsidRDefault="004C50DC" w:rsidP="004C50DC">
      <w:pPr>
        <w:spacing w:before="120" w:after="120"/>
        <w:jc w:val="both"/>
        <w:rPr>
          <w:lang w:eastAsia="en-CA"/>
        </w:rPr>
      </w:pPr>
      <w:r w:rsidRPr="00E8358C">
        <w:rPr>
          <w:lang w:eastAsia="en-CA"/>
        </w:rPr>
        <w:t>Il est important de reconnaître qu’au-delà des problèmes économ</w:t>
      </w:r>
      <w:r w:rsidRPr="00E8358C">
        <w:rPr>
          <w:lang w:eastAsia="en-CA"/>
        </w:rPr>
        <w:t>i</w:t>
      </w:r>
      <w:r w:rsidRPr="00E8358C">
        <w:rPr>
          <w:lang w:eastAsia="en-CA"/>
        </w:rPr>
        <w:t>ques existe la volonté de faire de la culture et du patrimoine un outil de pédagogie et d’atténuation des tensions sociales en Haïti. Effect</w:t>
      </w:r>
      <w:r w:rsidRPr="00E8358C">
        <w:rPr>
          <w:lang w:eastAsia="en-CA"/>
        </w:rPr>
        <w:t>i</w:t>
      </w:r>
      <w:r w:rsidRPr="00E8358C">
        <w:rPr>
          <w:lang w:eastAsia="en-CA"/>
        </w:rPr>
        <w:t>vement, la misère constitue la préoccupation la plus urgente pour l’État haïtien qui doit s’engager inlassablement à trouver des sol</w:t>
      </w:r>
      <w:r w:rsidRPr="00E8358C">
        <w:rPr>
          <w:lang w:eastAsia="en-CA"/>
        </w:rPr>
        <w:t>u</w:t>
      </w:r>
      <w:r w:rsidRPr="00E8358C">
        <w:rPr>
          <w:lang w:eastAsia="en-CA"/>
        </w:rPr>
        <w:t xml:space="preserve">tions. Certes, il est difficile de faire accepter à un peuple laminé par la misère que la culture est une issue pour un lendemain meilleur. L’essentiel est de trouver des solutions immédiates. </w:t>
      </w:r>
    </w:p>
    <w:p w:rsidR="004C50DC" w:rsidRDefault="004C50DC" w:rsidP="004C50DC">
      <w:pPr>
        <w:spacing w:before="120" w:after="120"/>
        <w:jc w:val="both"/>
        <w:rPr>
          <w:lang w:eastAsia="en-CA"/>
        </w:rPr>
      </w:pPr>
      <w:r w:rsidRPr="00E8358C">
        <w:rPr>
          <w:lang w:eastAsia="en-CA"/>
        </w:rPr>
        <w:t>Les précédents témoignages nous amènent à réfléchir au comm</w:t>
      </w:r>
      <w:r w:rsidRPr="00E8358C">
        <w:rPr>
          <w:lang w:eastAsia="en-CA"/>
        </w:rPr>
        <w:t>u</w:t>
      </w:r>
      <w:r w:rsidRPr="00E8358C">
        <w:rPr>
          <w:lang w:eastAsia="en-CA"/>
        </w:rPr>
        <w:t>niqué du Bureau national d’Ethnologie, en date du 11 décembre 2013. Celui-ci</w:t>
      </w:r>
      <w:r w:rsidRPr="00792DC7">
        <w:rPr>
          <w:lang w:eastAsia="en-CA"/>
        </w:rPr>
        <w:t xml:space="preserve"> peut avoir des incidences positives sur les mémoires de l’esclavage en Haïti, même s’il n’encourage pas les recherches dans ce domaine au niveau national. L’étude du passé colonial, les prospe</w:t>
      </w:r>
      <w:r w:rsidRPr="00792DC7">
        <w:rPr>
          <w:lang w:eastAsia="en-CA"/>
        </w:rPr>
        <w:t>c</w:t>
      </w:r>
      <w:r w:rsidRPr="00792DC7">
        <w:rPr>
          <w:lang w:eastAsia="en-CA"/>
        </w:rPr>
        <w:t xml:space="preserve">tions archéologiques de sites tels que les habitations coloniales et les fortifications peuvent nous révéler des pages non encore élucidées de l’histoire du peuple haïtien. Le </w:t>
      </w:r>
      <w:r w:rsidRPr="00E8358C">
        <w:rPr>
          <w:lang w:eastAsia="en-CA"/>
        </w:rPr>
        <w:t>temps ne doit plus travailler pour l’oubli.</w:t>
      </w:r>
    </w:p>
    <w:p w:rsidR="004C50DC" w:rsidRPr="00792DC7" w:rsidRDefault="004C50DC" w:rsidP="004C50DC">
      <w:pPr>
        <w:spacing w:before="120" w:after="120"/>
        <w:jc w:val="both"/>
        <w:rPr>
          <w:lang w:eastAsia="en-CA"/>
        </w:rPr>
      </w:pPr>
      <w:r w:rsidRPr="00792DC7">
        <w:rPr>
          <w:lang w:eastAsia="en-CA"/>
        </w:rPr>
        <w:t>[145]</w:t>
      </w:r>
    </w:p>
    <w:p w:rsidR="004C50DC" w:rsidRPr="00792DC7" w:rsidRDefault="004C50DC" w:rsidP="004C50DC">
      <w:pPr>
        <w:spacing w:before="120" w:after="120"/>
        <w:jc w:val="both"/>
        <w:rPr>
          <w:lang w:eastAsia="en-CA"/>
        </w:rPr>
      </w:pPr>
    </w:p>
    <w:p w:rsidR="004C50DC" w:rsidRPr="00AD3FFD" w:rsidRDefault="004C50DC" w:rsidP="004C50DC">
      <w:pPr>
        <w:pStyle w:val="b"/>
      </w:pPr>
      <w:bookmarkStart w:id="143" w:name="_Toc406489673"/>
      <w:bookmarkStart w:id="144" w:name="_Toc423347294"/>
      <w:bookmarkStart w:id="145" w:name="_Toc442280472"/>
      <w:r w:rsidRPr="00792DC7">
        <w:rPr>
          <w:lang w:eastAsia="en-CA"/>
        </w:rPr>
        <w:t>Amnésie, contournement et/ou</w:t>
      </w:r>
      <w:r>
        <w:rPr>
          <w:lang w:eastAsia="en-CA"/>
        </w:rPr>
        <w:br/>
      </w:r>
      <w:r w:rsidRPr="00792DC7">
        <w:rPr>
          <w:lang w:eastAsia="en-CA"/>
        </w:rPr>
        <w:t>cautionnement des figures de</w:t>
      </w:r>
      <w:r w:rsidRPr="00AD3FFD">
        <w:t xml:space="preserve"> l’esclavage</w:t>
      </w:r>
      <w:bookmarkEnd w:id="143"/>
      <w:bookmarkEnd w:id="144"/>
      <w:bookmarkEnd w:id="145"/>
    </w:p>
    <w:p w:rsidR="004C50DC" w:rsidRDefault="004C50DC" w:rsidP="004C50DC">
      <w:pPr>
        <w:spacing w:before="120" w:after="120"/>
        <w:jc w:val="both"/>
      </w:pPr>
    </w:p>
    <w:p w:rsidR="004C50DC" w:rsidRPr="00E8358C" w:rsidRDefault="004C50DC" w:rsidP="004C50DC">
      <w:pPr>
        <w:spacing w:before="120" w:after="120"/>
        <w:jc w:val="both"/>
      </w:pPr>
      <w:r w:rsidRPr="00E8358C">
        <w:t>La détermination émotionnelle de tourner la page de l’esclavage risque d’aboutir à un défaut de mémoire en Haïti. Une partie de la mémoire coloniale esclavagiste est traitée comme une mémoire à côté de la mémoire officielle. Elle est victime d’une sélection mémorielle. C’est une mémoire construite entièrement à part. Le comportement des autorités gouvernementales depuis l’indépendance d’Haïti jusqu’à nos jours nous amène à comparer la mémoire de l’esclavage à une « mémoire hors la mémoire »</w:t>
      </w:r>
      <w:r>
        <w:t> </w:t>
      </w:r>
      <w:r>
        <w:rPr>
          <w:rStyle w:val="Appelnotedebasdep"/>
        </w:rPr>
        <w:footnoteReference w:id="452"/>
      </w:r>
      <w:r w:rsidRPr="00E8358C">
        <w:t>. « L’État-commandeur »</w:t>
      </w:r>
      <w:r>
        <w:t> </w:t>
      </w:r>
      <w:r>
        <w:rPr>
          <w:rStyle w:val="Appelnotedebasdep"/>
        </w:rPr>
        <w:footnoteReference w:id="453"/>
      </w:r>
      <w:r w:rsidRPr="00E8358C">
        <w:t>, selon l’expression de Gérard Barthélémy, institué depuis n’a aucun intérêt non plus à se souvenir de l’esclavage. Puisqu’on parle d’État-commandeur, il s’agit plutôt d’oubli ou de camouflage. La situation rejoint la pensée du sociologue jamaïcain Orlando Patterson, selon qui « l’héritage le plus important de l’esclavage est la rupture totale, moins avec le passé qu’avec une conscience du passé »</w:t>
      </w:r>
      <w:r>
        <w:t> </w:t>
      </w:r>
      <w:r>
        <w:rPr>
          <w:rStyle w:val="Appelnotedebasdep"/>
        </w:rPr>
        <w:footnoteReference w:id="454"/>
      </w:r>
      <w:r w:rsidRPr="00E8358C">
        <w:t>. Les dir</w:t>
      </w:r>
      <w:r w:rsidRPr="00E8358C">
        <w:t>i</w:t>
      </w:r>
      <w:r w:rsidRPr="00E8358C">
        <w:t>geants, pour la plupart des militaires, entendent toujours imposer à la masse des cultivateurs un régime autoritaire qui fait songer à l’époque coloniale</w:t>
      </w:r>
      <w:r>
        <w:t> </w:t>
      </w:r>
      <w:r>
        <w:rPr>
          <w:rStyle w:val="Appelnotedebasdep"/>
        </w:rPr>
        <w:footnoteReference w:id="455"/>
      </w:r>
      <w:r w:rsidRPr="00E8358C">
        <w:t xml:space="preserve">. </w:t>
      </w:r>
    </w:p>
    <w:p w:rsidR="004C50DC" w:rsidRPr="00E8358C" w:rsidRDefault="004C50DC" w:rsidP="004C50DC">
      <w:pPr>
        <w:spacing w:before="120" w:after="120"/>
        <w:jc w:val="both"/>
      </w:pPr>
      <w:r w:rsidRPr="00E8358C">
        <w:t>Loin du décorum officiel de la mémoire, l’esclavage semble être pourtant la « mémoire matrice » de la mémoire collective haïtienne, quand on considère les pratiques sociales et culturelles en lien avec ce passé et la réalité du présent. Ainsi, comme l’exprime Édouard Gli</w:t>
      </w:r>
      <w:r w:rsidRPr="00E8358C">
        <w:t>s</w:t>
      </w:r>
      <w:r w:rsidRPr="00E8358C">
        <w:t>sant, « notre paysage est son propre monument : la trace qu’il signifie est repérable par-dessous. C’est tout histoire (sic) »</w:t>
      </w:r>
      <w:r>
        <w:t> </w:t>
      </w:r>
      <w:r>
        <w:rPr>
          <w:rStyle w:val="Appelnotedebasdep"/>
        </w:rPr>
        <w:footnoteReference w:id="456"/>
      </w:r>
      <w:r w:rsidRPr="00E8358C">
        <w:t>. C’est effectiv</w:t>
      </w:r>
      <w:r w:rsidRPr="00E8358C">
        <w:t>e</w:t>
      </w:r>
      <w:r w:rsidRPr="00E8358C">
        <w:t>ment un cadre important pour la mémoire et pour l’histoire. Le pays</w:t>
      </w:r>
      <w:r w:rsidRPr="00E8358C">
        <w:t>a</w:t>
      </w:r>
      <w:r w:rsidRPr="00E8358C">
        <w:t xml:space="preserve">ge nous parle quotidiennement. C’est un interlocuteur </w:t>
      </w:r>
      <w:r>
        <w:t xml:space="preserve">[146] </w:t>
      </w:r>
      <w:r w:rsidRPr="00E8358C">
        <w:t>indispe</w:t>
      </w:r>
      <w:r w:rsidRPr="00E8358C">
        <w:t>n</w:t>
      </w:r>
      <w:r w:rsidRPr="00E8358C">
        <w:t>sable à la construction et à l’analyse patrimoniale. Reste à s</w:t>
      </w:r>
      <w:r w:rsidRPr="00E8358C">
        <w:t>a</w:t>
      </w:r>
      <w:r w:rsidRPr="00E8358C">
        <w:t xml:space="preserve">voir comment l’écouter et communiquer avec lui. </w:t>
      </w:r>
    </w:p>
    <w:p w:rsidR="004C50DC" w:rsidRPr="00E8358C" w:rsidRDefault="004C50DC" w:rsidP="004C50DC">
      <w:pPr>
        <w:spacing w:before="120" w:after="120"/>
        <w:jc w:val="both"/>
      </w:pPr>
      <w:r w:rsidRPr="00E8358C">
        <w:t>Comment expliquez-vous l’attitude de la société haïtienne face au passé colonial esclavagiste et à la mémoire ? La réponse de Louise, 54 ans, habitante de la ville des Cayes, souligne l’importance de cette question dans l’entrevue qu’elle nous a accordée. Elle nous fait co</w:t>
      </w:r>
      <w:r w:rsidRPr="00E8358C">
        <w:t>m</w:t>
      </w:r>
      <w:r w:rsidRPr="00E8358C">
        <w:t xml:space="preserve">prendre, contrairement à ce que pensent certaines gens, que le peuple haïtien n’occulte pas ses mémoires de l’esclavage. Au contraire, il s’en sert pour défendre ses intérêts ou pour revendiquer son apport à l’abolition de l’esclavage à travers la Révolution de 1804. </w:t>
      </w:r>
    </w:p>
    <w:p w:rsidR="004C50DC" w:rsidRDefault="004C50DC" w:rsidP="004C50DC">
      <w:pPr>
        <w:pStyle w:val="Citation0"/>
      </w:pPr>
    </w:p>
    <w:p w:rsidR="004C50DC" w:rsidRDefault="004C50DC" w:rsidP="004C50DC">
      <w:pPr>
        <w:pStyle w:val="Citation0i"/>
      </w:pPr>
      <w:r w:rsidRPr="00E8358C">
        <w:t>Mwen pa kwè pèp ayisyen an bliye ke li te nan esklavaj. Dayè ou ka wè nan kelke sitiyasyon difisil tankou lè yon moun fè l abi, vle oprese l, vit li fè konparezon an ak esklavaj pou raple ke zanzèt li yo te libere l deja nan chenn, pa gen anyen k ap fè l retounen ankò. Pa</w:t>
      </w:r>
      <w:r w:rsidRPr="00E8358C">
        <w:t>f</w:t>
      </w:r>
      <w:r w:rsidRPr="00E8358C">
        <w:t>wa ou konn tande tou pou make yon gwo reyalizasyon moun konn di se pa jounen jodia n ap etone lemond, nou abitye fè plis bagay kom konbat esklavaj, mete an defèt lame fransèz. M plis panse ke se yon fason pou jere relasyon sosyal yo ak viv nan plis amoni ak tèt yo.</w:t>
      </w:r>
    </w:p>
    <w:p w:rsidR="004C50DC" w:rsidRPr="00E8358C" w:rsidRDefault="004C50DC" w:rsidP="004C50DC">
      <w:pPr>
        <w:pStyle w:val="Citation0"/>
      </w:pPr>
      <w:r w:rsidRPr="00E8358C">
        <w:t>[Je ne crois pas que le peuple haïtien ait oublié qu’il a été en escl</w:t>
      </w:r>
      <w:r w:rsidRPr="00E8358C">
        <w:t>a</w:t>
      </w:r>
      <w:r w:rsidRPr="00E8358C">
        <w:t>vage. Il y fait souvent allusion dans les moments difficiles qui rappellent les o</w:t>
      </w:r>
      <w:r w:rsidRPr="00E8358C">
        <w:t>p</w:t>
      </w:r>
      <w:r w:rsidRPr="00E8358C">
        <w:t>pressions et les abus dont il est victime. Il rappelle que les chaînes de l’esclavage ont été à jamais brisées par leurs aïeux. Pour marquer un e</w:t>
      </w:r>
      <w:r w:rsidRPr="00E8358C">
        <w:t>x</w:t>
      </w:r>
      <w:r w:rsidRPr="00E8358C">
        <w:t>ploit réussi par un autre Haïtien, il évoque aussi la victoire de l’armée i</w:t>
      </w:r>
      <w:r w:rsidRPr="00E8358C">
        <w:t>n</w:t>
      </w:r>
      <w:r w:rsidRPr="00E8358C">
        <w:t>digène face aux troupes expéditionnaires françaises pour rappeler qu’ils sont habitués à étonner le monde. À mon avis, c’est une façon de gérer les rapports sociaux et de vivre en harmonie avec son présent et sa conscie</w:t>
      </w:r>
      <w:r w:rsidRPr="00E8358C">
        <w:t>n</w:t>
      </w:r>
      <w:r w:rsidRPr="00E8358C">
        <w:t>ce.]</w:t>
      </w:r>
    </w:p>
    <w:p w:rsidR="004C50DC" w:rsidRDefault="004C50DC" w:rsidP="004C50DC">
      <w:pPr>
        <w:pStyle w:val="Citation0c"/>
      </w:pPr>
      <w:r w:rsidRPr="00E8358C">
        <w:t>(Louise, entrevue, 19 juin 2014)</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Le silence s’impose comme une preuve d’amnésie. Il est </w:t>
      </w:r>
      <w:r w:rsidRPr="00E8358C">
        <w:rPr>
          <w:i/>
        </w:rPr>
        <w:t>la plus grande révélation</w:t>
      </w:r>
      <w:r w:rsidRPr="00E8358C">
        <w:t xml:space="preserve"> comme l’a dit Lao-Tseu. Loin de penser que le peuple haïtien s’enferme dans une amnésie collective, il s’est plutôt confronté au réel quotidien et social pour défendre la valeur de la R</w:t>
      </w:r>
      <w:r w:rsidRPr="00E8358C">
        <w:t>é</w:t>
      </w:r>
      <w:r w:rsidRPr="00E8358C">
        <w:t xml:space="preserve">volution de 1804. Il participe activement aux combats concrets de son moment. C’est un peuple qui croit encore s’engager dans une lutte contre l’esclavage, mais il ne l’exprime pas ouvertement.  </w:t>
      </w:r>
    </w:p>
    <w:p w:rsidR="004C50DC" w:rsidRPr="00E8358C" w:rsidRDefault="004C50DC" w:rsidP="004C50DC">
      <w:pPr>
        <w:spacing w:before="120" w:after="120"/>
        <w:jc w:val="both"/>
      </w:pPr>
      <w:r w:rsidRPr="00E8358C">
        <w:t>Les conséquences du système esclavagiste sont criantes dans la s</w:t>
      </w:r>
      <w:r w:rsidRPr="00E8358C">
        <w:t>o</w:t>
      </w:r>
      <w:r w:rsidRPr="00E8358C">
        <w:t>ciété haïtienne. La continuité de l’esclavage est apparente dans la constitution même de l’État haïtien. Elle forme le noyau dur de la gouvernance en Haïti et le fondement principal des divisions au</w:t>
      </w:r>
      <w:r>
        <w:t xml:space="preserve"> [147]</w:t>
      </w:r>
      <w:r w:rsidRPr="00E8358C">
        <w:t xml:space="preserve"> sein de la société. Les élites sont les bénéficiaires de l’image héroïque de l’Indépendance et n’entendent pas revenir sur les causes de ces d</w:t>
      </w:r>
      <w:r w:rsidRPr="00E8358C">
        <w:t>i</w:t>
      </w:r>
      <w:r w:rsidRPr="00E8358C">
        <w:t>visions ni sur l’apport des masses populaires à la libération nationale, parce qu’elles veulent conserver leur posture libératrice, voire myth</w:t>
      </w:r>
      <w:r w:rsidRPr="00E8358C">
        <w:t>i</w:t>
      </w:r>
      <w:r w:rsidRPr="00E8358C">
        <w:t>que, de super-pouvoir économique, politique et intellectuel. Voici donc comment Clément explique le silence ou le non-dévoilement de la position de l’Haïtien en rapport à la mémoire de l’esclavage :  </w:t>
      </w:r>
    </w:p>
    <w:p w:rsidR="004C50DC" w:rsidRDefault="004C50DC" w:rsidP="004C50DC">
      <w:pPr>
        <w:pStyle w:val="Citation0"/>
      </w:pPr>
    </w:p>
    <w:p w:rsidR="004C50DC" w:rsidRPr="00E8358C" w:rsidRDefault="004C50DC" w:rsidP="004C50DC">
      <w:pPr>
        <w:pStyle w:val="Citation0"/>
      </w:pPr>
      <w:r w:rsidRPr="00E8358C">
        <w:t>Nous vivons dans une société de reproduction de l’esclavage. La base du système étatique haïtien est esclavagiste. La fragmentation sociale est une construction des élites pour maintenir les distances et tenir à l’écart les fils du paysan. Donc parler de l’esclavage devient même un sujet tabou pour éviter les susceptibilités et diviser davant</w:t>
      </w:r>
      <w:r w:rsidRPr="00E8358C">
        <w:t>a</w:t>
      </w:r>
      <w:r w:rsidRPr="00E8358C">
        <w:t xml:space="preserve">ge. </w:t>
      </w:r>
    </w:p>
    <w:p w:rsidR="004C50DC" w:rsidRDefault="004C50DC" w:rsidP="004C50DC">
      <w:pPr>
        <w:pStyle w:val="Citation0c"/>
      </w:pPr>
      <w:r w:rsidRPr="00E8358C">
        <w:t>(Clément, entrevue, 11 novembre 2013)</w:t>
      </w:r>
    </w:p>
    <w:p w:rsidR="004C50DC" w:rsidRPr="00E8358C" w:rsidRDefault="004C50DC" w:rsidP="004C50DC">
      <w:pPr>
        <w:spacing w:before="120" w:after="120"/>
        <w:jc w:val="both"/>
        <w:rPr>
          <w:szCs w:val="22"/>
        </w:rPr>
      </w:pPr>
    </w:p>
    <w:p w:rsidR="004C50DC" w:rsidRPr="00E8358C" w:rsidRDefault="004C50DC" w:rsidP="004C50DC">
      <w:pPr>
        <w:spacing w:before="120" w:after="120"/>
        <w:jc w:val="both"/>
      </w:pPr>
      <w:r w:rsidRPr="00E8358C">
        <w:t>Le contournement des figures de l’esclavage s’établit comme une stratégie des élites dirigeantes pour coexister pacifiquement avec les maux de la société. Notons dans les propos du participant que le contrôle social haïtien est lié à la place de la mémoire coloniale. De toute évidence, dans « toute mémoire collective se dénote une certaine sélectivité »</w:t>
      </w:r>
      <w:r>
        <w:t> </w:t>
      </w:r>
      <w:r>
        <w:rPr>
          <w:rStyle w:val="Appelnotedebasdep"/>
        </w:rPr>
        <w:footnoteReference w:id="457"/>
      </w:r>
      <w:r>
        <w:t xml:space="preserve"> </w:t>
      </w:r>
      <w:r w:rsidRPr="00E8358C">
        <w:t>qui « s’est associé aux silences, et à une certaine amn</w:t>
      </w:r>
      <w:r w:rsidRPr="00E8358C">
        <w:t>é</w:t>
      </w:r>
      <w:r w:rsidRPr="00E8358C">
        <w:t>sie sociale »</w:t>
      </w:r>
      <w:r>
        <w:t> </w:t>
      </w:r>
      <w:r>
        <w:rPr>
          <w:rStyle w:val="Appelnotedebasdep"/>
        </w:rPr>
        <w:footnoteReference w:id="458"/>
      </w:r>
      <w:r w:rsidRPr="00E8358C">
        <w:t>. Mais quand elle est conditionnée et instrumentalisée, elle est souvent victime de l’insouciance et de l’indifférence intelle</w:t>
      </w:r>
      <w:r w:rsidRPr="00E8358C">
        <w:t>c</w:t>
      </w:r>
      <w:r w:rsidRPr="00E8358C">
        <w:t>tuelle. Sans surprise, c’est la même réalité qui semble marquer la m</w:t>
      </w:r>
      <w:r w:rsidRPr="00E8358C">
        <w:t>é</w:t>
      </w:r>
      <w:r w:rsidRPr="00E8358C">
        <w:t>moire de l’esclavage dans les autres Antilles. Certains écrivains pa</w:t>
      </w:r>
      <w:r w:rsidRPr="00E8358C">
        <w:t>r</w:t>
      </w:r>
      <w:r w:rsidRPr="00E8358C">
        <w:t>lent « d’</w:t>
      </w:r>
      <w:r w:rsidRPr="00E8358C">
        <w:rPr>
          <w:iCs/>
        </w:rPr>
        <w:t>amnésie collective »</w:t>
      </w:r>
      <w:r w:rsidRPr="00E8358C">
        <w:t>, « de l’absence de traces ou encore de l’impuissance de la mémoire»</w:t>
      </w:r>
      <w:r>
        <w:t> </w:t>
      </w:r>
      <w:r>
        <w:rPr>
          <w:rStyle w:val="Appelnotedebasdep"/>
        </w:rPr>
        <w:footnoteReference w:id="459"/>
      </w:r>
      <w:r w:rsidRPr="00E8358C">
        <w:t>, ce qu’exprime plus tragiquement Aimé Césaire :</w:t>
      </w:r>
    </w:p>
    <w:p w:rsidR="004C50DC" w:rsidRDefault="004C50DC" w:rsidP="004C50DC">
      <w:pPr>
        <w:ind w:left="3240"/>
        <w:jc w:val="both"/>
        <w:rPr>
          <w:i/>
          <w:szCs w:val="22"/>
        </w:rPr>
      </w:pPr>
    </w:p>
    <w:p w:rsidR="004C50DC" w:rsidRPr="00B956E6" w:rsidRDefault="004C50DC" w:rsidP="004C50DC">
      <w:pPr>
        <w:pStyle w:val="parolesliste"/>
      </w:pPr>
      <w:r w:rsidRPr="00B956E6">
        <w:t xml:space="preserve">J’habite une blessure sacrée </w:t>
      </w:r>
    </w:p>
    <w:p w:rsidR="004C50DC" w:rsidRPr="00B956E6" w:rsidRDefault="004C50DC" w:rsidP="004C50DC">
      <w:pPr>
        <w:pStyle w:val="parolesliste"/>
      </w:pPr>
      <w:r w:rsidRPr="00B956E6">
        <w:t>[…]</w:t>
      </w:r>
    </w:p>
    <w:p w:rsidR="004C50DC" w:rsidRPr="00B956E6" w:rsidRDefault="004C50DC" w:rsidP="004C50DC">
      <w:pPr>
        <w:pStyle w:val="parolesliste"/>
      </w:pPr>
      <w:r w:rsidRPr="00B956E6">
        <w:t>J’habite un vouloir obscur</w:t>
      </w:r>
    </w:p>
    <w:p w:rsidR="004C50DC" w:rsidRPr="00B956E6" w:rsidRDefault="004C50DC" w:rsidP="004C50DC">
      <w:pPr>
        <w:pStyle w:val="parolesliste"/>
      </w:pPr>
      <w:r w:rsidRPr="00B956E6">
        <w:t>J’habite un long silence</w:t>
      </w:r>
    </w:p>
    <w:p w:rsidR="004C50DC" w:rsidRPr="00B956E6" w:rsidRDefault="004C50DC" w:rsidP="004C50DC">
      <w:pPr>
        <w:pStyle w:val="parolesliste"/>
      </w:pPr>
      <w:r w:rsidRPr="00B956E6">
        <w:t>J’habite une soif irrémédiable…</w:t>
      </w:r>
      <w:r>
        <w:t> </w:t>
      </w:r>
      <w:r>
        <w:rPr>
          <w:rStyle w:val="Appelnotedebasdep"/>
        </w:rPr>
        <w:footnoteReference w:id="460"/>
      </w:r>
      <w:r w:rsidRPr="00B956E6">
        <w:t> </w:t>
      </w:r>
    </w:p>
    <w:p w:rsidR="004C50DC" w:rsidRDefault="004C50DC" w:rsidP="004C50DC">
      <w:pPr>
        <w:spacing w:before="120" w:after="120"/>
        <w:jc w:val="both"/>
      </w:pPr>
    </w:p>
    <w:p w:rsidR="004C50DC" w:rsidRDefault="004C50DC" w:rsidP="004C50DC">
      <w:pPr>
        <w:spacing w:before="120" w:after="120"/>
        <w:jc w:val="both"/>
      </w:pPr>
      <w:r>
        <w:t>[148]</w:t>
      </w:r>
    </w:p>
    <w:p w:rsidR="004C50DC" w:rsidRPr="00E8358C" w:rsidRDefault="004C50DC" w:rsidP="004C50DC">
      <w:pPr>
        <w:spacing w:before="120" w:after="120"/>
        <w:jc w:val="both"/>
      </w:pPr>
      <w:r w:rsidRPr="00E8358C">
        <w:t>Comme une complainte perpétuelle et devant cette absence de r</w:t>
      </w:r>
      <w:r w:rsidRPr="00E8358C">
        <w:t>e</w:t>
      </w:r>
      <w:r w:rsidRPr="00E8358C">
        <w:t>père mémoriel, il invoque ces « pays sans stèles, ces chemins sans mémoire</w:t>
      </w:r>
      <w:r>
        <w:t> </w:t>
      </w:r>
      <w:r>
        <w:rPr>
          <w:rStyle w:val="Appelnotedebasdep"/>
        </w:rPr>
        <w:footnoteReference w:id="461"/>
      </w:r>
      <w:r>
        <w:t> </w:t>
      </w:r>
      <w:r w:rsidRPr="00E8358C">
        <w:t>». En Haïti, la réalité est différente. Le pays est habité par des lieux et des sites que la nature préserve involontairement. Les c</w:t>
      </w:r>
      <w:r w:rsidRPr="00E8358C">
        <w:t>i</w:t>
      </w:r>
      <w:r w:rsidRPr="00E8358C">
        <w:t>toyens les croisent chaque jour, mais ils sont plutôt préoccupés par le discours politique et les problèmes qui guettent leur existence. Est-ce que l’amnésie vaincra le passé colonial en Haïti ? Comment rendre ce passé compréhensible et accessible à tous ? Il faut un réel travail de mémoire, car l’absence de ce travail de mémoire peut devenir un fa</w:t>
      </w:r>
      <w:r w:rsidRPr="00E8358C">
        <w:t>r</w:t>
      </w:r>
      <w:r w:rsidRPr="00E8358C">
        <w:t>deau mémoriel pour le peuple haïtien. Les Haïtiens risquent de répéter avec Derek Walcott qu’« avec le temps, l’esclave capitula devant l’amnésie ». En effet, « c’est cette amnésie qui constitue la véritable histoire du Nouveau Monde »</w:t>
      </w:r>
      <w:r>
        <w:t> </w:t>
      </w:r>
      <w:r>
        <w:rPr>
          <w:rStyle w:val="Appelnotedebasdep"/>
        </w:rPr>
        <w:footnoteReference w:id="462"/>
      </w:r>
      <w:r w:rsidRPr="00E8358C">
        <w:t xml:space="preserve"> dont fait partie Haïti. </w:t>
      </w:r>
    </w:p>
    <w:p w:rsidR="004C50DC" w:rsidRDefault="004C50DC" w:rsidP="004C50DC">
      <w:pPr>
        <w:spacing w:before="120" w:after="120"/>
        <w:jc w:val="both"/>
      </w:pPr>
      <w:r w:rsidRPr="00E8358C">
        <w:t>Il y a lieu aussi de noter les rapports entre l’État, l’histoire, la m</w:t>
      </w:r>
      <w:r w:rsidRPr="00E8358C">
        <w:t>é</w:t>
      </w:r>
      <w:r w:rsidRPr="00E8358C">
        <w:t>moire et le corps social pour comprendre les enjeux aujourd’hui. Ce</w:t>
      </w:r>
      <w:r w:rsidRPr="00E8358C">
        <w:t>r</w:t>
      </w:r>
      <w:r w:rsidRPr="00E8358C">
        <w:t>tains dirigeants mettent en exergue l’esclavage dans les commémor</w:t>
      </w:r>
      <w:r w:rsidRPr="00E8358C">
        <w:t>a</w:t>
      </w:r>
      <w:r w:rsidRPr="00E8358C">
        <w:t>tions officielles ou dans les discours de ralliement national pour i</w:t>
      </w:r>
      <w:r w:rsidRPr="00E8358C">
        <w:t>n</w:t>
      </w:r>
      <w:r w:rsidRPr="00E8358C">
        <w:t>culquer une mémoire qui se veut surtout victimaire. Ces mots irr</w:t>
      </w:r>
      <w:r w:rsidRPr="00E8358C">
        <w:t>i</w:t>
      </w:r>
      <w:r w:rsidRPr="00E8358C">
        <w:t>guent désormais la réflexion sur la m</w:t>
      </w:r>
      <w:r>
        <w:t>émoire de l’esclavage en Haïti.</w:t>
      </w:r>
    </w:p>
    <w:p w:rsidR="004C50DC" w:rsidRPr="00E8358C" w:rsidRDefault="004C50DC" w:rsidP="004C50DC">
      <w:pPr>
        <w:spacing w:before="120" w:after="120"/>
        <w:jc w:val="both"/>
      </w:pPr>
    </w:p>
    <w:p w:rsidR="004C50DC" w:rsidRPr="00E8358C" w:rsidRDefault="004C50DC" w:rsidP="004C50DC">
      <w:pPr>
        <w:pStyle w:val="planche"/>
      </w:pPr>
      <w:bookmarkStart w:id="146" w:name="_Toc406489674"/>
      <w:bookmarkStart w:id="147" w:name="_Toc423347295"/>
      <w:bookmarkStart w:id="148" w:name="_Toc442280473"/>
      <w:bookmarkStart w:id="149" w:name="Memoire_chap_III_3"/>
      <w:r w:rsidRPr="00E8358C">
        <w:t xml:space="preserve">3.3. Instruction </w:t>
      </w:r>
      <w:r>
        <w:t>publique en Haïti :</w:t>
      </w:r>
      <w:r>
        <w:br/>
      </w:r>
      <w:r w:rsidRPr="00E8358C">
        <w:t>à l’angle des politiques gouvernementales</w:t>
      </w:r>
      <w:r>
        <w:br/>
      </w:r>
      <w:r w:rsidRPr="00E8358C">
        <w:t>et des int</w:t>
      </w:r>
      <w:r w:rsidRPr="00E8358C">
        <w:t>é</w:t>
      </w:r>
      <w:r w:rsidRPr="00E8358C">
        <w:t>rêts de la nation</w:t>
      </w:r>
      <w:bookmarkEnd w:id="146"/>
      <w:bookmarkEnd w:id="147"/>
      <w:bookmarkEnd w:id="148"/>
    </w:p>
    <w:bookmarkEnd w:id="149"/>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Certains critiques haïtiens s’accordent pour situer les premières n</w:t>
      </w:r>
      <w:r w:rsidRPr="00E8358C">
        <w:t>o</w:t>
      </w:r>
      <w:r w:rsidRPr="00E8358C">
        <w:t>tes de l’histoire de l’éducation en Haïti au moment de l’adoption de la Constitution impériale de 1805. Thomas Madiou est d’avis contraire :</w:t>
      </w:r>
    </w:p>
    <w:p w:rsidR="004C50DC" w:rsidRDefault="004C50DC" w:rsidP="004C50DC">
      <w:pPr>
        <w:pStyle w:val="Citation0"/>
      </w:pPr>
    </w:p>
    <w:p w:rsidR="004C50DC" w:rsidRDefault="004C50DC" w:rsidP="004C50DC">
      <w:pPr>
        <w:pStyle w:val="Citation0"/>
      </w:pPr>
      <w:r w:rsidRPr="00E8358C">
        <w:t>Personne non plus ne songeait à donner à Dessalines le conseil d’établir des institutions d’instruction publique, afin que le peuple, en s’éclairant, pût concevoir en quoi consiste la dignité humaine. Au contraire, la plupart de ceux qui avaient acquis quelques connaissances redoutaient la propag</w:t>
      </w:r>
      <w:r w:rsidRPr="00E8358C">
        <w:t>a</w:t>
      </w:r>
      <w:r w:rsidRPr="00E8358C">
        <w:t>tion de la lumière dans les rangs de la ma</w:t>
      </w:r>
      <w:r w:rsidRPr="00E8358C">
        <w:t>s</w:t>
      </w:r>
      <w:r w:rsidRPr="00E8358C">
        <w:t>se. Déjà, ils frémissaient à l’idée d’en voir sortir des hommes éclairés se saisissant de l’autorité du</w:t>
      </w:r>
      <w:r>
        <w:t xml:space="preserve"> [149]</w:t>
      </w:r>
      <w:r w:rsidRPr="00E8358C">
        <w:t xml:space="preserve"> pays et se passant de leur concours ; l’avenir de la nation était sacrifié à des intérêts privés</w:t>
      </w:r>
      <w:r>
        <w:t> </w:t>
      </w:r>
      <w:r>
        <w:rPr>
          <w:rStyle w:val="Appelnotedebasdep"/>
        </w:rPr>
        <w:footnoteReference w:id="463"/>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Jean-Jacques Dessalines ne comprenait-il pas vraiment la nécessité d’éduquer les jeunes qui représentaient la force vive de la nouvelle nation ? La Constitution de 1805, en son article 19, stipule que « dans chaque division militaire, une école publique sera établie pour l’instruction de la jeunesse ». L’élite intellectuelle du pays était-elle d’accord pour partager ses connaissances avec la masse ? Était-elle favorable à l’idée de se voir dirigée par Dessalines ? La question ne devrait-elle pas se situer là ? Jean-Jacques Dessalines est-il tenu pour responsable du « mal congénital » ou de la « tare fondatrice » de la nouvelle nation, comme la qualifie Leslie Péan</w:t>
      </w:r>
      <w:r>
        <w:t> </w:t>
      </w:r>
      <w:r>
        <w:rPr>
          <w:rStyle w:val="Appelnotedebasdep"/>
        </w:rPr>
        <w:footnoteReference w:id="464"/>
      </w:r>
      <w:r w:rsidRPr="00E8358C">
        <w:t>, sous couvert de l’analyse de Thomas Madiou sur l’absence d’un système d’instruction publique ? L’empereur était bien conscient que le peuple haïtien se dotait d’une intelligence naturelle qui lui avait permis de mener la lu</w:t>
      </w:r>
      <w:r w:rsidRPr="00E8358C">
        <w:t>t</w:t>
      </w:r>
      <w:r w:rsidRPr="00E8358C">
        <w:t>te pour l’Indépendance nationale. C’est à cette forme d’intelligence que Michel Foucault fait allusion : « avant toute existence humaine, toute pensée humaine, il y aurait déjà un savoir, un système que nous redécouvrons »</w:t>
      </w:r>
      <w:r>
        <w:t> </w:t>
      </w:r>
      <w:r>
        <w:rPr>
          <w:rStyle w:val="Appelnotedebasdep"/>
        </w:rPr>
        <w:footnoteReference w:id="465"/>
      </w:r>
      <w:r w:rsidRPr="00E8358C">
        <w:t>. Le premier chef suprême d’Haïti voulait, au-delà des discours révolutionnaires et des clivages politiques et sociaux, r</w:t>
      </w:r>
      <w:r w:rsidRPr="00E8358C">
        <w:t>é</w:t>
      </w:r>
      <w:r w:rsidRPr="00E8358C">
        <w:t xml:space="preserve">gler la question de l’Instruction publique.  </w:t>
      </w:r>
    </w:p>
    <w:p w:rsidR="004C50DC" w:rsidRPr="00E8358C" w:rsidRDefault="004C50DC" w:rsidP="004C50DC">
      <w:pPr>
        <w:spacing w:before="120" w:after="120"/>
        <w:jc w:val="both"/>
      </w:pPr>
      <w:r w:rsidRPr="00E8358C">
        <w:t>Selon L.C. Lhérisson et Sténio Vincent (1898)</w:t>
      </w:r>
      <w:r>
        <w:t> </w:t>
      </w:r>
      <w:r>
        <w:rPr>
          <w:rStyle w:val="Appelnotedebasdep"/>
        </w:rPr>
        <w:footnoteReference w:id="466"/>
      </w:r>
      <w:r w:rsidRPr="00E8358C">
        <w:t>, Catts Pressoir (1950)</w:t>
      </w:r>
      <w:r>
        <w:t> </w:t>
      </w:r>
      <w:r>
        <w:rPr>
          <w:rStyle w:val="Appelnotedebasdep"/>
        </w:rPr>
        <w:footnoteReference w:id="467"/>
      </w:r>
      <w:r w:rsidRPr="00E8358C">
        <w:t>, Jean-Joseph Maurice Dartigue</w:t>
      </w:r>
      <w:r>
        <w:t> </w:t>
      </w:r>
      <w:r>
        <w:rPr>
          <w:rStyle w:val="Appelnotedebasdep"/>
        </w:rPr>
        <w:footnoteReference w:id="468"/>
      </w:r>
      <w:r>
        <w:t xml:space="preserve"> </w:t>
      </w:r>
      <w:r w:rsidRPr="00E8358C">
        <w:t>(1939)</w:t>
      </w:r>
      <w:r>
        <w:t> </w:t>
      </w:r>
      <w:r>
        <w:rPr>
          <w:rStyle w:val="Appelnotedebasdep"/>
        </w:rPr>
        <w:footnoteReference w:id="469"/>
      </w:r>
      <w:r w:rsidRPr="00E8358C">
        <w:t>, Edner Brutus (1979)</w:t>
      </w:r>
      <w:r>
        <w:t> </w:t>
      </w:r>
      <w:r>
        <w:rPr>
          <w:rStyle w:val="Appelnotedebasdep"/>
        </w:rPr>
        <w:footnoteReference w:id="470"/>
      </w:r>
      <w:r w:rsidRPr="00E8358C">
        <w:t>, Charles Tardieu (1980)</w:t>
      </w:r>
      <w:r>
        <w:t> </w:t>
      </w:r>
      <w:r>
        <w:rPr>
          <w:rStyle w:val="Appelnotedebasdep"/>
        </w:rPr>
        <w:footnoteReference w:id="471"/>
      </w:r>
      <w:r w:rsidRPr="00E8358C">
        <w:t xml:space="preserve"> ou encore</w:t>
      </w:r>
      <w:r>
        <w:t xml:space="preserve"> [150]</w:t>
      </w:r>
      <w:r w:rsidRPr="00E8358C">
        <w:t xml:space="preserve"> Daniel Fignolé (1945)</w:t>
      </w:r>
      <w:r>
        <w:t> </w:t>
      </w:r>
      <w:r>
        <w:rPr>
          <w:rStyle w:val="Appelnotedebasdep"/>
        </w:rPr>
        <w:footnoteReference w:id="472"/>
      </w:r>
      <w:r w:rsidRPr="00E8358C">
        <w:t>, le gouvernement colonial esclavagiste de Saint-Domingue avait peu intérêt à instituer un système public d’éducation. Rares étaient les esclaves, comme Toussaint Louverture, qui ont eu la cha</w:t>
      </w:r>
      <w:r w:rsidRPr="00E8358C">
        <w:t>n</w:t>
      </w:r>
      <w:r w:rsidRPr="00E8358C">
        <w:t>ce de goûter au pain de l’instruction. Les mesures instituées dans les premières années de la vie nationale haïtienne par les nouveaux dir</w:t>
      </w:r>
      <w:r w:rsidRPr="00E8358C">
        <w:t>i</w:t>
      </w:r>
      <w:r w:rsidRPr="00E8358C">
        <w:t>geants n’avaient pour objectif principal que la consolidation de l’indépendance. L</w:t>
      </w:r>
      <w:r w:rsidRPr="00E8358C">
        <w:rPr>
          <w:rFonts w:eastAsia="Calibri"/>
        </w:rPr>
        <w:t xml:space="preserve">a problématique de l’éducation était posée, mais elle sera négligée par la suite par certains gouvernements, et ce, en dépit des discours et des documents légaux. </w:t>
      </w:r>
    </w:p>
    <w:p w:rsidR="004C50DC" w:rsidRPr="00E8358C" w:rsidRDefault="004C50DC" w:rsidP="004C50DC">
      <w:pPr>
        <w:spacing w:before="120" w:after="120"/>
        <w:jc w:val="both"/>
        <w:rPr>
          <w:rFonts w:eastAsia="Calibri"/>
        </w:rPr>
      </w:pPr>
      <w:r w:rsidRPr="00E8358C">
        <w:rPr>
          <w:rFonts w:eastAsia="Calibri"/>
        </w:rPr>
        <w:t>Dans son royaume du Nord, Le roi Henri Christophe fit adopter des dispositions visant à ériger des écoles primaires gratuites</w:t>
      </w:r>
      <w:r>
        <w:rPr>
          <w:rFonts w:eastAsia="Calibri"/>
        </w:rPr>
        <w:t> </w:t>
      </w:r>
      <w:r>
        <w:rPr>
          <w:rStyle w:val="Appelnotedebasdep"/>
          <w:rFonts w:eastAsia="Calibri"/>
        </w:rPr>
        <w:footnoteReference w:id="473"/>
      </w:r>
      <w:r w:rsidRPr="00E8358C">
        <w:rPr>
          <w:rFonts w:eastAsia="Calibri"/>
        </w:rPr>
        <w:t xml:space="preserve"> dans les villes. Il créa les « académies royales » faisant office d’écoles s</w:t>
      </w:r>
      <w:r w:rsidRPr="00E8358C">
        <w:rPr>
          <w:rFonts w:eastAsia="Calibri"/>
        </w:rPr>
        <w:t>e</w:t>
      </w:r>
      <w:r w:rsidRPr="00E8358C">
        <w:rPr>
          <w:rFonts w:eastAsia="Calibri"/>
        </w:rPr>
        <w:t xml:space="preserve">condaires. Deux  écoles privées de filles furent aussi créées dans la ville du Cap, se chargeant de la formation des jeunes demoiselles du royaume. Les dispositions ont été consacrées dans la Constitution royale de 1807. Des enseignants anglais furent recrutés en renfort des instituteurs haïtiens et une Chambre royale d’Instruction publique fut constituée pour assurer la gestion et le bon fonctionnement de l’éducation dans le royaume du Nord. Dans </w:t>
      </w:r>
      <w:r w:rsidRPr="00E8358C">
        <w:t xml:space="preserve">la partie de l’Ouest et la partie du Sud d’Haïti </w:t>
      </w:r>
      <w:r>
        <w:t xml:space="preserve">[151] </w:t>
      </w:r>
      <w:r w:rsidRPr="00E8358C">
        <w:t xml:space="preserve">constituées en </w:t>
      </w:r>
      <w:r w:rsidRPr="00E8358C">
        <w:rPr>
          <w:rFonts w:eastAsia="Calibri"/>
        </w:rPr>
        <w:t>républiques, le général Alexandre Pétion s’est montré également intéressé par l’éducation nationale. Dans la Constitution de 1806 révisée en 1816, l’enseignement gratuit pour tous est vivement préconisé.</w:t>
      </w:r>
    </w:p>
    <w:p w:rsidR="004C50DC" w:rsidRDefault="004C50DC" w:rsidP="004C50DC">
      <w:pPr>
        <w:pStyle w:val="Citation0"/>
        <w:rPr>
          <w:rFonts w:eastAsia="Calibri"/>
        </w:rPr>
      </w:pPr>
    </w:p>
    <w:p w:rsidR="004C50DC" w:rsidRDefault="004C50DC" w:rsidP="004C50DC">
      <w:pPr>
        <w:pStyle w:val="Citation0"/>
        <w:rPr>
          <w:rFonts w:eastAsia="Calibri"/>
        </w:rPr>
      </w:pPr>
      <w:r w:rsidRPr="00E8358C">
        <w:rPr>
          <w:rFonts w:eastAsia="Calibri"/>
        </w:rPr>
        <w:t>Il sera aussi créé et organisé une Institution publique, commune à tous les citoyens, gratuite à l’égard des parties d’enseignement indi</w:t>
      </w:r>
      <w:r w:rsidRPr="00E8358C">
        <w:rPr>
          <w:rFonts w:eastAsia="Calibri"/>
        </w:rPr>
        <w:t>s</w:t>
      </w:r>
      <w:r w:rsidRPr="00E8358C">
        <w:rPr>
          <w:rFonts w:eastAsia="Calibri"/>
        </w:rPr>
        <w:t>pensable pour tous les hommes, dont les établissements seront distr</w:t>
      </w:r>
      <w:r w:rsidRPr="00E8358C">
        <w:rPr>
          <w:rFonts w:eastAsia="Calibri"/>
        </w:rPr>
        <w:t>i</w:t>
      </w:r>
      <w:r w:rsidRPr="00E8358C">
        <w:rPr>
          <w:rFonts w:eastAsia="Calibri"/>
        </w:rPr>
        <w:t xml:space="preserve">bués graduellement dans un rapport combiné avec la division de la République (Constitution de 1816, article 36). </w:t>
      </w:r>
    </w:p>
    <w:p w:rsidR="004C50DC" w:rsidRPr="00E8358C" w:rsidRDefault="004C50DC" w:rsidP="004C50DC">
      <w:pPr>
        <w:pStyle w:val="Citation0"/>
        <w:rPr>
          <w:rFonts w:eastAsia="Calibri"/>
        </w:rPr>
      </w:pPr>
    </w:p>
    <w:p w:rsidR="004C50DC" w:rsidRPr="00E8358C" w:rsidRDefault="004C50DC" w:rsidP="004C50DC">
      <w:pPr>
        <w:spacing w:before="120" w:after="120"/>
        <w:jc w:val="both"/>
        <w:rPr>
          <w:rFonts w:eastAsia="Calibri"/>
        </w:rPr>
      </w:pPr>
      <w:r w:rsidRPr="00E8358C">
        <w:rPr>
          <w:rFonts w:eastAsia="Calibri"/>
        </w:rPr>
        <w:t>À remarquer, la disposition visait surtout les hommes. Nous so</w:t>
      </w:r>
      <w:r w:rsidRPr="00E8358C">
        <w:rPr>
          <w:rFonts w:eastAsia="Calibri"/>
        </w:rPr>
        <w:t>m</w:t>
      </w:r>
      <w:r w:rsidRPr="00E8358C">
        <w:rPr>
          <w:rFonts w:eastAsia="Calibri"/>
        </w:rPr>
        <w:t xml:space="preserve">mes en droit de nous interroger sur l’éducation des femmes, si l’on se fie à l’esprit de cet article, bien qu’il fasse créer </w:t>
      </w:r>
      <w:r w:rsidRPr="00E8358C">
        <w:t>un pensionnat de d</w:t>
      </w:r>
      <w:r w:rsidRPr="00E8358C">
        <w:t>e</w:t>
      </w:r>
      <w:r w:rsidRPr="00E8358C">
        <w:t>moiselles à Port-au-Prince. Ce fut aussi Alexandre Pétion qui, da</w:t>
      </w:r>
      <w:r w:rsidRPr="00E8358C">
        <w:rPr>
          <w:rFonts w:eastAsia="Calibri"/>
        </w:rPr>
        <w:t xml:space="preserve">ns le cadre de sa politique d’éducation, a fait construire à Port-au-Prince le premier lycée national (qui porte aujourd’hui son nom). </w:t>
      </w:r>
    </w:p>
    <w:p w:rsidR="004C50DC" w:rsidRPr="00E8358C" w:rsidRDefault="004C50DC" w:rsidP="004C50DC">
      <w:pPr>
        <w:spacing w:before="120" w:after="120"/>
        <w:jc w:val="both"/>
        <w:rPr>
          <w:rFonts w:eastAsia="Calibri"/>
        </w:rPr>
      </w:pPr>
      <w:r w:rsidRPr="00E8358C">
        <w:rPr>
          <w:rFonts w:eastAsia="Calibri"/>
        </w:rPr>
        <w:t>Le gouvernement du président Jean-Pierre Boyer n’a pas eu de bonnes notes dans le domaine de l’éducation nationale. Ses princip</w:t>
      </w:r>
      <w:r w:rsidRPr="00E8358C">
        <w:rPr>
          <w:rFonts w:eastAsia="Calibri"/>
        </w:rPr>
        <w:t>a</w:t>
      </w:r>
      <w:r w:rsidRPr="00E8358C">
        <w:rPr>
          <w:rFonts w:eastAsia="Calibri"/>
        </w:rPr>
        <w:t>les actions se résumaient à ses intentions de construire des établiss</w:t>
      </w:r>
      <w:r w:rsidRPr="00E8358C">
        <w:rPr>
          <w:rFonts w:eastAsia="Calibri"/>
        </w:rPr>
        <w:t>e</w:t>
      </w:r>
      <w:r w:rsidRPr="00E8358C">
        <w:rPr>
          <w:rFonts w:eastAsia="Calibri"/>
        </w:rPr>
        <w:t xml:space="preserve">ments scolaires visant à instruire les enfants dont les parents auraient rendu des services à la patrie. Ce qui porte à croire que l’instruction, sous ce gouvernement, était sélective, non publique, non accessible à tous.  </w:t>
      </w:r>
    </w:p>
    <w:p w:rsidR="004C50DC" w:rsidRPr="00E8358C" w:rsidRDefault="004C50DC" w:rsidP="004C50DC">
      <w:pPr>
        <w:spacing w:before="120" w:after="120"/>
        <w:jc w:val="both"/>
      </w:pPr>
      <w:r w:rsidRPr="00E8358C">
        <w:t>En 1845, Honoré Féry, alors ministre de l’Instruction publique, a ordonné l’enseignement des cours d’histoire ancienne et d’histoire romaine. Jusqu’à ce jour, les gouvernements successifs avaient montré peu d’intérêt pour l’introduction de l’histoire d’Haïti dans les pr</w:t>
      </w:r>
      <w:r w:rsidRPr="00E8358C">
        <w:t>o</w:t>
      </w:r>
      <w:r w:rsidRPr="00E8358C">
        <w:t xml:space="preserve">grammes scolaires. L’arrivée au pouvoir du président </w:t>
      </w:r>
      <w:r w:rsidRPr="00E8358C">
        <w:rPr>
          <w:rFonts w:eastAsia="Calibri"/>
        </w:rPr>
        <w:t>Fabre Geffrard en 1860 va favoriser la nomination d’Élie Dubois à la tête du minist</w:t>
      </w:r>
      <w:r w:rsidRPr="00E8358C">
        <w:rPr>
          <w:rFonts w:eastAsia="Calibri"/>
        </w:rPr>
        <w:t>è</w:t>
      </w:r>
      <w:r w:rsidRPr="00E8358C">
        <w:rPr>
          <w:rFonts w:eastAsia="Calibri"/>
        </w:rPr>
        <w:t>re de l’Instruction publique. Ce gouvernement a été reconnu pour être l’un des rares du XIX</w:t>
      </w:r>
      <w:r w:rsidRPr="00E8358C">
        <w:rPr>
          <w:rFonts w:eastAsia="Calibri"/>
          <w:vertAlign w:val="superscript"/>
        </w:rPr>
        <w:t>e</w:t>
      </w:r>
      <w:r w:rsidRPr="00E8358C">
        <w:rPr>
          <w:rFonts w:eastAsia="Calibri"/>
        </w:rPr>
        <w:t xml:space="preserve"> siècle haïtien à s’investir dans l’éducation n</w:t>
      </w:r>
      <w:r w:rsidRPr="00E8358C">
        <w:rPr>
          <w:rFonts w:eastAsia="Calibri"/>
        </w:rPr>
        <w:t>a</w:t>
      </w:r>
      <w:r w:rsidRPr="00E8358C">
        <w:rPr>
          <w:rFonts w:eastAsia="Calibri"/>
        </w:rPr>
        <w:t>tionale en incitant l’instruction massive des jeunes. Il a été retenu au</w:t>
      </w:r>
      <w:r w:rsidRPr="00E8358C">
        <w:rPr>
          <w:rFonts w:eastAsia="Calibri"/>
        </w:rPr>
        <w:t>s</w:t>
      </w:r>
      <w:r w:rsidRPr="00E8358C">
        <w:rPr>
          <w:rFonts w:eastAsia="Calibri"/>
        </w:rPr>
        <w:t>si, dans l’histoire de ce pays, pour être celui qui a favorisé l’établissement des écoles congréganistes en Haïti en signant le Concordat avec l’Église catholique (28 mars 1860). Mais il a fallu a</w:t>
      </w:r>
      <w:r w:rsidRPr="00E8358C">
        <w:rPr>
          <w:rFonts w:eastAsia="Calibri"/>
        </w:rPr>
        <w:t>t</w:t>
      </w:r>
      <w:r w:rsidRPr="00E8358C">
        <w:rPr>
          <w:rFonts w:eastAsia="Calibri"/>
        </w:rPr>
        <w:t>tendre la présidence de Michel Domingue en 1874 pour que l’enseignement primaire devienne obligatoire et gratuit selon le vœu de la Constitution de 1874, en son article 33 : « L’enseignement est libre. L’instruction primaire est gratuite et obligatoire. Les écoles pr</w:t>
      </w:r>
      <w:r w:rsidRPr="00E8358C">
        <w:rPr>
          <w:rFonts w:eastAsia="Calibri"/>
        </w:rPr>
        <w:t>i</w:t>
      </w:r>
      <w:r w:rsidRPr="00E8358C">
        <w:rPr>
          <w:rFonts w:eastAsia="Calibri"/>
        </w:rPr>
        <w:t xml:space="preserve">maires sont fondées graduellement, en raison de l’importance des </w:t>
      </w:r>
      <w:r>
        <w:rPr>
          <w:rFonts w:eastAsia="Calibri"/>
        </w:rPr>
        <w:t xml:space="preserve">[152] </w:t>
      </w:r>
      <w:r w:rsidRPr="00E8358C">
        <w:rPr>
          <w:rFonts w:eastAsia="Calibri"/>
        </w:rPr>
        <w:t>populations ». Ce fut la toute première Constitution à faire pr</w:t>
      </w:r>
      <w:r w:rsidRPr="00E8358C">
        <w:rPr>
          <w:rFonts w:eastAsia="Calibri"/>
        </w:rPr>
        <w:t>é</w:t>
      </w:r>
      <w:r w:rsidRPr="00E8358C">
        <w:rPr>
          <w:rFonts w:eastAsia="Calibri"/>
        </w:rPr>
        <w:t xml:space="preserve">cisément obligation aux citoyens d’envoyer leurs enfants à l’école pour bénéficier au moins de l’instruction primaire. </w:t>
      </w:r>
      <w:r w:rsidRPr="00E8358C">
        <w:t>Thomas Madiou fut alors ministre de l’Instruction publique. À remarquer que jusqu'à la fin du XIX</w:t>
      </w:r>
      <w:r w:rsidRPr="00E8358C">
        <w:rPr>
          <w:vertAlign w:val="superscript"/>
        </w:rPr>
        <w:t>e</w:t>
      </w:r>
      <w:r w:rsidRPr="00E8358C">
        <w:t xml:space="preserve"> siècle et jusque dans le courant des années 1970, l’éducation fut surtout confiée aux missionnaires religieux. L’État leur donnait toute latitude et n’exerçait pas de réel contrôle.</w:t>
      </w:r>
    </w:p>
    <w:p w:rsidR="004C50DC" w:rsidRDefault="004C50DC" w:rsidP="004C50DC">
      <w:pPr>
        <w:spacing w:before="120" w:after="120"/>
        <w:jc w:val="both"/>
        <w:rPr>
          <w:rFonts w:eastAsia="Calibri"/>
        </w:rPr>
      </w:pPr>
      <w:r w:rsidRPr="00E8358C">
        <w:t>Une instruction élitiste s’était créée au détriment de la masse paysanne et des couches défavorisées qui ne pouvaient, faute d’argent, envoyer leurs enfants dans une école congréganiste. L’élite intelle</w:t>
      </w:r>
      <w:r w:rsidRPr="00E8358C">
        <w:t>c</w:t>
      </w:r>
      <w:r w:rsidRPr="00E8358C">
        <w:t>tuelle était constituée par des enseignants, écrivains et autres profe</w:t>
      </w:r>
      <w:r w:rsidRPr="00E8358C">
        <w:t>s</w:t>
      </w:r>
      <w:r w:rsidRPr="00E8358C">
        <w:t xml:space="preserve">sionnels modelés par la culture française. Selon </w:t>
      </w:r>
      <w:r w:rsidRPr="00E8358C">
        <w:rPr>
          <w:rFonts w:eastAsia="Calibri"/>
        </w:rPr>
        <w:t>Léon D. Pamphile, « comme au temps de la colonie, les forces politiques et économiques du début du XIX</w:t>
      </w:r>
      <w:r w:rsidRPr="00E8358C">
        <w:rPr>
          <w:rFonts w:eastAsia="Calibri"/>
          <w:vertAlign w:val="superscript"/>
        </w:rPr>
        <w:t>e</w:t>
      </w:r>
      <w:r w:rsidRPr="00E8358C">
        <w:rPr>
          <w:rFonts w:eastAsia="Calibri"/>
        </w:rPr>
        <w:t xml:space="preserve"> siècle continuèrent d’empêcher la diffusion du pr</w:t>
      </w:r>
      <w:r w:rsidRPr="00E8358C">
        <w:rPr>
          <w:rFonts w:eastAsia="Calibri"/>
        </w:rPr>
        <w:t>o</w:t>
      </w:r>
      <w:r w:rsidRPr="00E8358C">
        <w:rPr>
          <w:rFonts w:eastAsia="Calibri"/>
        </w:rPr>
        <w:t>grès et l’éducation du peuple »</w:t>
      </w:r>
      <w:r>
        <w:rPr>
          <w:rFonts w:eastAsia="Calibri"/>
        </w:rPr>
        <w:t> </w:t>
      </w:r>
      <w:r>
        <w:rPr>
          <w:rStyle w:val="Appelnotedebasdep"/>
          <w:rFonts w:eastAsia="Calibri"/>
        </w:rPr>
        <w:footnoteReference w:id="474"/>
      </w:r>
      <w:r w:rsidRPr="00E8358C">
        <w:rPr>
          <w:rFonts w:eastAsia="Calibri"/>
        </w:rPr>
        <w:t xml:space="preserve">. </w:t>
      </w:r>
      <w:r w:rsidRPr="00E8358C">
        <w:t>En 1904, alors qu’Haïti s’apprête à commémorer le centenaire de l’Indépendance, « seulement 3% des enfants entre cinq ans et dix-huit ans fréquentent les écoles… »</w:t>
      </w:r>
      <w:r>
        <w:t> </w:t>
      </w:r>
      <w:r>
        <w:rPr>
          <w:rStyle w:val="Appelnotedebasdep"/>
        </w:rPr>
        <w:footnoteReference w:id="475"/>
      </w:r>
      <w:r w:rsidRPr="00E8358C">
        <w:t xml:space="preserve">. </w:t>
      </w:r>
      <w:r w:rsidRPr="00E8358C">
        <w:rPr>
          <w:rFonts w:eastAsia="Calibri"/>
        </w:rPr>
        <w:t>D’entrée de jeu, ces forces s’opposèrent aux fils et aux filles des a</w:t>
      </w:r>
      <w:r w:rsidRPr="00E8358C">
        <w:rPr>
          <w:rFonts w:eastAsia="Calibri"/>
        </w:rPr>
        <w:t>n</w:t>
      </w:r>
      <w:r w:rsidRPr="00E8358C">
        <w:rPr>
          <w:rFonts w:eastAsia="Calibri"/>
        </w:rPr>
        <w:t>ciens esclaves. Ce même constat peut être fait durant tout le XIX</w:t>
      </w:r>
      <w:r w:rsidRPr="00E8358C">
        <w:rPr>
          <w:rFonts w:eastAsia="Calibri"/>
          <w:vertAlign w:val="superscript"/>
        </w:rPr>
        <w:t>e</w:t>
      </w:r>
      <w:r w:rsidRPr="00E8358C">
        <w:rPr>
          <w:rFonts w:eastAsia="Calibri"/>
        </w:rPr>
        <w:t xml:space="preserve"> si</w:t>
      </w:r>
      <w:r w:rsidRPr="00E8358C">
        <w:rPr>
          <w:rFonts w:eastAsia="Calibri"/>
        </w:rPr>
        <w:t>è</w:t>
      </w:r>
      <w:r w:rsidRPr="00E8358C">
        <w:rPr>
          <w:rFonts w:eastAsia="Calibri"/>
        </w:rPr>
        <w:t>cle et jusqu’à la fin du XX</w:t>
      </w:r>
      <w:r w:rsidRPr="00E8358C">
        <w:rPr>
          <w:rFonts w:eastAsia="Calibri"/>
          <w:vertAlign w:val="superscript"/>
        </w:rPr>
        <w:t>e</w:t>
      </w:r>
      <w:r w:rsidRPr="00E8358C">
        <w:rPr>
          <w:rFonts w:eastAsia="Calibri"/>
        </w:rPr>
        <w:t xml:space="preserve"> siècle haïtien en matière d’éducation de la masse paysanne. Depuis les années 1980, quelques efforts ont été s</w:t>
      </w:r>
      <w:r w:rsidRPr="00E8358C">
        <w:rPr>
          <w:rFonts w:eastAsia="Calibri"/>
        </w:rPr>
        <w:t>i</w:t>
      </w:r>
      <w:r w:rsidRPr="00E8358C">
        <w:rPr>
          <w:rFonts w:eastAsia="Calibri"/>
        </w:rPr>
        <w:t>gnalés, surtout avec la réforme de l’éducation</w:t>
      </w:r>
      <w:r>
        <w:rPr>
          <w:rFonts w:eastAsia="Calibri"/>
        </w:rPr>
        <w:t> </w:t>
      </w:r>
      <w:r>
        <w:rPr>
          <w:rStyle w:val="Appelnotedebasdep"/>
          <w:rFonts w:eastAsia="Calibri"/>
        </w:rPr>
        <w:footnoteReference w:id="476"/>
      </w:r>
      <w:r w:rsidRPr="00E8358C">
        <w:rPr>
          <w:rFonts w:eastAsia="Calibri"/>
        </w:rPr>
        <w:t xml:space="preserve"> et les multiples plans des gouvernements successifs (éducation pour tous, scolarisation un</w:t>
      </w:r>
      <w:r w:rsidRPr="00E8358C">
        <w:rPr>
          <w:rFonts w:eastAsia="Calibri"/>
        </w:rPr>
        <w:t>i</w:t>
      </w:r>
      <w:r w:rsidRPr="00E8358C">
        <w:rPr>
          <w:rFonts w:eastAsia="Calibri"/>
        </w:rPr>
        <w:t>verselle) à la fin du XX</w:t>
      </w:r>
      <w:r w:rsidRPr="00E8358C">
        <w:rPr>
          <w:rFonts w:eastAsia="Calibri"/>
          <w:vertAlign w:val="superscript"/>
        </w:rPr>
        <w:t>e</w:t>
      </w:r>
      <w:r w:rsidRPr="00E8358C">
        <w:rPr>
          <w:rFonts w:eastAsia="Calibri"/>
        </w:rPr>
        <w:t xml:space="preserve"> siècle et au début du XXI</w:t>
      </w:r>
      <w:r w:rsidRPr="00E8358C">
        <w:rPr>
          <w:rFonts w:eastAsia="Calibri"/>
          <w:vertAlign w:val="superscript"/>
        </w:rPr>
        <w:t>e</w:t>
      </w:r>
      <w:r w:rsidRPr="00E8358C">
        <w:rPr>
          <w:rFonts w:eastAsia="Calibri"/>
        </w:rPr>
        <w:t xml:space="preserve"> pour redresser la barre. Mais les élites politiques et économiques d’Haïti n’ont toujours pas pris conscience de la nécessité de donner une importance partic</w:t>
      </w:r>
      <w:r w:rsidRPr="00E8358C">
        <w:rPr>
          <w:rFonts w:eastAsia="Calibri"/>
        </w:rPr>
        <w:t>u</w:t>
      </w:r>
      <w:r w:rsidRPr="00E8358C">
        <w:rPr>
          <w:rFonts w:eastAsia="Calibri"/>
        </w:rPr>
        <w:t xml:space="preserve">lière à « l’éducation nationale ». </w:t>
      </w:r>
    </w:p>
    <w:p w:rsidR="004C50DC" w:rsidRPr="00E8358C" w:rsidRDefault="004C50DC" w:rsidP="004C50DC">
      <w:pPr>
        <w:spacing w:before="120" w:after="120"/>
        <w:jc w:val="both"/>
        <w:rPr>
          <w:rFonts w:eastAsia="Calibri"/>
        </w:rPr>
      </w:pPr>
    </w:p>
    <w:p w:rsidR="004C50DC" w:rsidRPr="00AD3FFD" w:rsidRDefault="004C50DC" w:rsidP="004C50DC">
      <w:pPr>
        <w:pStyle w:val="b"/>
      </w:pPr>
      <w:bookmarkStart w:id="150" w:name="_Toc442280474"/>
      <w:r w:rsidRPr="00AD3FFD">
        <w:t>Prémisses de l’enseignement de l’histoire d’Haïti</w:t>
      </w:r>
      <w:bookmarkEnd w:id="150"/>
    </w:p>
    <w:p w:rsidR="004C50DC" w:rsidRDefault="004C50DC" w:rsidP="004C50DC">
      <w:pPr>
        <w:spacing w:before="120" w:after="120"/>
        <w:jc w:val="both"/>
      </w:pPr>
    </w:p>
    <w:p w:rsidR="004C50DC" w:rsidRPr="00E8358C" w:rsidRDefault="004C50DC" w:rsidP="004C50DC">
      <w:pPr>
        <w:spacing w:before="120" w:after="120"/>
        <w:jc w:val="both"/>
      </w:pPr>
      <w:r w:rsidRPr="00E8358C">
        <w:t>L’année 1819 est retenue dans l’histoire des politiques de l’éducation comme la date du</w:t>
      </w:r>
      <w:r>
        <w:t xml:space="preserve"> [153]</w:t>
      </w:r>
      <w:r w:rsidRPr="00E8358C">
        <w:t xml:space="preserve"> début de l’enseignement de l’histoire générale en Haïti. Cette décision nous permet de mieux sa</w:t>
      </w:r>
      <w:r w:rsidRPr="00E8358C">
        <w:t>i</w:t>
      </w:r>
      <w:r w:rsidRPr="00E8358C">
        <w:t>sir le sens de l’éducation ouverte sur le monde qu’a voulu réaliser le président Alexandre Pétion. En optant pour l’histoire générale au lieu de l’histoire nationale, et en intégrant ce programme particulièrement au Lycée de Port-au-Prince, il dévoile ses intentions et camoufle des enjeux de nature politique et idéologique. Enjeux qui considèrent à la fois les liens de Pétion avec la France et la problématique de la m</w:t>
      </w:r>
      <w:r w:rsidRPr="00E8358C">
        <w:t>é</w:t>
      </w:r>
      <w:r w:rsidRPr="00E8358C">
        <w:t>moire coloniale et esclavagiste au sein de la société haïtienne. Certes, il n’y avait pas d’« Histoires d’Haïti » avant Thomas Madiou et Bea</w:t>
      </w:r>
      <w:r w:rsidRPr="00E8358C">
        <w:t>u</w:t>
      </w:r>
      <w:r w:rsidRPr="00E8358C">
        <w:t>brun Ardouin. Il fallait aussi des manuels pour l’enseignement de l’histoire nationale.</w:t>
      </w:r>
    </w:p>
    <w:p w:rsidR="004C50DC" w:rsidRPr="00E8358C" w:rsidRDefault="004C50DC" w:rsidP="004C50DC">
      <w:pPr>
        <w:spacing w:before="120" w:after="120"/>
        <w:jc w:val="both"/>
      </w:pPr>
      <w:r w:rsidRPr="00E8358C">
        <w:t>Pour Catts Pressoir, qui retrace l’histoire de l’éducation en Haïti, « l’enseignement de l’histoire nationale ne fut introduit dans les écoles qu’à partir de 1848 »</w:t>
      </w:r>
      <w:r>
        <w:t> </w:t>
      </w:r>
      <w:r>
        <w:rPr>
          <w:rStyle w:val="Appelnotedebasdep"/>
        </w:rPr>
        <w:footnoteReference w:id="477"/>
      </w:r>
      <w:r w:rsidRPr="00E8358C">
        <w:t>, à l’initiative, semble-t-il, de Beaubrun A</w:t>
      </w:r>
      <w:r w:rsidRPr="00E8358C">
        <w:t>r</w:t>
      </w:r>
      <w:r w:rsidRPr="00E8358C">
        <w:t xml:space="preserve">douin qui, quatre ans plus tôt, était ministre de l’Instruction publique sous la présidence de Philippe Guerrier (1844-1845). La parution de l’ouvrage </w:t>
      </w:r>
      <w:r w:rsidRPr="00E8358C">
        <w:rPr>
          <w:i/>
        </w:rPr>
        <w:t>La Capitulation du Cap, 1803</w:t>
      </w:r>
      <w:r w:rsidRPr="00E8358C">
        <w:t>de Thomas Madiou, destiné aux écoliers des lycées, semble être à l’origine de cette décision off</w:t>
      </w:r>
      <w:r w:rsidRPr="00E8358C">
        <w:t>i</w:t>
      </w:r>
      <w:r w:rsidRPr="00E8358C">
        <w:t>ciellement adoptée le 18 février 1845. L’intention qui anime Thomas Madiou et Beaubrun Ardouin s’inscrit dans le choix de la transmission des valeurs mémorielles héroïques, toujours mises de l’avant chez les élites politiques et intellectuelles du pays au XIX</w:t>
      </w:r>
      <w:r w:rsidRPr="00E8358C">
        <w:rPr>
          <w:vertAlign w:val="superscript"/>
        </w:rPr>
        <w:t>e</w:t>
      </w:r>
      <w:r w:rsidRPr="00E8358C">
        <w:t xml:space="preserve"> siècle.  </w:t>
      </w:r>
    </w:p>
    <w:p w:rsidR="004C50DC" w:rsidRPr="00E8358C" w:rsidRDefault="004C50DC" w:rsidP="004C50DC">
      <w:pPr>
        <w:spacing w:before="120" w:after="120"/>
        <w:jc w:val="both"/>
      </w:pPr>
      <w:r w:rsidRPr="00E8358C">
        <w:t xml:space="preserve">La mise en perspective de l’enseignement de l’histoire nationale, comme l’a proposé Beaubrun Ardouin, ne fut effective que sous la présidence de Faustin Soulouque avec la </w:t>
      </w:r>
      <w:r w:rsidRPr="00E8358C">
        <w:rPr>
          <w:i/>
        </w:rPr>
        <w:t>Loi du 29 décembre 1848 sur l’Instruction publique</w:t>
      </w:r>
      <w:r w:rsidRPr="00E8358C">
        <w:t>. Cette loi attestait de la volonté de la société haïtienne de s’ouvrir aux autres sociétés, mais surtout à elle-même, à sa fondation et aux faits de son histoire qui tombaient dans l’oubli. Les articles 73 et 88</w:t>
      </w:r>
      <w:r>
        <w:t> </w:t>
      </w:r>
      <w:r>
        <w:rPr>
          <w:rStyle w:val="Appelnotedebasdep"/>
        </w:rPr>
        <w:footnoteReference w:id="478"/>
      </w:r>
      <w:r w:rsidRPr="00E8358C">
        <w:t xml:space="preserve"> officialisaient l’enseignement de l’histoire et de la géographie nationales dans les écoles primaires et secondaires de garçons et de filles des milieux urbains. Cependant, la mémoire de l’esclavage ainsi que le monde rural haïtien et ses habitants, encore une fois, étaient exclus</w:t>
      </w:r>
      <w:r>
        <w:t xml:space="preserve"> [154]</w:t>
      </w:r>
      <w:r w:rsidRPr="00E8358C">
        <w:t xml:space="preserve"> de la vision éducative de la Nation. Il fallait faire des choix, car il n’y avait pas assez de ressources huma</w:t>
      </w:r>
      <w:r w:rsidRPr="00E8358C">
        <w:t>i</w:t>
      </w:r>
      <w:r w:rsidRPr="00E8358C">
        <w:t xml:space="preserve">nes disponibles pour pouvoir assurer l’enseignement en milieu rural. Les contraintes d’ordre structurel handicapaient la matérialisation des intentions. </w:t>
      </w:r>
    </w:p>
    <w:p w:rsidR="004C50DC" w:rsidRPr="00E8358C" w:rsidRDefault="004C50DC" w:rsidP="004C50DC">
      <w:pPr>
        <w:spacing w:before="120" w:after="120"/>
        <w:jc w:val="both"/>
      </w:pPr>
      <w:r w:rsidRPr="00E8358C">
        <w:t>Une analyse de la loi du 29 décembre 1848 montre qu’elle s’accompagne de quelques notes discriminatoires, notamment dans l’article 76 qui précise que les places de pensionnaires dans les lycées sont réservées« aux fils, frères et neveux des citoyens qui ont rendu des services éminents à la patrie ou qui se sont distingués dans les a</w:t>
      </w:r>
      <w:r w:rsidRPr="00E8358C">
        <w:t>r</w:t>
      </w:r>
      <w:r w:rsidRPr="00E8358C">
        <w:t>mes, les lettres, les sciences, les arts et particulièrement l’agriculture »</w:t>
      </w:r>
      <w:r>
        <w:t> </w:t>
      </w:r>
      <w:r>
        <w:rPr>
          <w:rStyle w:val="Appelnotedebasdep"/>
        </w:rPr>
        <w:footnoteReference w:id="479"/>
      </w:r>
      <w:r w:rsidRPr="00E8358C">
        <w:t xml:space="preserve">. </w:t>
      </w:r>
      <w:r w:rsidRPr="00E8358C">
        <w:rPr>
          <w:rStyle w:val="apple-converted-space"/>
          <w:iCs/>
        </w:rPr>
        <w:t>C</w:t>
      </w:r>
      <w:r w:rsidRPr="00E8358C">
        <w:t>ette décision légale exclut les fils et les filles de la majorité des citoyens haïtiens, notamment des paysans. Peut-on co</w:t>
      </w:r>
      <w:r w:rsidRPr="00E8358C">
        <w:t>m</w:t>
      </w:r>
      <w:r w:rsidRPr="00E8358C">
        <w:t>prendre qu’ils ne méritaient pas eux aussi une instruction à l’égal des enfants privilégiés par cette loi ? En réalité, ce sont les fils des part</w:t>
      </w:r>
      <w:r w:rsidRPr="00E8358C">
        <w:t>i</w:t>
      </w:r>
      <w:r w:rsidRPr="00E8358C">
        <w:t xml:space="preserve">sans zélés du gouvernement de Soulouque qui ont été les véritables bénéficiaires des places dans les pensions publiques.  </w:t>
      </w:r>
    </w:p>
    <w:p w:rsidR="004C50DC" w:rsidRPr="00E8358C" w:rsidRDefault="004C50DC" w:rsidP="004C50DC">
      <w:pPr>
        <w:spacing w:before="120" w:after="120"/>
        <w:jc w:val="both"/>
      </w:pPr>
      <w:r w:rsidRPr="00E8358C">
        <w:t>En outre, le problème du manuel d’histoire pesait lourd dans la concrétisation de la position gouvernementale, car les rares ouvrages d’histoire du XIX</w:t>
      </w:r>
      <w:r w:rsidRPr="00E8358C">
        <w:rPr>
          <w:vertAlign w:val="superscript"/>
        </w:rPr>
        <w:t>e</w:t>
      </w:r>
      <w:r w:rsidRPr="00E8358C">
        <w:t xml:space="preserve"> siècle qui traitaient de la colonie française de Saint-Domingue et de la révolution haïtienne avaient été écrits par des historiens, des voyageurs et des naturalistes, français pour la plupart (Moreau de Saint-Méry, Michel ÉtienneDescourtilz), bien qu’il soit utile de reconnaître aussi au niveau national le travail d’historiens tels que Thomas Madiou, Beaubrun Ardouin et Saint-Rémy des Cayes, entre autres. Conscient du problème, le président Alexandre Pétion avait encouragé les intellectuels haïtiens à préparer des manuels po</w:t>
      </w:r>
      <w:r w:rsidRPr="00E8358C">
        <w:t>u</w:t>
      </w:r>
      <w:r w:rsidRPr="00E8358C">
        <w:t xml:space="preserve">vant servir à instruire les enfants dans les écoles, sur l’histoire du pays en général et sur leurs origines africaines et amérindiennes. Thomas Madiou avait de lui-même constaté ce vide dans l’enseignement de l’histoire d’Haïti, ce qu’il évoque dans les notes de présentation des trois tomes de </w:t>
      </w:r>
      <w:r w:rsidRPr="00E8358C">
        <w:rPr>
          <w:i/>
        </w:rPr>
        <w:t xml:space="preserve">l’Histoire d’Haïti </w:t>
      </w:r>
      <w:r w:rsidRPr="00E8358C">
        <w:t>qu’il a publiés en 1848 : « à mon r</w:t>
      </w:r>
      <w:r w:rsidRPr="00E8358C">
        <w:t>e</w:t>
      </w:r>
      <w:r w:rsidRPr="00E8358C">
        <w:t>tour en Haïti en 1835, ce que je demandai d’abord à mon père ce fut un livre d’histoire d’Haïti pour la lire. Il me répondit qu’il n’y en avait pas. Je lui dis que j’en ferai une ». Dans ces tomes, Thomas Madiou transporte les lecteurs de la découverte de l’île d’Ayiti (1492) jusqu’à l’histoire haïtienne de la première moitié du XIX</w:t>
      </w:r>
      <w:r w:rsidRPr="00E8358C">
        <w:rPr>
          <w:vertAlign w:val="superscript"/>
        </w:rPr>
        <w:t xml:space="preserve">e </w:t>
      </w:r>
      <w:r w:rsidRPr="00E8358C">
        <w:t>siècle, en passant par les origines de la colonie française et</w:t>
      </w:r>
      <w:r>
        <w:t xml:space="preserve"> [155] </w:t>
      </w:r>
      <w:r w:rsidRPr="00E8358C">
        <w:t>les différents évén</w:t>
      </w:r>
      <w:r w:rsidRPr="00E8358C">
        <w:t>e</w:t>
      </w:r>
      <w:r w:rsidRPr="00E8358C">
        <w:t xml:space="preserve">ments de 1803. </w:t>
      </w:r>
    </w:p>
    <w:p w:rsidR="004C50DC" w:rsidRDefault="004C50DC" w:rsidP="004C50DC">
      <w:pPr>
        <w:spacing w:before="120" w:after="120"/>
        <w:jc w:val="both"/>
      </w:pPr>
      <w:r w:rsidRPr="00E8358C">
        <w:t>De 1814 à 1925, une vingtaine d’ouvrages ont été publiés par des auteurs haïtiens ou des historiens de Saint-Domingue traitant de l’histoire et de la géographie d’Haïti</w:t>
      </w:r>
      <w:r>
        <w:t> </w:t>
      </w:r>
      <w:r>
        <w:rPr>
          <w:rStyle w:val="Appelnotedebasdep"/>
        </w:rPr>
        <w:footnoteReference w:id="480"/>
      </w:r>
      <w:r w:rsidRPr="00E8358C">
        <w:t>. Certains d’entre eux ne po</w:t>
      </w:r>
      <w:r w:rsidRPr="00E8358C">
        <w:t>u</w:t>
      </w:r>
      <w:r w:rsidRPr="00E8358C">
        <w:t>vaient être utilisés pour l’enseignement, car ils ne répondaient pas aux normes pédagogiques</w:t>
      </w:r>
      <w:r>
        <w:t> </w:t>
      </w:r>
      <w:r>
        <w:rPr>
          <w:rStyle w:val="Appelnotedebasdep"/>
        </w:rPr>
        <w:footnoteReference w:id="481"/>
      </w:r>
      <w:r w:rsidRPr="00E8358C">
        <w:t>. Il a fallu attendre la dernière décennie du XIX</w:t>
      </w:r>
      <w:r w:rsidRPr="00E8358C">
        <w:rPr>
          <w:vertAlign w:val="superscript"/>
        </w:rPr>
        <w:t>e</w:t>
      </w:r>
      <w:r w:rsidRPr="00E8358C">
        <w:t xml:space="preserve"> siècle et le début du XX</w:t>
      </w:r>
      <w:r w:rsidRPr="00E8358C">
        <w:rPr>
          <w:vertAlign w:val="superscript"/>
        </w:rPr>
        <w:t>e</w:t>
      </w:r>
      <w:r w:rsidRPr="00E8358C">
        <w:t xml:space="preserve"> siècle pour que soient publiés les m</w:t>
      </w:r>
      <w:r w:rsidRPr="00E8358C">
        <w:t>a</w:t>
      </w:r>
      <w:r w:rsidRPr="00E8358C">
        <w:t xml:space="preserve">nuels </w:t>
      </w:r>
      <w:r w:rsidRPr="00E8358C">
        <w:rPr>
          <w:i/>
        </w:rPr>
        <w:t xml:space="preserve">Histoire d’Haïti à l’usage des adultes, </w:t>
      </w:r>
      <w:r w:rsidRPr="00E8358C">
        <w:t>écrit par Auguste M</w:t>
      </w:r>
      <w:r w:rsidRPr="00E8358C">
        <w:t>a</w:t>
      </w:r>
      <w:r w:rsidRPr="00E8358C">
        <w:t xml:space="preserve">gloire, et le </w:t>
      </w:r>
      <w:r w:rsidRPr="00E8358C">
        <w:rPr>
          <w:i/>
        </w:rPr>
        <w:t>Manuel d’Histoire d’Haïti</w:t>
      </w:r>
      <w:r w:rsidRPr="00E8358C">
        <w:t xml:space="preserve"> de Windsor Bellegarde et Ju</w:t>
      </w:r>
      <w:r w:rsidRPr="00E8358C">
        <w:t>s</w:t>
      </w:r>
      <w:r w:rsidRPr="00E8358C">
        <w:t>tin Lhéri</w:t>
      </w:r>
      <w:r w:rsidRPr="00E8358C">
        <w:t>s</w:t>
      </w:r>
      <w:r w:rsidRPr="00E8358C">
        <w:t xml:space="preserve">son, reconnu par le département de l’Instruction publique. Puis les ouvrages </w:t>
      </w:r>
      <w:r w:rsidRPr="00E8358C">
        <w:rPr>
          <w:i/>
        </w:rPr>
        <w:t>L’année enfantine d’Histoire et de Géographie d’Haïti</w:t>
      </w:r>
      <w:r w:rsidRPr="00E8358C">
        <w:t>, r</w:t>
      </w:r>
      <w:r w:rsidRPr="00E8358C">
        <w:t>é</w:t>
      </w:r>
      <w:r w:rsidRPr="00E8358C">
        <w:t xml:space="preserve">digé par Sténio Vincent et Dantès Bellegarde (1913) et le </w:t>
      </w:r>
      <w:r w:rsidRPr="00E8358C">
        <w:rPr>
          <w:i/>
        </w:rPr>
        <w:t>Cours d’Histoire d’Haïti</w:t>
      </w:r>
      <w:r w:rsidRPr="00E8358C">
        <w:t xml:space="preserve">  (R.P. Adolphe Cabon, 1919) pouvaient au</w:t>
      </w:r>
      <w:r w:rsidRPr="00E8358C">
        <w:t>s</w:t>
      </w:r>
      <w:r w:rsidRPr="00E8358C">
        <w:t xml:space="preserve">si compter parmi les efforts remarquables visant à doter l’Instruction publique haïtienne d’un manuel d’histoire. En fait, le précis qui a longtemps marqué l’enseignement de l’Histoire en Haïti est le </w:t>
      </w:r>
      <w:r w:rsidRPr="00E8358C">
        <w:rPr>
          <w:i/>
        </w:rPr>
        <w:t>Manuel d’Histoire d’Haïti</w:t>
      </w:r>
      <w:r w:rsidRPr="00E8358C">
        <w:t xml:space="preserve"> publié en 1925 par Justin-Chrysostome Dorsainvil  en collaboration avec les Frères de l’instruction chrétienne (FIC). Bien avant le manuel de Justin-Chrysostome Dorsainvil, au cours de la de</w:t>
      </w:r>
      <w:r w:rsidRPr="00E8358C">
        <w:t>r</w:t>
      </w:r>
      <w:r w:rsidRPr="00E8358C">
        <w:t>nière décennie du XIX</w:t>
      </w:r>
      <w:r w:rsidRPr="00E8358C">
        <w:rPr>
          <w:vertAlign w:val="superscript"/>
        </w:rPr>
        <w:t xml:space="preserve">e </w:t>
      </w:r>
      <w:r w:rsidRPr="00E8358C">
        <w:t>siècle, d’autres manuels avaient été rédigés pour faciliter l’appropriation de l’histoire d’Haïti par les fils et filles du pays</w:t>
      </w:r>
      <w:r>
        <w:t> </w:t>
      </w:r>
      <w:r>
        <w:rPr>
          <w:rStyle w:val="Appelnotedebasdep"/>
        </w:rPr>
        <w:footnoteReference w:id="482"/>
      </w:r>
      <w:r w:rsidRPr="00E8358C">
        <w:t>. Mais l’esclavage et ses mémoires n’étaient pas pris en compte de manière officiel</w:t>
      </w:r>
      <w:r>
        <w:t xml:space="preserve">le comme sujet d’enseignement. </w:t>
      </w:r>
    </w:p>
    <w:p w:rsidR="004C50D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pStyle w:val="planche"/>
      </w:pPr>
      <w:bookmarkStart w:id="151" w:name="_Toc406489675"/>
      <w:bookmarkStart w:id="152" w:name="_Toc423347296"/>
      <w:bookmarkStart w:id="153" w:name="_Toc442280475"/>
      <w:bookmarkStart w:id="154" w:name="Memoire_chap_III_4"/>
      <w:r w:rsidRPr="00E8358C">
        <w:t>3.4. Influence et apport des écoles historiques</w:t>
      </w:r>
      <w:r>
        <w:br/>
      </w:r>
      <w:r w:rsidRPr="00E8358C">
        <w:t>dans l’enseignement de l’histoire</w:t>
      </w:r>
      <w:bookmarkEnd w:id="151"/>
      <w:bookmarkEnd w:id="152"/>
      <w:bookmarkEnd w:id="153"/>
    </w:p>
    <w:bookmarkEnd w:id="154"/>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Les idéologies politiques ont orienté les recherches historiques d</w:t>
      </w:r>
      <w:r w:rsidRPr="00E8358C">
        <w:t>u</w:t>
      </w:r>
      <w:r w:rsidRPr="00E8358C">
        <w:t>rant tout le XIX</w:t>
      </w:r>
      <w:r w:rsidRPr="00E8358C">
        <w:rPr>
          <w:vertAlign w:val="superscript"/>
        </w:rPr>
        <w:t>e</w:t>
      </w:r>
      <w:r w:rsidRPr="00E8358C">
        <w:t xml:space="preserve"> siècle et</w:t>
      </w:r>
      <w:r>
        <w:t xml:space="preserve"> [156]</w:t>
      </w:r>
      <w:r w:rsidRPr="00E8358C">
        <w:t xml:space="preserve"> jusqu’à la deuxième moitié du XX</w:t>
      </w:r>
      <w:r w:rsidRPr="00E8358C">
        <w:rPr>
          <w:vertAlign w:val="superscript"/>
        </w:rPr>
        <w:t>e</w:t>
      </w:r>
      <w:r w:rsidRPr="00E8358C">
        <w:t xml:space="preserve"> siècle haïtien. En ce sens, Michel Rolph Trouillot soutient que « l’histoire est le fruit du pouvoir, mais le pouvoir lui-même n’est j</w:t>
      </w:r>
      <w:r w:rsidRPr="00E8358C">
        <w:t>a</w:t>
      </w:r>
      <w:r w:rsidRPr="00E8358C">
        <w:t>mais si transparent que son analyse en devienne superflue »</w:t>
      </w:r>
      <w:r>
        <w:t> </w:t>
      </w:r>
      <w:r>
        <w:rPr>
          <w:rStyle w:val="Appelnotedebasdep"/>
        </w:rPr>
        <w:footnoteReference w:id="483"/>
      </w:r>
      <w:r w:rsidRPr="00E8358C">
        <w:t>, ajo</w:t>
      </w:r>
      <w:r w:rsidRPr="00E8358C">
        <w:t>u</w:t>
      </w:r>
      <w:r w:rsidRPr="00E8358C">
        <w:t>tant par ailleurs que « les silences font partie intégrante de la création des sources, à l’instant premier de la production historique »</w:t>
      </w:r>
      <w:r>
        <w:t> </w:t>
      </w:r>
      <w:r>
        <w:rPr>
          <w:rStyle w:val="Appelnotedebasdep"/>
        </w:rPr>
        <w:footnoteReference w:id="484"/>
      </w:r>
      <w:r w:rsidRPr="00E8358C">
        <w:t>. Le conte</w:t>
      </w:r>
      <w:r w:rsidRPr="00E8358C">
        <w:t>x</w:t>
      </w:r>
      <w:r w:rsidRPr="00E8358C">
        <w:t>te social et les événements ont été déterminants dans la prése</w:t>
      </w:r>
      <w:r w:rsidRPr="00E8358C">
        <w:t>r</w:t>
      </w:r>
      <w:r w:rsidRPr="00E8358C">
        <w:t>vation, la conservation des pratiques, le sens des transformations hi</w:t>
      </w:r>
      <w:r w:rsidRPr="00E8358C">
        <w:t>s</w:t>
      </w:r>
      <w:r w:rsidRPr="00E8358C">
        <w:t>toriques transmises. Les quelques recherches sur l’histoire d’Haïti en général et sur l’esclavage en particulier datant du XIX</w:t>
      </w:r>
      <w:r w:rsidRPr="00E8358C">
        <w:rPr>
          <w:vertAlign w:val="superscript"/>
        </w:rPr>
        <w:t>e</w:t>
      </w:r>
      <w:r w:rsidRPr="00E8358C">
        <w:t xml:space="preserve"> siècle peuvent servir de répertoire de la mémoire haïtienne, car le problème des rapports co</w:t>
      </w:r>
      <w:r w:rsidRPr="00E8358C">
        <w:t>m</w:t>
      </w:r>
      <w:r w:rsidRPr="00E8358C">
        <w:t>plexes entre l’État haïtien, l’histoire et la mémoire se pose et « se d</w:t>
      </w:r>
      <w:r w:rsidRPr="00E8358C">
        <w:t>é</w:t>
      </w:r>
      <w:r w:rsidRPr="00E8358C">
        <w:t>veloppe en connexion étroite avec le mouvement de la société et de la connaissance »</w:t>
      </w:r>
      <w:r>
        <w:t> </w:t>
      </w:r>
      <w:r>
        <w:rPr>
          <w:rStyle w:val="Appelnotedebasdep"/>
        </w:rPr>
        <w:footnoteReference w:id="485"/>
      </w:r>
      <w:r w:rsidRPr="00E8358C">
        <w:t>.</w:t>
      </w:r>
    </w:p>
    <w:p w:rsidR="004C50DC" w:rsidRPr="00E8358C" w:rsidRDefault="004C50DC" w:rsidP="004C50DC">
      <w:pPr>
        <w:spacing w:before="120" w:after="120"/>
        <w:jc w:val="both"/>
      </w:pPr>
    </w:p>
    <w:p w:rsidR="004C50DC" w:rsidRPr="00E8358C" w:rsidRDefault="004C50DC" w:rsidP="004C50DC">
      <w:pPr>
        <w:pStyle w:val="a"/>
      </w:pPr>
      <w:bookmarkStart w:id="155" w:name="_Toc406489676"/>
      <w:bookmarkStart w:id="156" w:name="_Toc423347297"/>
      <w:bookmarkStart w:id="157" w:name="_Toc442280476"/>
      <w:r w:rsidRPr="00E8358C">
        <w:t xml:space="preserve">3.4.1. Le nationalisme héroïque plutôt </w:t>
      </w:r>
      <w:r>
        <w:br/>
      </w:r>
      <w:r w:rsidRPr="00E8358C">
        <w:t xml:space="preserve">que l’esclavage comme choix mémoriel officiel </w:t>
      </w:r>
      <w:bookmarkEnd w:id="155"/>
      <w:bookmarkEnd w:id="156"/>
      <w:bookmarkEnd w:id="157"/>
    </w:p>
    <w:p w:rsidR="004C50DC" w:rsidRDefault="004C50DC" w:rsidP="004C50DC">
      <w:pPr>
        <w:spacing w:before="120" w:after="120"/>
        <w:jc w:val="both"/>
      </w:pPr>
    </w:p>
    <w:p w:rsidR="004C50DC" w:rsidRPr="00E8358C" w:rsidRDefault="004C50DC" w:rsidP="004C50DC">
      <w:pPr>
        <w:spacing w:before="120" w:after="120"/>
        <w:jc w:val="both"/>
      </w:pPr>
      <w:r w:rsidRPr="00E8358C">
        <w:t>La formation des écoles historiques haïtiennes se situe dans un contexte mondial de révolutions (Révolution américaine de 1776, R</w:t>
      </w:r>
      <w:r w:rsidRPr="00E8358C">
        <w:t>é</w:t>
      </w:r>
      <w:r w:rsidRPr="00E8358C">
        <w:t>volution française de 1789, Révolution haïtienne de 1804), de tran</w:t>
      </w:r>
      <w:r w:rsidRPr="00E8358C">
        <w:t>s</w:t>
      </w:r>
      <w:r w:rsidRPr="00E8358C">
        <w:t>formations sociales et économiques provoquées par la révolution i</w:t>
      </w:r>
      <w:r w:rsidRPr="00E8358C">
        <w:t>n</w:t>
      </w:r>
      <w:r w:rsidRPr="00E8358C">
        <w:t>dustrielle dans le courant du XIX</w:t>
      </w:r>
      <w:r w:rsidRPr="00E8358C">
        <w:rPr>
          <w:vertAlign w:val="superscript"/>
        </w:rPr>
        <w:t>e</w:t>
      </w:r>
      <w:r w:rsidRPr="00E8358C">
        <w:t xml:space="preserve"> siècle (émergence et expansion du capitalisme) et du développement du néocolonialisme. Après tout, Haïti était dans l’orbite de la Révolution américaine. </w:t>
      </w:r>
      <w:r w:rsidRPr="00E8358C">
        <w:rPr>
          <w:lang w:eastAsia="ja-JP"/>
        </w:rPr>
        <w:t>La Révolution haïtienne était aussi susceptible d’embraser tout le monde esclavagiste d’Amérique, d’Afrique et d’Europe, m</w:t>
      </w:r>
      <w:r w:rsidRPr="00E8358C">
        <w:t>ême si Jean-Jacques Dessal</w:t>
      </w:r>
      <w:r w:rsidRPr="00E8358C">
        <w:t>i</w:t>
      </w:r>
      <w:r w:rsidRPr="00E8358C">
        <w:t>nes, le Général en chef, avait garanti une paix certaine aux pays vo</w:t>
      </w:r>
      <w:r w:rsidRPr="00E8358C">
        <w:t>i</w:t>
      </w:r>
      <w:r w:rsidRPr="00E8358C">
        <w:t>sins d’Haïti et que le pays ne s’érigerait pas en législateur des Anti</w:t>
      </w:r>
      <w:r w:rsidRPr="00E8358C">
        <w:t>l</w:t>
      </w:r>
      <w:r w:rsidRPr="00E8358C">
        <w:t>les.</w:t>
      </w:r>
    </w:p>
    <w:p w:rsidR="004C50DC" w:rsidRDefault="004C50DC" w:rsidP="004C50DC">
      <w:pPr>
        <w:pStyle w:val="Citation0"/>
      </w:pPr>
      <w:r w:rsidRPr="00E8358C">
        <w:t>Gardons-nous cependant que l’esprit de prosélytisme ne détruit notre o</w:t>
      </w:r>
      <w:r w:rsidRPr="00E8358C">
        <w:t>u</w:t>
      </w:r>
      <w:r w:rsidRPr="00E8358C">
        <w:t>vrage ; laissons en paix respirer nos voisins, qu’ils vivent pais</w:t>
      </w:r>
      <w:r w:rsidRPr="00E8358C">
        <w:t>i</w:t>
      </w:r>
      <w:r w:rsidRPr="00E8358C">
        <w:t>blement sous l’empire des lois qu’ils se sont faites, et n’allons pas, boutefeux rév</w:t>
      </w:r>
      <w:r w:rsidRPr="00E8358C">
        <w:t>o</w:t>
      </w:r>
      <w:r w:rsidRPr="00E8358C">
        <w:t>lutionnaires, nous érigeant en législateurs des Antilles, faire consister n</w:t>
      </w:r>
      <w:r w:rsidRPr="00E8358C">
        <w:t>o</w:t>
      </w:r>
      <w:r w:rsidRPr="00E8358C">
        <w:t>tre gloire à troubler le repos des îles qui nous avois</w:t>
      </w:r>
      <w:r w:rsidRPr="00E8358C">
        <w:t>i</w:t>
      </w:r>
      <w:r w:rsidRPr="00E8358C">
        <w:t>nent : elles n’ont point, comme celle que nous habitons, été arrosées du sang innocent de leurs h</w:t>
      </w:r>
      <w:r w:rsidRPr="00E8358C">
        <w:t>a</w:t>
      </w:r>
      <w:r w:rsidRPr="00E8358C">
        <w:t>bitants ; elles n’ont point de vengeance à exercer contre l’autorité qui les protège. Heureuses de n’avoir jamais connu les fléaux qui nous ont d</w:t>
      </w:r>
      <w:r w:rsidRPr="00E8358C">
        <w:t>é</w:t>
      </w:r>
      <w:r w:rsidRPr="00E8358C">
        <w:t>truits, elles ne peuvent que faire des vœux pour notre prospérité. Paix à nos voisins ! Mais anathème au nom</w:t>
      </w:r>
      <w:r>
        <w:t xml:space="preserve"> [157]</w:t>
      </w:r>
      <w:r w:rsidRPr="00E8358C">
        <w:t xml:space="preserve"> français ! Haine éternelle à la France ! Voilà notre cri</w:t>
      </w:r>
      <w:r>
        <w:t> </w:t>
      </w:r>
      <w:r>
        <w:rPr>
          <w:rStyle w:val="Appelnotedebasdep"/>
        </w:rPr>
        <w:footnoteReference w:id="486"/>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rPr>
          <w:lang w:eastAsia="ja-JP"/>
        </w:rPr>
        <w:t>Les puissances coloniales (France, Portugal, Espagne) avaient peur d’un deuxième Saint-Domingue. Par conséquent, l</w:t>
      </w:r>
      <w:r w:rsidRPr="00E8358C">
        <w:t>es nombreuses lu</w:t>
      </w:r>
      <w:r w:rsidRPr="00E8358C">
        <w:t>t</w:t>
      </w:r>
      <w:r w:rsidRPr="00E8358C">
        <w:t>tes des esclaves noirs menées à partir de 1789 jusqu’en 1803 à Saint-Domingue, et la fondation officielle de l’État haïtien, avec la procl</w:t>
      </w:r>
      <w:r w:rsidRPr="00E8358C">
        <w:t>a</w:t>
      </w:r>
      <w:r w:rsidRPr="00E8358C">
        <w:t>mation de l’Indépendance le 1</w:t>
      </w:r>
      <w:r w:rsidRPr="00E8358C">
        <w:rPr>
          <w:vertAlign w:val="superscript"/>
        </w:rPr>
        <w:t>er</w:t>
      </w:r>
      <w:r w:rsidRPr="00E8358C">
        <w:t xml:space="preserve"> janvier 1804, jusqu’à l’occupation américaine (1915-1934) peuvent être comprises dans ce découpage contextuel de l’histoire de l’humanité.  </w:t>
      </w:r>
    </w:p>
    <w:p w:rsidR="004C50DC" w:rsidRPr="00E8358C" w:rsidRDefault="004C50DC" w:rsidP="004C50DC">
      <w:pPr>
        <w:spacing w:before="120" w:after="120"/>
        <w:jc w:val="both"/>
        <w:rPr>
          <w:lang w:eastAsia="ja-JP"/>
        </w:rPr>
      </w:pPr>
      <w:r w:rsidRPr="00E8358C">
        <w:rPr>
          <w:lang w:eastAsia="ja-JP"/>
        </w:rPr>
        <w:t>Dans les documents historiques et surtout dans l’examen des conséquences de la Révolution haïtienne, on a remarqué une tendance à occulter son aspect humaniste pour mettre de l’avant seulement les actions libératrices, politiques et héroïques. Alors, que faire du passé s’il n’est pas interprété dans sa globalité ? Comment le communiquer pour éviter de le biaiser ? Quelle méthode devrait-on utiliser pour permettre à l’histoire d’être complète dans son écriture et son ense</w:t>
      </w:r>
      <w:r w:rsidRPr="00E8358C">
        <w:rPr>
          <w:lang w:eastAsia="ja-JP"/>
        </w:rPr>
        <w:t>i</w:t>
      </w:r>
      <w:r w:rsidRPr="00E8358C">
        <w:rPr>
          <w:lang w:eastAsia="ja-JP"/>
        </w:rPr>
        <w:t>gnement ? Car l’écriture de l’histoire résulte d’une sélection de doc</w:t>
      </w:r>
      <w:r w:rsidRPr="00E8358C">
        <w:rPr>
          <w:lang w:eastAsia="ja-JP"/>
        </w:rPr>
        <w:t>u</w:t>
      </w:r>
      <w:r w:rsidRPr="00E8358C">
        <w:rPr>
          <w:lang w:eastAsia="ja-JP"/>
        </w:rPr>
        <w:t>ments et de témoignages. Donc, l’histoire est aussi sélective que la mémoire. Peut-on croire que certaines parties de l</w:t>
      </w:r>
      <w:r w:rsidRPr="00E8358C">
        <w:t xml:space="preserve">’histoire et de la </w:t>
      </w:r>
      <w:r w:rsidRPr="00E8358C">
        <w:rPr>
          <w:lang w:eastAsia="ja-JP"/>
        </w:rPr>
        <w:t>mémoire</w:t>
      </w:r>
      <w:r w:rsidRPr="00E8358C">
        <w:t xml:space="preserve"> de la Révolution haïtienne </w:t>
      </w:r>
      <w:r w:rsidRPr="00E8358C">
        <w:rPr>
          <w:lang w:eastAsia="ja-JP"/>
        </w:rPr>
        <w:t>risqueraient d’entraîner une vér</w:t>
      </w:r>
      <w:r w:rsidRPr="00E8358C">
        <w:rPr>
          <w:lang w:eastAsia="ja-JP"/>
        </w:rPr>
        <w:t>i</w:t>
      </w:r>
      <w:r w:rsidRPr="00E8358C">
        <w:rPr>
          <w:lang w:eastAsia="ja-JP"/>
        </w:rPr>
        <w:t>table révolution sociale en Haïti, si elles étaient mises en lumière ? Sommes-nous « </w:t>
      </w:r>
      <w:r w:rsidRPr="00E8358C">
        <w:t>dans une terre ayant connu une antique oppression, dont le point de départ est marqué par une rupture qui semble irrép</w:t>
      </w:r>
      <w:r w:rsidRPr="00E8358C">
        <w:t>a</w:t>
      </w:r>
      <w:r w:rsidRPr="00E8358C">
        <w:t>rable, une douleur qui paraît sans remède ? »</w:t>
      </w:r>
      <w:r>
        <w:t> </w:t>
      </w:r>
      <w:r>
        <w:rPr>
          <w:rStyle w:val="Appelnotedebasdep"/>
        </w:rPr>
        <w:footnoteReference w:id="487"/>
      </w:r>
    </w:p>
    <w:p w:rsidR="004C50DC" w:rsidRDefault="004C50DC" w:rsidP="004C50DC">
      <w:pPr>
        <w:spacing w:before="120" w:after="120"/>
        <w:jc w:val="both"/>
      </w:pPr>
      <w:r w:rsidRPr="00E8358C">
        <w:t>Les problèmes de gouvernance et l’incapacité des élites dirigeantes à surmonter les crises sociales et les luttes de classe depuis l’indépendance haïtienne sont évidents. Les historiens haïtiens du XIX</w:t>
      </w:r>
      <w:r w:rsidRPr="00E8358C">
        <w:rPr>
          <w:vertAlign w:val="superscript"/>
        </w:rPr>
        <w:t>e</w:t>
      </w:r>
      <w:r w:rsidRPr="00E8358C">
        <w:t xml:space="preserve"> siècle étaient bien ancrés dans l’air du temps. C’est toute la conscience collective haïtienne qui était préoccupée par les enjeux, les problèmes de l’environnement géopolitique, des structures sociales, des structures agraires, des conflits politiques. Au cours de la première moitié du XIX</w:t>
      </w:r>
      <w:r w:rsidRPr="00E8358C">
        <w:rPr>
          <w:vertAlign w:val="superscript"/>
        </w:rPr>
        <w:t>e</w:t>
      </w:r>
      <w:r w:rsidRPr="00E8358C">
        <w:t xml:space="preserve"> siècle, l’historien ne pouvait se contenter de reconst</w:t>
      </w:r>
      <w:r w:rsidRPr="00E8358C">
        <w:t>i</w:t>
      </w:r>
      <w:r w:rsidRPr="00E8358C">
        <w:t xml:space="preserve">tuer les faits historiques ; il participait également à </w:t>
      </w:r>
      <w:r>
        <w:t>la construction d’une identité.</w:t>
      </w:r>
    </w:p>
    <w:p w:rsidR="004C50DC" w:rsidRPr="00E8358C" w:rsidRDefault="004C50DC" w:rsidP="004C50DC">
      <w:pPr>
        <w:spacing w:before="120" w:after="120"/>
        <w:jc w:val="both"/>
      </w:pPr>
      <w:r>
        <w:t>[158]</w:t>
      </w:r>
    </w:p>
    <w:p w:rsidR="004C50DC" w:rsidRPr="00E8358C" w:rsidRDefault="004C50DC" w:rsidP="004C50DC">
      <w:pPr>
        <w:spacing w:before="120" w:after="120"/>
        <w:jc w:val="both"/>
        <w:rPr>
          <w:lang w:eastAsia="ja-JP"/>
        </w:rPr>
      </w:pPr>
      <w:r w:rsidRPr="00E8358C">
        <w:t>Dans ce rôle de constructeur de l’identité d’un peuple, l’historien n’est pas souvent objectif. Il met souvent en valeur les faits histor</w:t>
      </w:r>
      <w:r w:rsidRPr="00E8358C">
        <w:t>i</w:t>
      </w:r>
      <w:r w:rsidRPr="00E8358C">
        <w:t>ques les plus glorieux et crée des mythes pour appuyer son discours. C’était aussi le cas en France avec Jules Michelet qui, pour expliquer l’histoire de la Révolution française, conçut une sorte de mythologie de la Nation française. Il est donc important de comprendre que les historiens haïtiens essayent de faire leur travail le plus honnêtement possible, mais qu’ils n’échappent pas à cette pratique de construction d’une mémoire qui les amène à sélectionner et à privilégier</w:t>
      </w:r>
      <w:r w:rsidRPr="00E8358C">
        <w:rPr>
          <w:lang w:eastAsia="ja-JP"/>
        </w:rPr>
        <w:t xml:space="preserve"> les faits les plus glorieux. </w:t>
      </w:r>
    </w:p>
    <w:p w:rsidR="004C50DC" w:rsidRPr="00E8358C" w:rsidRDefault="004C50DC" w:rsidP="004C50DC">
      <w:pPr>
        <w:spacing w:before="120" w:after="120"/>
        <w:jc w:val="both"/>
        <w:rPr>
          <w:lang w:eastAsia="ja-JP"/>
        </w:rPr>
      </w:pPr>
      <w:r w:rsidRPr="00E8358C">
        <w:t>Dans les manuels d’histoire, la mémoire de l’esclavage apparaît sous le signe de l’héroïsme, tout en passant remarquablement sous silence les conséquences de l’esclavage au sein de la société haïtienne. Le débat sur la mémoire coloniale esclavagiste aujourd’hui nous am</w:t>
      </w:r>
      <w:r w:rsidRPr="00E8358C">
        <w:t>è</w:t>
      </w:r>
      <w:r w:rsidRPr="00E8358C">
        <w:t>ne à recueillir les avis de participants à l’enquête sur le choix mém</w:t>
      </w:r>
      <w:r w:rsidRPr="00E8358C">
        <w:t>o</w:t>
      </w:r>
      <w:r w:rsidRPr="00E8358C">
        <w:t xml:space="preserve">riel en Haïti et ses incidences. </w:t>
      </w:r>
      <w:r w:rsidRPr="00E8358C">
        <w:rPr>
          <w:lang w:eastAsia="ja-JP"/>
        </w:rPr>
        <w:t>Sur l’aspect héroïque de la mémoire, Blanco, 36 ans, professeur d’histoire au secondaire aux Cayes, nous expose sa compréhension des réalités historiques.</w:t>
      </w:r>
    </w:p>
    <w:p w:rsidR="004C50DC" w:rsidRDefault="004C50DC" w:rsidP="004C50DC">
      <w:pPr>
        <w:pStyle w:val="Citation0"/>
      </w:pPr>
    </w:p>
    <w:p w:rsidR="004C50DC" w:rsidRDefault="004C50DC" w:rsidP="004C50DC">
      <w:pPr>
        <w:pStyle w:val="Citation0"/>
      </w:pPr>
      <w:r w:rsidRPr="00E8358C">
        <w:t>Depuis 1804, le nationalisme héroïque est devenu un choix mém</w:t>
      </w:r>
      <w:r w:rsidRPr="00E8358C">
        <w:t>o</w:t>
      </w:r>
      <w:r w:rsidRPr="00E8358C">
        <w:t>riel tant dans le discours officiel des dirigeants du pays que dans le discours des poètes. Dès l’Indépendance, l’élite politique a fait montre de nationalisme. Et à chaque célébration de l’Indépendance, les chefs présentent la gra</w:t>
      </w:r>
      <w:r w:rsidRPr="00E8358C">
        <w:t>n</w:t>
      </w:r>
      <w:r w:rsidRPr="00E8358C">
        <w:t>deur des héros haïtiens et montrent comment le pe</w:t>
      </w:r>
      <w:r w:rsidRPr="00E8358C">
        <w:t>u</w:t>
      </w:r>
      <w:r w:rsidRPr="00E8358C">
        <w:t>ple devrait suivre leur trace pour aller de l’avant. Les chefs se mo</w:t>
      </w:r>
      <w:r w:rsidRPr="00E8358C">
        <w:t>n</w:t>
      </w:r>
      <w:r w:rsidRPr="00E8358C">
        <w:t>trent très attachés à ce passé qu’ils glorifient dans leur discours comme choix mémoriel. (Blanco, e</w:t>
      </w:r>
      <w:r w:rsidRPr="00E8358C">
        <w:t>n</w:t>
      </w:r>
      <w:r w:rsidRPr="00E8358C">
        <w:t>trevue, 22 juillet 2013)</w:t>
      </w:r>
    </w:p>
    <w:p w:rsidR="004C50DC" w:rsidRPr="00E8358C" w:rsidRDefault="004C50DC" w:rsidP="004C50DC">
      <w:pPr>
        <w:pStyle w:val="Citation0"/>
      </w:pPr>
    </w:p>
    <w:p w:rsidR="004C50DC" w:rsidRPr="00E8358C" w:rsidRDefault="004C50DC" w:rsidP="004C50DC">
      <w:pPr>
        <w:spacing w:before="120" w:after="120"/>
        <w:jc w:val="both"/>
        <w:rPr>
          <w:lang w:eastAsia="ja-JP"/>
        </w:rPr>
      </w:pPr>
      <w:r w:rsidRPr="00E8358C">
        <w:rPr>
          <w:lang w:eastAsia="ja-JP"/>
        </w:rPr>
        <w:t>Les déclarations de Blanco montrent comment les perceptions ne changent pas à certains égards. C’est cette mémoire qui est transmise. Tout changement doit avoir une explication politique et sociale pour atténuer les polémiques. Il faut exhorter les citoyens à accepter les nuances de la mémoire haïtienne de l’esclavage, parce que cette m</w:t>
      </w:r>
      <w:r w:rsidRPr="00E8358C">
        <w:rPr>
          <w:lang w:eastAsia="ja-JP"/>
        </w:rPr>
        <w:t>é</w:t>
      </w:r>
      <w:r w:rsidRPr="00E8358C">
        <w:rPr>
          <w:lang w:eastAsia="ja-JP"/>
        </w:rPr>
        <w:t>moire renferme aussi nombre de conflits internes qui perdurent et qui conditionnent la vie sociale d’aujourd’hui.</w:t>
      </w:r>
    </w:p>
    <w:p w:rsidR="004C50DC" w:rsidRPr="00E8358C" w:rsidRDefault="004C50DC" w:rsidP="004C50DC">
      <w:pPr>
        <w:spacing w:before="120" w:after="120"/>
        <w:jc w:val="both"/>
        <w:rPr>
          <w:lang w:eastAsia="ja-JP"/>
        </w:rPr>
      </w:pPr>
      <w:r w:rsidRPr="00E8358C">
        <w:rPr>
          <w:lang w:eastAsia="ja-JP"/>
        </w:rPr>
        <w:t>Après l’Indépendance nationale, la plupart des Haïtiens, restés dans les zones rurales, étaient stigmatisés – fils des plantations, fils d’esclaves. Du temps de Jean-Pierre Boyer, les cultivateurs signaient des contrats avec les propriétaires. Pour de nombreux participants i</w:t>
      </w:r>
      <w:r w:rsidRPr="00E8358C">
        <w:rPr>
          <w:lang w:eastAsia="ja-JP"/>
        </w:rPr>
        <w:t>n</w:t>
      </w:r>
      <w:r w:rsidRPr="00E8358C">
        <w:rPr>
          <w:lang w:eastAsia="ja-JP"/>
        </w:rPr>
        <w:t>terrogés, il est important de recouvrer la « vérité du passé colonial, ses traces et ses</w:t>
      </w:r>
      <w:r>
        <w:rPr>
          <w:lang w:eastAsia="ja-JP"/>
        </w:rPr>
        <w:t xml:space="preserve"> [159]</w:t>
      </w:r>
      <w:r w:rsidRPr="00E8358C">
        <w:rPr>
          <w:lang w:eastAsia="ja-JP"/>
        </w:rPr>
        <w:t xml:space="preserve"> incidences en Haïti ». Les propos de notre interl</w:t>
      </w:r>
      <w:r w:rsidRPr="00E8358C">
        <w:rPr>
          <w:lang w:eastAsia="ja-JP"/>
        </w:rPr>
        <w:t>o</w:t>
      </w:r>
      <w:r w:rsidRPr="00E8358C">
        <w:rPr>
          <w:lang w:eastAsia="ja-JP"/>
        </w:rPr>
        <w:t>cuteur, Léonce, 56 ans, cultivateur rencontré à Savary</w:t>
      </w:r>
      <w:r>
        <w:rPr>
          <w:lang w:eastAsia="ja-JP"/>
        </w:rPr>
        <w:t> </w:t>
      </w:r>
      <w:r>
        <w:rPr>
          <w:rStyle w:val="Appelnotedebasdep"/>
          <w:lang w:eastAsia="ja-JP"/>
        </w:rPr>
        <w:footnoteReference w:id="488"/>
      </w:r>
      <w:r w:rsidRPr="00E8358C">
        <w:rPr>
          <w:lang w:eastAsia="ja-JP"/>
        </w:rPr>
        <w:t>, trahissent une telle obsession :</w:t>
      </w:r>
    </w:p>
    <w:p w:rsidR="004C50DC" w:rsidRDefault="004C50DC" w:rsidP="004C50DC">
      <w:pPr>
        <w:pStyle w:val="Citation0i"/>
      </w:pPr>
    </w:p>
    <w:p w:rsidR="004C50DC" w:rsidRPr="00E8358C" w:rsidRDefault="004C50DC" w:rsidP="004C50DC">
      <w:pPr>
        <w:pStyle w:val="Citation0i"/>
      </w:pPr>
      <w:r w:rsidRPr="00E8358C">
        <w:t>Li lè, li tan pou nou menm peyizan, pitit pitit peyizan, pitit ansyen esklav konn sa ki te pase nan listwa nou. Li lè pou yo esplike n sak fè nou nan s</w:t>
      </w:r>
      <w:r w:rsidRPr="00E8358C">
        <w:t>i</w:t>
      </w:r>
      <w:r w:rsidRPr="00E8358C">
        <w:t>tiyasyon sa. Pouki yo refize chita ak nou pou fè tande vwa nou paske nou se pitit Dayiti tou, pitit zansèt ki te goumen yo tou.</w:t>
      </w:r>
    </w:p>
    <w:p w:rsidR="004C50DC" w:rsidRPr="00E8358C" w:rsidRDefault="004C50DC" w:rsidP="004C50DC">
      <w:pPr>
        <w:pStyle w:val="Citation0"/>
        <w:rPr>
          <w:lang w:eastAsia="ja-JP"/>
        </w:rPr>
      </w:pPr>
      <w:r w:rsidRPr="00E8358C">
        <w:rPr>
          <w:lang w:eastAsia="ja-JP"/>
        </w:rPr>
        <w:t>[L’heure a sonné pour que nous, fils d’anciens esclaves, pour la plupart des paysans, connaissions notre histoire, notre passé.  Il faut qu’on nous donne des explications sur nos conditions de vie. Pourquoi les autorités étatiques haïtiennes refusent-elles de nous entendre et de nous intégrer dans les prises de décisions. Nous sommes aussi des fils du pays, des fils de révolutionnaires.]</w:t>
      </w:r>
    </w:p>
    <w:p w:rsidR="004C50DC" w:rsidRDefault="004C50DC" w:rsidP="004C50DC">
      <w:pPr>
        <w:pStyle w:val="Citation0c"/>
      </w:pPr>
      <w:r w:rsidRPr="00E8358C">
        <w:t xml:space="preserve">(Léonce, entrevue, 25 août 2014) </w:t>
      </w:r>
    </w:p>
    <w:p w:rsidR="004C50DC" w:rsidRPr="00E8358C" w:rsidRDefault="004C50DC" w:rsidP="004C50DC">
      <w:pPr>
        <w:pStyle w:val="Citation0"/>
        <w:rPr>
          <w:lang w:eastAsia="ja-JP"/>
        </w:rPr>
      </w:pPr>
    </w:p>
    <w:p w:rsidR="004C50DC" w:rsidRPr="00E8358C" w:rsidRDefault="004C50DC" w:rsidP="004C50DC">
      <w:pPr>
        <w:spacing w:before="120" w:after="120"/>
        <w:jc w:val="both"/>
      </w:pPr>
      <w:r w:rsidRPr="00E8358C">
        <w:rPr>
          <w:lang w:eastAsia="ja-JP"/>
        </w:rPr>
        <w:t>Les revendications en lien avec les conditions de vie des paysans reviennent dans le témoignage de Léonce. Il voit dans l’exercice du pouvoir haïtien des éléments de continuité de l’esclavage, c’est-à-dire que les hommes politiques mettent en place des mécanismes de po</w:t>
      </w:r>
      <w:r w:rsidRPr="00E8358C">
        <w:rPr>
          <w:lang w:eastAsia="ja-JP"/>
        </w:rPr>
        <w:t>u</w:t>
      </w:r>
      <w:r w:rsidRPr="00E8358C">
        <w:rPr>
          <w:lang w:eastAsia="ja-JP"/>
        </w:rPr>
        <w:t xml:space="preserve">voir pour maintenir la classe paysanne dans une pauvreté inouïe. Il s’est créé une méfiance </w:t>
      </w:r>
      <w:r w:rsidRPr="00E8358C">
        <w:t xml:space="preserve">des élites dirigeantes, d’autant plus vive que les paysans sont exclus des processus de prises de décision au niveau étatique. </w:t>
      </w:r>
      <w:r w:rsidRPr="00E8358C">
        <w:rPr>
          <w:lang w:eastAsia="ja-JP"/>
        </w:rPr>
        <w:t xml:space="preserve">Notre sujet de recherche est un terrain propice pour exposer une telle méfiance. Peut-on </w:t>
      </w:r>
      <w:r w:rsidRPr="00E8358C">
        <w:t>espérer la fin de ce discours critique ? Dans le présent, une telle interrogation peut ne pas avoir de réponse. C’est ce qu’Édouard Glissant appelle un « discontinu dans le continu, et l’impossibilité pour la conscience collective d’en faire le tour […], une non-histoire »</w:t>
      </w:r>
      <w:r>
        <w:t> </w:t>
      </w:r>
      <w:r>
        <w:rPr>
          <w:rStyle w:val="Appelnotedebasdep"/>
        </w:rPr>
        <w:footnoteReference w:id="489"/>
      </w:r>
      <w:r w:rsidRPr="00E8358C">
        <w:t xml:space="preserve">. </w:t>
      </w:r>
    </w:p>
    <w:p w:rsidR="004C50DC" w:rsidRPr="00E8358C" w:rsidRDefault="004C50DC" w:rsidP="004C50DC">
      <w:pPr>
        <w:spacing w:before="120" w:after="120"/>
        <w:jc w:val="both"/>
      </w:pPr>
      <w:r w:rsidRPr="00E8358C">
        <w:t>N’est-il pas aussi nécessaire de faire appel à l’imagination pour r</w:t>
      </w:r>
      <w:r w:rsidRPr="00E8358C">
        <w:t>e</w:t>
      </w:r>
      <w:r w:rsidRPr="00E8358C">
        <w:t>coudre la matrice historique haïtienne à l’aide de la mémoire, comme le soutient Derek Walcott</w:t>
      </w:r>
      <w:r>
        <w:t> </w:t>
      </w:r>
      <w:r>
        <w:rPr>
          <w:rStyle w:val="Appelnotedebasdep"/>
        </w:rPr>
        <w:footnoteReference w:id="490"/>
      </w:r>
      <w:r w:rsidRPr="00E8358C">
        <w:t>, face aux nombreux silences dans l’histoire du monde caribéen ? La mémoire est une source inépuisable pour comprendre toute démarche de patrimonialisation du passé col</w:t>
      </w:r>
      <w:r w:rsidRPr="00E8358C">
        <w:t>o</w:t>
      </w:r>
      <w:r w:rsidRPr="00E8358C">
        <w:t xml:space="preserve">nial construit dans les plantations esclavagistes, inscrit dans les lieux de marronnage et alimenté par les pratiques culturelles, surtout dans la société haïtienne qui privilégie l’oralité. </w:t>
      </w:r>
    </w:p>
    <w:p w:rsidR="004C50DC" w:rsidRDefault="004C50DC" w:rsidP="004C50DC">
      <w:pPr>
        <w:spacing w:before="120" w:after="120"/>
        <w:jc w:val="both"/>
      </w:pPr>
      <w:bookmarkStart w:id="158" w:name="_Toc406489677"/>
      <w:bookmarkStart w:id="159" w:name="_Toc423347298"/>
      <w:bookmarkStart w:id="160" w:name="_Toc442280477"/>
      <w:r>
        <w:br w:type="page"/>
        <w:t>[160]</w:t>
      </w:r>
    </w:p>
    <w:p w:rsidR="004C50DC" w:rsidRDefault="004C50DC" w:rsidP="004C50DC">
      <w:pPr>
        <w:spacing w:before="120" w:after="120"/>
        <w:jc w:val="both"/>
      </w:pPr>
    </w:p>
    <w:p w:rsidR="004C50DC" w:rsidRPr="00E8358C" w:rsidRDefault="004C50DC" w:rsidP="004C50DC">
      <w:pPr>
        <w:pStyle w:val="a"/>
      </w:pPr>
      <w:r w:rsidRPr="00E8358C">
        <w:t xml:space="preserve">3.4.2. Place de l’esclavage dans les programmes </w:t>
      </w:r>
      <w:r>
        <w:br/>
      </w:r>
      <w:r w:rsidRPr="00E8358C">
        <w:t>d’enseignement de l’histoire d’Haïti</w:t>
      </w:r>
      <w:bookmarkEnd w:id="158"/>
      <w:bookmarkEnd w:id="159"/>
      <w:bookmarkEnd w:id="160"/>
    </w:p>
    <w:p w:rsidR="004C50DC" w:rsidRDefault="004C50DC" w:rsidP="004C50DC">
      <w:pPr>
        <w:spacing w:before="120" w:after="120"/>
        <w:jc w:val="both"/>
      </w:pPr>
    </w:p>
    <w:p w:rsidR="004C50DC" w:rsidRPr="00E8358C" w:rsidRDefault="004C50DC" w:rsidP="004C50DC">
      <w:pPr>
        <w:spacing w:before="120" w:after="120"/>
        <w:jc w:val="both"/>
      </w:pPr>
      <w:r w:rsidRPr="00E8358C">
        <w:t>Les différents manuels d’histoire d’Haïti, du fondamental et du s</w:t>
      </w:r>
      <w:r w:rsidRPr="00E8358C">
        <w:t>e</w:t>
      </w:r>
      <w:r w:rsidRPr="00E8358C">
        <w:t>condaire, parlent de la Traite et de l’esclavage. Ils se focalisent surtout sur la période coloniale française ; les mauvais traitements, la barbarie des colons et les conditions inhumaines dans lesquelles les esclaves étaient confinés sont évoqués aussi dans ces livres. L’accent est mis particulièrement sur les luttes des esclaves pour arriver à la libération de Saint-Domingue. Cette page de la mémoire de la vie du peuple ha</w:t>
      </w:r>
      <w:r w:rsidRPr="00E8358C">
        <w:t>ï</w:t>
      </w:r>
      <w:r w:rsidRPr="00E8358C">
        <w:t>tien est enseignée comme tous les autres faits marquants de son histo</w:t>
      </w:r>
      <w:r w:rsidRPr="00E8358C">
        <w:t>i</w:t>
      </w:r>
      <w:r w:rsidRPr="00E8358C">
        <w:t xml:space="preserve">re. Le passé colonial est peu abordé et enseigné dans une perspective patrimoniale. Des descriptions de la réalité esclavagiste ont été faites, comme l’ont confirmé ces mots de Thomas Madiou pour parler de la Traite et de l’esclavage dans l’histoire d’Haïti : </w:t>
      </w:r>
    </w:p>
    <w:p w:rsidR="004C50DC" w:rsidRDefault="004C50DC" w:rsidP="004C50DC">
      <w:pPr>
        <w:pStyle w:val="Citation0"/>
      </w:pPr>
    </w:p>
    <w:p w:rsidR="004C50DC" w:rsidRDefault="004C50DC" w:rsidP="004C50DC">
      <w:pPr>
        <w:pStyle w:val="Citation0"/>
      </w:pPr>
      <w:r w:rsidRPr="00E8358C">
        <w:t>Pendant deux cent soixante-douze ans, l’esclavage régna en Haïti : époque de souffrances et de gémissements. La race africaine eût peut-être su</w:t>
      </w:r>
      <w:r w:rsidRPr="00E8358C">
        <w:t>c</w:t>
      </w:r>
      <w:r w:rsidRPr="00E8358C">
        <w:t>combé comme celle des Aborigènes, si l’ère de 89 ne s’était ouverte</w:t>
      </w:r>
      <w:r>
        <w:t> </w:t>
      </w:r>
      <w:r>
        <w:rPr>
          <w:rStyle w:val="Appelnotedebasdep"/>
        </w:rPr>
        <w:footnoteReference w:id="491"/>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Plus loin, il fait le rapport entre les conditions de vie des esclaves, la prospérité de la colonie et l’image du maître :</w:t>
      </w:r>
    </w:p>
    <w:p w:rsidR="004C50DC" w:rsidRDefault="004C50DC" w:rsidP="004C50DC">
      <w:pPr>
        <w:pStyle w:val="Citation0"/>
      </w:pPr>
    </w:p>
    <w:p w:rsidR="004C50DC" w:rsidRDefault="004C50DC" w:rsidP="004C50DC">
      <w:pPr>
        <w:pStyle w:val="Citation0"/>
      </w:pPr>
      <w:r w:rsidRPr="00E8358C">
        <w:t>Le travail forcé, auquel étaient condamnés les esclaves, avait pr</w:t>
      </w:r>
      <w:r w:rsidRPr="00E8358C">
        <w:t>o</w:t>
      </w:r>
      <w:r w:rsidRPr="00E8358C">
        <w:t>duit à Saint-Domingue une prospérité extraordinaire. Les campagnes étaient a</w:t>
      </w:r>
      <w:r w:rsidRPr="00E8358C">
        <w:t>d</w:t>
      </w:r>
      <w:r w:rsidRPr="00E8358C">
        <w:t>mirables par leur culture ; les plaines et les mornes étaient couverts de r</w:t>
      </w:r>
      <w:r w:rsidRPr="00E8358C">
        <w:t>i</w:t>
      </w:r>
      <w:r w:rsidRPr="00E8358C">
        <w:t>ches habitations, d’une population blanche nombreuse et joyeuse… Un seul commandeur blanc, armé de son fouet, faisait agir des centaines de ces infortunés que l’éducation coloniale avait abrutis : aux yeux des escl</w:t>
      </w:r>
      <w:r w:rsidRPr="00E8358C">
        <w:t>a</w:t>
      </w:r>
      <w:r w:rsidRPr="00E8358C">
        <w:t>ves, le Blanc était un être privilégié que Dieu avait créé pour le dom</w:t>
      </w:r>
      <w:r w:rsidRPr="00E8358C">
        <w:t>i</w:t>
      </w:r>
      <w:r w:rsidRPr="00E8358C">
        <w:t>ner</w:t>
      </w:r>
      <w:r>
        <w:t> </w:t>
      </w:r>
      <w:r>
        <w:rPr>
          <w:rStyle w:val="Appelnotedebasdep"/>
        </w:rPr>
        <w:footnoteReference w:id="492"/>
      </w:r>
      <w:r w:rsidRPr="00E8358C">
        <w:t>.</w:t>
      </w:r>
    </w:p>
    <w:p w:rsidR="004C50DC" w:rsidRPr="00E8358C" w:rsidRDefault="004C50DC" w:rsidP="004C50DC">
      <w:pPr>
        <w:pStyle w:val="Citation0"/>
      </w:pPr>
    </w:p>
    <w:p w:rsidR="004C50DC" w:rsidRDefault="004C50DC" w:rsidP="004C50DC">
      <w:pPr>
        <w:spacing w:before="120" w:after="120"/>
        <w:jc w:val="both"/>
      </w:pPr>
      <w:r w:rsidRPr="00E8358C">
        <w:t xml:space="preserve">Dans sa lecture des événements historiques en lien avec le passé colonial, donc esclavagiste, Beaubrun Ardouin s’intéresse surtout aux conditions de vie et aux faits qui ont été les accélérateurs de l’insurrection des esclaves. Il nous dresse un tableau d’Haïti du temps de la colonisation espagnole, puis française, et présente l’esclavage et les conditions de vie des Nègres dans la colonie dominguoise comme un axe de la révolte. Dans ses volumes intitulés </w:t>
      </w:r>
      <w:r w:rsidRPr="00E8358C">
        <w:rPr>
          <w:i/>
        </w:rPr>
        <w:t xml:space="preserve">Études sur l’Histoire d’Haïti, </w:t>
      </w:r>
      <w:r w:rsidRPr="00E8358C">
        <w:t>il aborde « la Traite et l’esclavage » comme des concepts i</w:t>
      </w:r>
      <w:r w:rsidRPr="00E8358C">
        <w:t>n</w:t>
      </w:r>
      <w:r w:rsidRPr="00E8358C">
        <w:t>dispensables à la compréhension de sa démarche.  Il étaie ainsi ses propos :</w:t>
      </w:r>
    </w:p>
    <w:p w:rsidR="004C50DC" w:rsidRPr="00E8358C" w:rsidRDefault="004C50DC" w:rsidP="004C50DC">
      <w:pPr>
        <w:spacing w:before="120" w:after="120"/>
        <w:jc w:val="both"/>
      </w:pPr>
      <w:r>
        <w:t>[161]</w:t>
      </w:r>
    </w:p>
    <w:p w:rsidR="004C50DC" w:rsidRDefault="004C50DC" w:rsidP="004C50DC">
      <w:pPr>
        <w:pStyle w:val="Citation0"/>
      </w:pPr>
    </w:p>
    <w:p w:rsidR="004C50DC" w:rsidRDefault="004C50DC" w:rsidP="004C50DC">
      <w:pPr>
        <w:pStyle w:val="Citation0"/>
      </w:pPr>
      <w:r w:rsidRPr="00E8358C">
        <w:t>On a été réduit à beaucoup de conjectures sur la cause de l’insurrection des esclaves. Selon nous, diverses causes ont dû y concourir : mais d’abord, remarquons à l’honneur de la nature humaine, à l’honneur de ce</w:t>
      </w:r>
      <w:r w:rsidRPr="00E8358C">
        <w:t>t</w:t>
      </w:r>
      <w:r w:rsidRPr="00E8358C">
        <w:t>te race africaine réduite à la condition servile, avilie, opprimée pendant trois siècles entiers,que le sentiment de la liberté n’a jamais cessé de se manifester parmi les Nègres amenés d’Afrique et rendus esclaves à Saint-Domingue. Ils peuvent réclamer avec orgueil que toujours il y a eu parmi eux des hommes qui, par leur énergie, ont protesté contre la tyrannie des Européens. En effet, dès l’établissement de la colonie espagnole, des N</w:t>
      </w:r>
      <w:r w:rsidRPr="00E8358C">
        <w:t>è</w:t>
      </w:r>
      <w:r w:rsidRPr="00E8358C">
        <w:t>gres y furent intr</w:t>
      </w:r>
      <w:r w:rsidRPr="00E8358C">
        <w:t>o</w:t>
      </w:r>
      <w:r w:rsidRPr="00E8358C">
        <w:t>duits : leur esclavage, déjà pratiqué en Portugal et en Espagne, en avait fourni l’idée</w:t>
      </w:r>
      <w:r>
        <w:t> </w:t>
      </w:r>
      <w:r>
        <w:rPr>
          <w:rStyle w:val="Appelnotedebasdep"/>
        </w:rPr>
        <w:footnoteReference w:id="493"/>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Les propos de Joseph Saint-Rémy et d’Émile Nau sont aussi indi</w:t>
      </w:r>
      <w:r w:rsidRPr="00E8358C">
        <w:t>s</w:t>
      </w:r>
      <w:r w:rsidRPr="00E8358C">
        <w:t xml:space="preserve">pensables pour comprendre ce qui est enseigné. Dans les </w:t>
      </w:r>
      <w:r w:rsidRPr="00E8358C">
        <w:rPr>
          <w:i/>
        </w:rPr>
        <w:t>Mémoires du Général Toussaint Louverture</w:t>
      </w:r>
      <w:r w:rsidRPr="00E8358C">
        <w:t>, Saint-Rémy se réfère aux différentes garanties morales, intellectuelles et humaines naturellement reconnues à tout être humain pour dénoncer le passé colonial et esclavagiste. Pour lui, la banalisation de l’esclave noir doit être condamnée au nom de la conscience et de la compréhension humaines. Il condamne donc</w:t>
      </w:r>
    </w:p>
    <w:p w:rsidR="004C50DC" w:rsidRDefault="004C50DC" w:rsidP="004C50DC">
      <w:pPr>
        <w:pStyle w:val="Citation0"/>
      </w:pPr>
    </w:p>
    <w:p w:rsidR="004C50DC" w:rsidRDefault="004C50DC" w:rsidP="004C50DC">
      <w:pPr>
        <w:pStyle w:val="Citation0"/>
      </w:pPr>
      <w:r w:rsidRPr="00E8358C">
        <w:t>… l’oligarchie coloniale qui n’épargna aucun moyen de compression, a</w:t>
      </w:r>
      <w:r w:rsidRPr="00E8358C">
        <w:t>u</w:t>
      </w:r>
      <w:r w:rsidRPr="00E8358C">
        <w:t>cun raffinement de barbarie pour maintenir sur la race africaine et ses de</w:t>
      </w:r>
      <w:r w:rsidRPr="00E8358C">
        <w:t>s</w:t>
      </w:r>
      <w:r w:rsidRPr="00E8358C">
        <w:t>cendants le poids de sa toute-puissante exploitation. Alors, pour légitimer la violation de tous les principes du droit naturel, on proclama tout haut l’inaptitude intellectuelle et morale de cette r</w:t>
      </w:r>
      <w:r w:rsidRPr="00E8358C">
        <w:t>a</w:t>
      </w:r>
      <w:r w:rsidRPr="00E8358C">
        <w:t>ce… Aussi, l’homme noir lui aussi se crut fatalement condamné par la nature à l’obéissance et à la servitude… N’est-ce pas alors le comble de la perfidie que de dire au N</w:t>
      </w:r>
      <w:r w:rsidRPr="00E8358C">
        <w:t>è</w:t>
      </w:r>
      <w:r w:rsidRPr="00E8358C">
        <w:t>gre : Tu resteras esclave parce que tu es ignorant. À cela, ne pourrait-on pas répondre : s’il est ignorant, c’est qu’il est esclave</w:t>
      </w:r>
      <w:r>
        <w:t> </w:t>
      </w:r>
      <w:r>
        <w:rPr>
          <w:rStyle w:val="Appelnotedebasdep"/>
        </w:rPr>
        <w:footnoteReference w:id="494"/>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Il ne faut pas croire que les esclaves étaient totalement aliénés par l’ordre colonial. Les esclaves n’acceptaient pas leurs conditions de vie ; le système colonial voulait qu’ils soient ignorants, inconscients de leur situation, comme le disaient Saint-Rémy et J.C. Dorsainvil. Mais les diverses luttes (marronnage, empoisonnement, infanticide) prouvent le contraire. </w:t>
      </w:r>
    </w:p>
    <w:p w:rsidR="004C50DC" w:rsidRPr="00E8358C" w:rsidRDefault="004C50DC" w:rsidP="004C50DC">
      <w:pPr>
        <w:spacing w:before="120" w:after="120"/>
        <w:jc w:val="both"/>
      </w:pPr>
      <w:r w:rsidRPr="00E8358C">
        <w:t xml:space="preserve">Émile Nau, Ducis Viard et Eugène Nau mettent l’accent surtout sur les scènes d’atrocités commises par les Espagnols à l’encontre des Amérindiens d’Haïti dans </w:t>
      </w:r>
      <w:r w:rsidRPr="00E8358C">
        <w:rPr>
          <w:i/>
        </w:rPr>
        <w:t>l’Histoire des Caciques d’Haïti</w:t>
      </w:r>
      <w:r w:rsidRPr="00E8358C">
        <w:t>. Il s’agit pour eux de condamner aussi l’esclavagisme espagnol et d’essayer d’identifier les racines des souffrances des habitants de ce territoire. Ce faisant, ils rappellent cette page de l’histoire d’Haïti souvent o</w:t>
      </w:r>
      <w:r w:rsidRPr="00E8358C">
        <w:t>u</w:t>
      </w:r>
      <w:r w:rsidRPr="00E8358C">
        <w:t>bliée dans les débats sur</w:t>
      </w:r>
      <w:r>
        <w:t xml:space="preserve"> [162]</w:t>
      </w:r>
      <w:r w:rsidRPr="00E8358C">
        <w:t xml:space="preserve"> l’esclavage : la cruauté des colons e</w:t>
      </w:r>
      <w:r w:rsidRPr="00E8358C">
        <w:t>s</w:t>
      </w:r>
      <w:r w:rsidRPr="00E8358C">
        <w:t>pagnols.</w:t>
      </w:r>
    </w:p>
    <w:p w:rsidR="004C50DC" w:rsidRDefault="004C50DC" w:rsidP="004C50DC">
      <w:pPr>
        <w:pStyle w:val="Citation0"/>
      </w:pPr>
    </w:p>
    <w:p w:rsidR="004C50DC" w:rsidRDefault="004C50DC" w:rsidP="004C50DC">
      <w:pPr>
        <w:pStyle w:val="Citation0"/>
      </w:pPr>
      <w:r w:rsidRPr="00E8358C">
        <w:t>La trompette sonna : l’infanterie fit feu, et la cavalerie chargea. Le tournoi se changea soudain en une horrible boucherie. Toute cette foule de spect</w:t>
      </w:r>
      <w:r w:rsidRPr="00E8358C">
        <w:t>a</w:t>
      </w:r>
      <w:r w:rsidRPr="00E8358C">
        <w:t>teurs inoffensifs fut en un instant impitoyablement mass</w:t>
      </w:r>
      <w:r w:rsidRPr="00E8358C">
        <w:t>a</w:t>
      </w:r>
      <w:r w:rsidRPr="00E8358C">
        <w:t>crée. Ni le sexe ni l’âge ne furent épargnés. Anacaona fut prise en vie, c’était la seule pr</w:t>
      </w:r>
      <w:r w:rsidRPr="00E8358C">
        <w:t>i</w:t>
      </w:r>
      <w:r w:rsidRPr="00E8358C">
        <w:t>sonnière qu’Ovando consentit à faire ; tout le reste fut passé par les armes. Plusieurs caciques et un grand nombre d’Indiens s’étaient enfermés dans une cabane ; le feu y fut mis et ils furent tous dévorés par les fla</w:t>
      </w:r>
      <w:r w:rsidRPr="00E8358C">
        <w:t>m</w:t>
      </w:r>
      <w:r w:rsidRPr="00E8358C">
        <w:t>mes…Un Cavalier espagnol, attendri par les cris d’un jeune Indien, le prit pour le sauver du carnage, et le portait devant lui sur l’arçon de sa selle ; d’autres cavaliers, à cette vue, se précipitèrent sur lui et l’abattirent lui et l’enfant à coups de lance et d’arquebuse. Il ne resta plus bientôt sur ce champ désolé que des cadavres</w:t>
      </w:r>
      <w:r>
        <w:t> </w:t>
      </w:r>
      <w:r>
        <w:rPr>
          <w:rStyle w:val="Appelnotedebasdep"/>
        </w:rPr>
        <w:footnoteReference w:id="495"/>
      </w:r>
      <w:r>
        <w:t>.</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Lorsqu’on parle de l’esclavage dans l’enseignement de l’histoire en Haïti, pour les historiens, il s’agit plutôt de rappeler les barbaries espagnoles et françaises ou les causes de la Révolution haïtienne. Par conséquent, le passé colonial esclavagiste est divisé en deux grandes périodes : d’abord, les </w:t>
      </w:r>
      <w:r w:rsidRPr="00E8358C">
        <w:rPr>
          <w:i/>
        </w:rPr>
        <w:t>repartimientos</w:t>
      </w:r>
      <w:r w:rsidRPr="00E8358C">
        <w:t xml:space="preserve"> ou le système de distribution et d’exploitation des terres qui s’accompagnaient de l’esclavage des Amérindiens au tournant de 1499 par les Espagnols ; ensuite l’esclavage des déportés africains qui a commencé en 1503 jusqu’aux événements qui ont conduit à l’Indépendance d’Haïti en 1804. Il faut le dire, les méthodes employées par les premiers historiens pour pr</w:t>
      </w:r>
      <w:r w:rsidRPr="00E8358C">
        <w:t>é</w:t>
      </w:r>
      <w:r w:rsidRPr="00E8358C">
        <w:t>senter ces deux moments forts posent les jalons d’une patrimonialis</w:t>
      </w:r>
      <w:r w:rsidRPr="00E8358C">
        <w:t>a</w:t>
      </w:r>
      <w:r w:rsidRPr="00E8358C">
        <w:t>tion des mémoires de ces deux formes distinctes d’esclavage en réh</w:t>
      </w:r>
      <w:r w:rsidRPr="00E8358C">
        <w:t>a</w:t>
      </w:r>
      <w:r w:rsidRPr="00E8358C">
        <w:t xml:space="preserve">bilitant la résistance des esclaves. Ce faisant, elles encouragent la conservation des récits sélectionnés, comme un héritage collectif à transmettre dans le futur par les Haïtiens. </w:t>
      </w:r>
    </w:p>
    <w:p w:rsidR="004C50DC" w:rsidRPr="00E8358C" w:rsidRDefault="004C50DC" w:rsidP="004C50DC">
      <w:pPr>
        <w:spacing w:before="120" w:after="120"/>
        <w:jc w:val="both"/>
      </w:pPr>
      <w:r w:rsidRPr="00E8358C">
        <w:t>Guy Di Méo signale que « le patrimoine recèle la perspective d’une projection dans le futur. Il contient la possibilité d’un avenir qui accroît son caractère d’enjeu stratégique : social, culturel, économ</w:t>
      </w:r>
      <w:r w:rsidRPr="00E8358C">
        <w:t>i</w:t>
      </w:r>
      <w:r w:rsidRPr="00E8358C">
        <w:t>que, symbolique et, bien sûr, territorial »</w:t>
      </w:r>
      <w:r>
        <w:t> </w:t>
      </w:r>
      <w:r>
        <w:rPr>
          <w:rStyle w:val="Appelnotedebasdep"/>
        </w:rPr>
        <w:footnoteReference w:id="496"/>
      </w:r>
      <w:r w:rsidRPr="00E8358C">
        <w:t>. Certes, toute histoire a une « potentialité patrimoniale »</w:t>
      </w:r>
      <w:r>
        <w:t> </w:t>
      </w:r>
      <w:r>
        <w:rPr>
          <w:rStyle w:val="Appelnotedebasdep"/>
        </w:rPr>
        <w:footnoteReference w:id="497"/>
      </w:r>
      <w:r w:rsidRPr="00E8358C">
        <w:t>. Elle est étroitement liée à des s</w:t>
      </w:r>
      <w:r w:rsidRPr="00E8358C">
        <w:t>i</w:t>
      </w:r>
      <w:r w:rsidRPr="00E8358C">
        <w:t>tes et des monuments qui lui servent de cadres. Il faut donc créer les cond</w:t>
      </w:r>
      <w:r w:rsidRPr="00E8358C">
        <w:t>i</w:t>
      </w:r>
      <w:r w:rsidRPr="00E8358C">
        <w:t>tions de sa patrimonialisation en</w:t>
      </w:r>
      <w:r>
        <w:t xml:space="preserve"> [163]</w:t>
      </w:r>
      <w:r w:rsidRPr="00E8358C">
        <w:t xml:space="preserve"> sensibilisant et en int</w:t>
      </w:r>
      <w:r w:rsidRPr="00E8358C">
        <w:t>é</w:t>
      </w:r>
      <w:r w:rsidRPr="00E8358C">
        <w:t>grant la société dans sa conservation et sa transmission. Dans ce cas, on ne peut s’empêcher d’apprécier l’importance des travaux des hist</w:t>
      </w:r>
      <w:r w:rsidRPr="00E8358C">
        <w:t>o</w:t>
      </w:r>
      <w:r w:rsidRPr="00E8358C">
        <w:t>riens du XIX</w:t>
      </w:r>
      <w:r w:rsidRPr="00E8358C">
        <w:rPr>
          <w:vertAlign w:val="superscript"/>
        </w:rPr>
        <w:t>e</w:t>
      </w:r>
      <w:r w:rsidRPr="00E8358C">
        <w:t xml:space="preserve"> siècle,qui se sont efforcés de construire une identité ha</w:t>
      </w:r>
      <w:r w:rsidRPr="00E8358C">
        <w:t>ï</w:t>
      </w:r>
      <w:r w:rsidRPr="00E8358C">
        <w:t>tienne ne pouvant s’exprimer qu’à travers des faits historiques émai</w:t>
      </w:r>
      <w:r w:rsidRPr="00E8358C">
        <w:t>l</w:t>
      </w:r>
      <w:r w:rsidRPr="00E8358C">
        <w:t xml:space="preserve">lés de courage, de ténacité ou d’héroïsme. </w:t>
      </w:r>
    </w:p>
    <w:p w:rsidR="004C50DC" w:rsidRPr="00E8358C" w:rsidRDefault="004C50DC" w:rsidP="004C50DC">
      <w:pPr>
        <w:spacing w:before="120" w:after="120"/>
        <w:jc w:val="both"/>
        <w:rPr>
          <w:strike/>
        </w:rPr>
      </w:pPr>
      <w:r w:rsidRPr="00E8358C">
        <w:t>En Haïti, l’enseignement de l’histoire dans les cycles scolaires se réduit souvent à des exercices de mémorisation et de récitation pour les examens de passage. L’élève haïtien n’est pas sensibilisé à l’idée que les notions apprises sont des éléments de son identité. La tran</w:t>
      </w:r>
      <w:r w:rsidRPr="00E8358C">
        <w:t>s</w:t>
      </w:r>
      <w:r w:rsidRPr="00E8358C">
        <w:t>mission sous l’angle patrimonial est donc négligée. De nombreux Ha</w:t>
      </w:r>
      <w:r w:rsidRPr="00E8358C">
        <w:t>ï</w:t>
      </w:r>
      <w:r w:rsidRPr="00E8358C">
        <w:t>tiens croient qu’en s’appropriant ce passé, ils risquent encore d’être perçus comme des esclaves. Voici comment Jérôme, 26 ans, des G</w:t>
      </w:r>
      <w:r w:rsidRPr="00E8358C">
        <w:t>o</w:t>
      </w:r>
      <w:r w:rsidRPr="00E8358C">
        <w:t>naïves, étudiant participant à notre enquête, nous expose son point de vue dans un entretien tenu le 28 août 2014:</w:t>
      </w:r>
    </w:p>
    <w:p w:rsidR="004C50DC" w:rsidRDefault="004C50DC" w:rsidP="004C50DC">
      <w:pPr>
        <w:pStyle w:val="Citation0"/>
      </w:pPr>
    </w:p>
    <w:p w:rsidR="004C50DC" w:rsidRPr="00E8358C" w:rsidRDefault="004C50DC" w:rsidP="004C50DC">
      <w:pPr>
        <w:pStyle w:val="Citation0i"/>
      </w:pPr>
      <w:r w:rsidRPr="00E8358C">
        <w:t>Se vre yo te anseye pase esklavajis nan kou listwa nou. Nou te aprann sa sou ban lekòl. Men se te pou prepare egzamen nou. Jounen jodia, nou pa</w:t>
      </w:r>
      <w:r w:rsidRPr="00E8358C">
        <w:t>n</w:t>
      </w:r>
      <w:r w:rsidRPr="00E8358C">
        <w:t>se ke nou ta dwe bliye bagay sa pou moun pa prann ankò kom esklav nan mond sa. Epi li t ap pi bon pou n ka rantre nan mondyalizasyon an. Tout logèy pase esklavajis la kite nan nou ka a</w:t>
      </w:r>
      <w:r w:rsidRPr="00E8358C">
        <w:t>n</w:t>
      </w:r>
      <w:r w:rsidRPr="00E8358C">
        <w:t>peche n vanse men nan men ak yo. Sa pa vle di tou fok nou sispann rete Ayisyen ni pou n pa d</w:t>
      </w:r>
      <w:r w:rsidRPr="00E8358C">
        <w:t>e</w:t>
      </w:r>
      <w:r w:rsidRPr="00E8358C">
        <w:t>fann kòz nou.</w:t>
      </w:r>
    </w:p>
    <w:p w:rsidR="004C50DC" w:rsidRPr="00E8358C" w:rsidRDefault="004C50DC" w:rsidP="004C50DC">
      <w:pPr>
        <w:pStyle w:val="Citation0"/>
      </w:pPr>
      <w:r w:rsidRPr="00E8358C">
        <w:t>[C’est vrai, à l’école dans les cours d’histoire nationale « l’esclavage » a été enseigné. On l’a appris seulement pour préparer les examens de pass</w:t>
      </w:r>
      <w:r w:rsidRPr="00E8358C">
        <w:t>a</w:t>
      </w:r>
      <w:r w:rsidRPr="00E8358C">
        <w:t>ge. Aujourd’hui, nous devrions oublier cette p</w:t>
      </w:r>
      <w:r w:rsidRPr="00E8358C">
        <w:t>a</w:t>
      </w:r>
      <w:r w:rsidRPr="00E8358C">
        <w:t>ge de notre histoire afin de prévenir qu’on nous voit et nous traite comme par le passé. De plus, dans le contexte actuel de la mondialisation, il serait préférable pour une mei</w:t>
      </w:r>
      <w:r w:rsidRPr="00E8358C">
        <w:t>l</w:t>
      </w:r>
      <w:r w:rsidRPr="00E8358C">
        <w:t>leure intégration du pays. L’orgueil du passé colonial esclavagiste peut être un frein à cette intégration. Par contre, ce choix de positionnement i</w:t>
      </w:r>
      <w:r w:rsidRPr="00E8358C">
        <w:t>n</w:t>
      </w:r>
      <w:r w:rsidRPr="00E8358C">
        <w:t>ternational ne doit pas empêcher les Haïtiens de continuer à défendre les intérêts du pays.]</w:t>
      </w:r>
    </w:p>
    <w:p w:rsidR="004C50DC" w:rsidRDefault="004C50DC" w:rsidP="004C50DC">
      <w:pPr>
        <w:pStyle w:val="Citation0c"/>
      </w:pPr>
      <w:r w:rsidRPr="00E8358C">
        <w:t>(Jérôme, entrevue, 28 août 2014)</w:t>
      </w:r>
    </w:p>
    <w:p w:rsidR="004C50DC" w:rsidRPr="00E8358C" w:rsidRDefault="004C50DC" w:rsidP="004C50DC">
      <w:pPr>
        <w:pStyle w:val="Citation0"/>
      </w:pPr>
    </w:p>
    <w:p w:rsidR="004C50DC" w:rsidRPr="00E8358C" w:rsidRDefault="004C50DC" w:rsidP="004C50DC">
      <w:pPr>
        <w:spacing w:before="120" w:after="120"/>
        <w:jc w:val="both"/>
      </w:pPr>
      <w:r w:rsidRPr="00E8358C">
        <w:t>Certains professeurs font carrément l’impasse sur la traite trans</w:t>
      </w:r>
      <w:r w:rsidRPr="00E8358C">
        <w:t>a</w:t>
      </w:r>
      <w:r w:rsidRPr="00E8358C">
        <w:t>tlantique et l’esclavage dans leur enseignement. D’autres nous disent qu’ils mettent du temps à expliquer cette page inoubliable de l’histoire d’Haïti. Dans l’ensemble, l’esclavage est enseigné, mais ce n’est pas notre seule préoccupation. La question a été de savoir comment il est enseigné et quelle est la place qui lui est accordée. Claudy Delné</w:t>
      </w:r>
      <w:r>
        <w:t> </w:t>
      </w:r>
      <w:r>
        <w:rPr>
          <w:rStyle w:val="Appelnotedebasdep"/>
        </w:rPr>
        <w:footnoteReference w:id="498"/>
      </w:r>
      <w:r w:rsidRPr="00E8358C">
        <w:t xml:space="preserve"> a</w:t>
      </w:r>
      <w:r w:rsidRPr="00E8358C">
        <w:t>s</w:t>
      </w:r>
      <w:r w:rsidRPr="00E8358C">
        <w:t>socie la faillite de l’identitaire en Haïti à la faillite de l’enseignement de l’histoire. Ses propos illustrent bien l’actuel débat sur le rôle ou l’apport du citoyen haïtien à la vie publique nationale et à sa bonne marche.</w:t>
      </w:r>
      <w:r>
        <w:t xml:space="preserve"> [164]</w:t>
      </w:r>
      <w:r w:rsidRPr="00E8358C">
        <w:t xml:space="preserve"> Il convient de mentionner que le système d’enseignement haïtien contribue mal à la formation du citoyen. Pour Ghislain Gouraige, « l’enfant haïtien entre à l’école pour apprendre à oublier qu’il est noir. Et chaque fois qu’il gagne la rue, c’est pour m</w:t>
      </w:r>
      <w:r w:rsidRPr="00E8358C">
        <w:t>e</w:t>
      </w:r>
      <w:r w:rsidRPr="00E8358C">
        <w:t>surer sa solitude et compter les pas qui l’éloignent de ces illettrés, de ces vaudouisants (sic.) dont il aura peut-être un jour à régler le de</w:t>
      </w:r>
      <w:r w:rsidRPr="00E8358C">
        <w:t>s</w:t>
      </w:r>
      <w:r w:rsidRPr="00E8358C">
        <w:t>tin »</w:t>
      </w:r>
      <w:r>
        <w:t> </w:t>
      </w:r>
      <w:r>
        <w:rPr>
          <w:rStyle w:val="Appelnotedebasdep"/>
        </w:rPr>
        <w:footnoteReference w:id="499"/>
      </w:r>
      <w:r w:rsidRPr="00E8358C">
        <w:t>.</w:t>
      </w:r>
    </w:p>
    <w:p w:rsidR="004C50DC" w:rsidRPr="00E8358C" w:rsidRDefault="004C50DC" w:rsidP="004C50DC">
      <w:pPr>
        <w:spacing w:before="120" w:after="120"/>
        <w:jc w:val="both"/>
      </w:pPr>
      <w:r w:rsidRPr="00E8358C">
        <w:t>Aujourd’hui, il est intéressant de voir combien les écoliers et ét</w:t>
      </w:r>
      <w:r w:rsidRPr="00E8358C">
        <w:t>u</w:t>
      </w:r>
      <w:r w:rsidRPr="00E8358C">
        <w:t>diants haïtiens ont soif de bien comprendre et de s’approprier le passé colonial esclavagiste comme un élément mémoriel. Par exemple, les anciennes habitations coloniales et les fortifications excitent leur curiosité. Quand ils visitent l’exposition permanente du Musée du panthéon national, ils ne manquent pas l’occasion de se familiariser avec les objets et les tableaux qui sont des illustrations des cours do</w:t>
      </w:r>
      <w:r w:rsidRPr="00E8358C">
        <w:t>n</w:t>
      </w:r>
      <w:r w:rsidRPr="00E8358C">
        <w:t>n</w:t>
      </w:r>
      <w:r w:rsidRPr="00E8358C">
        <w:rPr>
          <w:lang w:eastAsia="ja-JP"/>
        </w:rPr>
        <w:t>és en classe. Dans ce contexte, i</w:t>
      </w:r>
      <w:r w:rsidRPr="00E8358C">
        <w:t>l est également impératif, comme le rapporte Julien Olsen, de conserver la mémoire historique, car elle « contribue à la structuration des lieux en tant qu’un paramètre fo</w:t>
      </w:r>
      <w:r w:rsidRPr="00E8358C">
        <w:t>n</w:t>
      </w:r>
      <w:r w:rsidRPr="00E8358C">
        <w:t>damental d’aménagement du territoire »</w:t>
      </w:r>
      <w:r>
        <w:t> </w:t>
      </w:r>
      <w:r>
        <w:rPr>
          <w:rStyle w:val="Appelnotedebasdep"/>
        </w:rPr>
        <w:footnoteReference w:id="500"/>
      </w:r>
      <w:r w:rsidRPr="00E8358C">
        <w:t>.</w:t>
      </w:r>
    </w:p>
    <w:p w:rsidR="004C50DC" w:rsidRPr="00E8358C" w:rsidRDefault="004C50DC" w:rsidP="004C50DC">
      <w:pPr>
        <w:spacing w:before="120" w:after="120"/>
        <w:jc w:val="both"/>
      </w:pPr>
      <w:r w:rsidRPr="00E8358C">
        <w:t>Il faut signaler qu’on accorde de moins en moins d’importance à l’histoire en Haïti sous prétexte qu’elle ne sert à rien, qu’elle ne pe</w:t>
      </w:r>
      <w:r w:rsidRPr="00E8358C">
        <w:t>r</w:t>
      </w:r>
      <w:r w:rsidRPr="00E8358C">
        <w:t>met pas de prévenir les troubles sociaux et qu’au contraire, elle les nourrit. Cette critique de l’histoire est regrettable à un moment où il faut penser à faire l’histoire contemporaine de ce pays. Les travaux des historiens et des chercheurs de la Société haïtienne d’histoire, de géographie et de géologie, depuis 1923, doivent contribuer à encour</w:t>
      </w:r>
      <w:r w:rsidRPr="00E8358C">
        <w:t>a</w:t>
      </w:r>
      <w:r w:rsidRPr="00E8358C">
        <w:t>ger cette prise en charge nationale de l’histoire. Leslie Péan semble nous rejoindre dans cette réflexion en affirmant que « le drame de ce</w:t>
      </w:r>
      <w:r w:rsidRPr="00E8358C">
        <w:t>t</w:t>
      </w:r>
      <w:r w:rsidRPr="00E8358C">
        <w:t>te société est que l’avenir ne peut se concevoir sans cette dimension de la réalité qu’est l’histoire qui échappe complètement à la jeunesse d’aujourd’hui. D’où le blocage actuel du devenir »</w:t>
      </w:r>
      <w:r>
        <w:t> </w:t>
      </w:r>
      <w:r>
        <w:rPr>
          <w:rStyle w:val="Appelnotedebasdep"/>
        </w:rPr>
        <w:footnoteReference w:id="501"/>
      </w:r>
      <w:r w:rsidRPr="00E8358C">
        <w:t>.</w:t>
      </w:r>
    </w:p>
    <w:p w:rsidR="004C50DC" w:rsidRPr="00E8358C" w:rsidRDefault="004C50DC" w:rsidP="004C50DC">
      <w:pPr>
        <w:spacing w:before="120" w:after="120"/>
        <w:jc w:val="both"/>
      </w:pPr>
      <w:r w:rsidRPr="00E8358C">
        <w:t>L’ensemble de nos analyses sur l’histoire d’Haïti en rapport avec le passé colonial esclavagiste et avec son enseignement montre réell</w:t>
      </w:r>
      <w:r w:rsidRPr="00E8358C">
        <w:t>e</w:t>
      </w:r>
      <w:r w:rsidRPr="00E8358C">
        <w:t>ment, comme le soutient Michel</w:t>
      </w:r>
      <w:r>
        <w:t xml:space="preserve"> [165]</w:t>
      </w:r>
      <w:r w:rsidRPr="00E8358C">
        <w:t xml:space="preserve"> Hector, qu’il</w:t>
      </w:r>
    </w:p>
    <w:p w:rsidR="004C50DC" w:rsidRDefault="004C50DC" w:rsidP="004C50DC">
      <w:pPr>
        <w:pStyle w:val="Citation0"/>
      </w:pPr>
    </w:p>
    <w:p w:rsidR="004C50DC" w:rsidRDefault="004C50DC" w:rsidP="004C50DC">
      <w:pPr>
        <w:pStyle w:val="Citation0"/>
      </w:pPr>
      <w:r w:rsidRPr="00E8358C">
        <w:t>… reste encore bien du terrain à défricher tant dans le domaine de l’exploitation des sources que dans celui de la diversification des th</w:t>
      </w:r>
      <w:r w:rsidRPr="00E8358C">
        <w:t>è</w:t>
      </w:r>
      <w:r w:rsidRPr="00E8358C">
        <w:t>mes… pour mieux appréhender la problématique du passage d’un r</w:t>
      </w:r>
      <w:r w:rsidRPr="00E8358C">
        <w:t>é</w:t>
      </w:r>
      <w:r w:rsidRPr="00E8358C">
        <w:t>gime social à un autre, de l’esclavagisme colonial à un semi-féodalisme néoc</w:t>
      </w:r>
      <w:r w:rsidRPr="00E8358C">
        <w:t>o</w:t>
      </w:r>
      <w:r w:rsidRPr="00E8358C">
        <w:t>lonial. Ainsi seront créées de meilleures conditions pour mener à bien un autre combat, celui d’un véritable renouvell</w:t>
      </w:r>
      <w:r w:rsidRPr="00E8358C">
        <w:t>e</w:t>
      </w:r>
      <w:r w:rsidRPr="00E8358C">
        <w:t>ment et d’une réelle extension de l’enseignement de l’histoire de la société haïtienne</w:t>
      </w:r>
      <w:r>
        <w:t> </w:t>
      </w:r>
      <w:r>
        <w:rPr>
          <w:rStyle w:val="Appelnotedebasdep"/>
        </w:rPr>
        <w:footnoteReference w:id="502"/>
      </w:r>
      <w:r w:rsidRPr="00E8358C">
        <w:t>.</w:t>
      </w:r>
    </w:p>
    <w:p w:rsidR="004C50DC" w:rsidRPr="00E8358C" w:rsidRDefault="004C50DC" w:rsidP="004C50DC">
      <w:pPr>
        <w:spacing w:before="120" w:after="120"/>
        <w:jc w:val="both"/>
        <w:rPr>
          <w:szCs w:val="22"/>
        </w:rPr>
      </w:pPr>
    </w:p>
    <w:p w:rsidR="004C50DC" w:rsidRPr="00E8358C" w:rsidRDefault="004C50DC" w:rsidP="004C50DC">
      <w:pPr>
        <w:pStyle w:val="planche"/>
      </w:pPr>
      <w:bookmarkStart w:id="161" w:name="_Toc423347299"/>
      <w:bookmarkStart w:id="162" w:name="_Toc442280478"/>
      <w:bookmarkStart w:id="163" w:name="_Toc406489678"/>
      <w:bookmarkStart w:id="164" w:name="Memoire_chap_III_5"/>
      <w:r w:rsidRPr="00E8358C">
        <w:t>3.5. Travail de mémoire</w:t>
      </w:r>
      <w:r>
        <w:br/>
      </w:r>
      <w:r w:rsidRPr="00E8358C">
        <w:t>et mémoires de l’esclavage en Haïti</w:t>
      </w:r>
      <w:bookmarkEnd w:id="161"/>
      <w:bookmarkEnd w:id="162"/>
      <w:bookmarkEnd w:id="163"/>
    </w:p>
    <w:bookmarkEnd w:id="164"/>
    <w:p w:rsidR="004C50DC" w:rsidRPr="00E8358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 xml:space="preserve">Le travail de mémoire sur le passé colonial et sa transmission ne doit pas produire un </w:t>
      </w:r>
      <w:r w:rsidRPr="00E8358C">
        <w:rPr>
          <w:i/>
        </w:rPr>
        <w:t>statu quo</w:t>
      </w:r>
      <w:r w:rsidRPr="00E8358C">
        <w:t xml:space="preserve"> mémoriel, ne doit pas figer la mémoire qui se veut toujours dynamique. Anne Muxel a compris que « la transmission et la mémoire sont des opérateurs œuvrant à la constru</w:t>
      </w:r>
      <w:r w:rsidRPr="00E8358C">
        <w:t>c</w:t>
      </w:r>
      <w:r w:rsidRPr="00E8358C">
        <w:t>tion et à la définition des identités individuelles et collectives […] La transmission signe une reconnaissance et la mémoire une fidélité. La reconnaissance et la fidélité permettent d’organiser la rencontre avec l’inattendu, l’étranger, le nouveau »</w:t>
      </w:r>
      <w:r>
        <w:t> </w:t>
      </w:r>
      <w:r>
        <w:rPr>
          <w:rStyle w:val="Appelnotedebasdep"/>
        </w:rPr>
        <w:footnoteReference w:id="503"/>
      </w:r>
      <w:r w:rsidRPr="00E8358C">
        <w:t xml:space="preserve">. Une rencontre où la mémoire déterminera les conditions et s’imposera comme le fil conducteur des débats.  </w:t>
      </w:r>
    </w:p>
    <w:p w:rsidR="004C50DC" w:rsidRDefault="004C50DC" w:rsidP="004C50DC">
      <w:pPr>
        <w:spacing w:before="120" w:after="120"/>
        <w:jc w:val="both"/>
      </w:pPr>
      <w:r w:rsidRPr="00E8358C">
        <w:t>Dans les ouvrages de chercheur tels que Paul Ricœur, Tzvetan T</w:t>
      </w:r>
      <w:r w:rsidRPr="00E8358C">
        <w:t>o</w:t>
      </w:r>
      <w:r w:rsidRPr="00E8358C">
        <w:t>dorov ou Friedrich Nietzsche, on découvre des avertissements quant à la « sacralisation de la mémoire ». Friedrich Nietzsche</w:t>
      </w:r>
      <w:r>
        <w:t> </w:t>
      </w:r>
      <w:r>
        <w:rPr>
          <w:rStyle w:val="Appelnotedebasdep"/>
        </w:rPr>
        <w:footnoteReference w:id="504"/>
      </w:r>
      <w:r w:rsidRPr="00E8358C">
        <w:t xml:space="preserve"> montre que la passion exagérée pour le passé peut être fatale à la vie. Parfois, l’incapacité de se souvenir est plus avantageuse. Elle atténue certaines douleurs. Dans ce cas, l’oubli peut porter en lui une énergie de libér</w:t>
      </w:r>
      <w:r w:rsidRPr="00E8358C">
        <w:t>a</w:t>
      </w:r>
      <w:r w:rsidRPr="00E8358C">
        <w:t>tion. Évidemment, l’amnésie est aussi nuisible que l’hypermnésie. Si l’on tient compte de la sélection qu’effectue la mémoire, l’hypermnésie est aussi dangereuse en matière patrimoniale. L’amnésie et l’hypermnésie font toute la différence et montrent la v</w:t>
      </w:r>
      <w:r w:rsidRPr="00E8358C">
        <w:t>a</w:t>
      </w:r>
      <w:r w:rsidRPr="00E8358C">
        <w:t xml:space="preserve">leur de l’appropriation effective d’un site ou d’une pratique. </w:t>
      </w:r>
    </w:p>
    <w:p w:rsidR="004C50DC" w:rsidRPr="00E8358C" w:rsidRDefault="004C50DC" w:rsidP="004C50DC">
      <w:pPr>
        <w:spacing w:before="120" w:after="120"/>
        <w:jc w:val="both"/>
      </w:pPr>
      <w:r>
        <w:t>[166]</w:t>
      </w:r>
    </w:p>
    <w:p w:rsidR="004C50DC" w:rsidRPr="00E8358C" w:rsidRDefault="004C50DC" w:rsidP="004C50DC">
      <w:pPr>
        <w:spacing w:before="120" w:after="120"/>
        <w:jc w:val="both"/>
      </w:pPr>
      <w:r w:rsidRPr="00E8358C">
        <w:t>La patrimonialisation de la mémoire de l’esclavage se trouve en Haïti entre l’amnésie et l’hypermnésie. D’un côté, des Haïtiens ne veulent plus se souvenir de ce passé, du moins de son aspect victima</w:t>
      </w:r>
      <w:r w:rsidRPr="00E8358C">
        <w:t>i</w:t>
      </w:r>
      <w:r w:rsidRPr="00E8358C">
        <w:t>re ; c’est ce qui transparaît dans les orientations culturelles de l’État. De l’autre côté, il y a ceux qui croient qu’il est un facteur indispens</w:t>
      </w:r>
      <w:r w:rsidRPr="00E8358C">
        <w:t>a</w:t>
      </w:r>
      <w:r w:rsidRPr="00E8358C">
        <w:t>ble à la compréhension mutuelle, un outil de résolution de conflits. Comment les concilier ? Il faut trouver le discours médiateur. Fri</w:t>
      </w:r>
      <w:r w:rsidRPr="00E8358C">
        <w:t>e</w:t>
      </w:r>
      <w:r w:rsidRPr="00E8358C">
        <w:t>drich Nietzsche pense qu’il faut faire un « véritable tri sélectif, l’oubli doit rationaliser notre relation au passé, laissant de côté tout ce qui peut troubler la paix du moment »</w:t>
      </w:r>
      <w:r>
        <w:t> </w:t>
      </w:r>
      <w:r>
        <w:rPr>
          <w:rStyle w:val="Appelnotedebasdep"/>
        </w:rPr>
        <w:footnoteReference w:id="505"/>
      </w:r>
      <w:r w:rsidRPr="00E8358C">
        <w:t>, mais tout « abus de la mémo</w:t>
      </w:r>
      <w:r w:rsidRPr="00E8358C">
        <w:t>i</w:t>
      </w:r>
      <w:r w:rsidRPr="00E8358C">
        <w:t>re</w:t>
      </w:r>
      <w:r>
        <w:t> </w:t>
      </w:r>
      <w:r>
        <w:rPr>
          <w:rStyle w:val="Appelnotedebasdep"/>
        </w:rPr>
        <w:footnoteReference w:id="506"/>
      </w:r>
      <w:r w:rsidRPr="00E8358C">
        <w:t> » doit être évité. La « politique de la juste mémoire »</w:t>
      </w:r>
      <w:r>
        <w:t> </w:t>
      </w:r>
      <w:r>
        <w:rPr>
          <w:rStyle w:val="Appelnotedebasdep"/>
        </w:rPr>
        <w:footnoteReference w:id="507"/>
      </w:r>
      <w:r w:rsidRPr="00E8358C">
        <w:t xml:space="preserve"> est to</w:t>
      </w:r>
      <w:r w:rsidRPr="00E8358C">
        <w:t>u</w:t>
      </w:r>
      <w:r w:rsidRPr="00E8358C">
        <w:t xml:space="preserve">jours conseillée. </w:t>
      </w:r>
    </w:p>
    <w:p w:rsidR="004C50DC" w:rsidRPr="00E8358C" w:rsidRDefault="004C50DC" w:rsidP="004C50DC">
      <w:pPr>
        <w:spacing w:before="120" w:after="120"/>
        <w:jc w:val="both"/>
      </w:pPr>
      <w:r w:rsidRPr="00E8358C">
        <w:t>Un consensus mémoriel est nécessaire à la mise en patrimoine du passé colonial esclavagiste en Haïti. À l’invocation de l’esprit de fie</w:t>
      </w:r>
      <w:r w:rsidRPr="00E8358C">
        <w:t>r</w:t>
      </w:r>
      <w:r w:rsidRPr="00E8358C">
        <w:t>té de la Révolution de 1804, on doit ajouter la mémoire des faits qui l’ont produit. Aujourd’hui, la classe paysanne appauvrie et les hab</w:t>
      </w:r>
      <w:r w:rsidRPr="00E8358C">
        <w:t>i</w:t>
      </w:r>
      <w:r w:rsidRPr="00E8358C">
        <w:t>tants des « quartiers populaires » revendiquent la reconnaissance de leurs droits. Ils rêvent de la satisfaction de leurs besoins fondame</w:t>
      </w:r>
      <w:r w:rsidRPr="00E8358C">
        <w:t>n</w:t>
      </w:r>
      <w:r w:rsidRPr="00E8358C">
        <w:t>taux, des conditions nécessaires de l’existence humaine</w:t>
      </w:r>
      <w:r w:rsidRPr="00E8358C">
        <w:rPr>
          <w:shd w:val="clear" w:color="auto" w:fill="FFFFFF"/>
        </w:rPr>
        <w:t>.</w:t>
      </w:r>
      <w:r w:rsidRPr="00E8358C">
        <w:t xml:space="preserve"> Le mépris des dirigeants suscite souvent l’ire de la population qui brandit à ch</w:t>
      </w:r>
      <w:r w:rsidRPr="00E8358C">
        <w:t>a</w:t>
      </w:r>
      <w:r w:rsidRPr="00E8358C">
        <w:t>que fois la mémoire de l’esclavage. N’est-il pas vrai que la persév</w:t>
      </w:r>
      <w:r w:rsidRPr="00E8358C">
        <w:t>é</w:t>
      </w:r>
      <w:r w:rsidRPr="00E8358C">
        <w:t xml:space="preserve">rance est souvent une qualité, mais parfois un déclencheur de révolte ou d’escalade de la violence ? </w:t>
      </w:r>
    </w:p>
    <w:p w:rsidR="004C50DC" w:rsidRPr="00E8358C" w:rsidRDefault="004C50DC" w:rsidP="004C50DC">
      <w:pPr>
        <w:spacing w:before="120" w:after="120"/>
        <w:jc w:val="both"/>
      </w:pPr>
      <w:r w:rsidRPr="00E8358C">
        <w:t xml:space="preserve">La société haïtienne s’approprie le passé esclavagiste comme une obsession angoissante de la liberté. Bien qu’elle ait un manque de connaissances historiques, elle mémorise des personnages héroïques, des lieux et des événements en lien avec la libération nationale. Elle est accrochée aux souvenirs des figures libératrices de l’esclavage, comme Jean-Jacques Dessalines, Henri Christophe, François Capois, Alexandre Pétion. Elle saisit inconsciemment le passé, même si elle ne le maîtrise pas. Cette société ne saurait oublier son passé, si elle veut bâtir une société équitable tournée vers un avenir consolidé par la mémoire. </w:t>
      </w:r>
      <w:r w:rsidRPr="00E8358C">
        <w:rPr>
          <w:bCs/>
        </w:rPr>
        <w:t>Christine Chivallon</w:t>
      </w:r>
      <w:r w:rsidRPr="00E8358C">
        <w:t xml:space="preserve"> essaie de nous faire comprendre que la mémoire, entre autres celle de l’esclavage, est un moyen de construire l’identité d’une communauté et ceci</w:t>
      </w:r>
      <w:r>
        <w:t xml:space="preserve"> [167]</w:t>
      </w:r>
      <w:r w:rsidRPr="00E8358C">
        <w:t xml:space="preserve"> suivant sa conscience co</w:t>
      </w:r>
      <w:r w:rsidRPr="00E8358C">
        <w:t>l</w:t>
      </w:r>
      <w:r w:rsidRPr="00E8358C">
        <w:t>lective du passé</w:t>
      </w:r>
      <w:r>
        <w:t> </w:t>
      </w:r>
      <w:r>
        <w:rPr>
          <w:rStyle w:val="Appelnotedebasdep"/>
        </w:rPr>
        <w:footnoteReference w:id="508"/>
      </w:r>
      <w:r w:rsidRPr="00E8358C">
        <w:t>. Les souvenirs douloureux, autant que ceux qui font sa joie, sont nécessaires à la construction d’une société cimentée par son identité. Dans ce cas, les récits, la littérature, les publications, la poésie, l’art, la musique, les archives, les peintures, les expos</w:t>
      </w:r>
      <w:r w:rsidRPr="00E8358C">
        <w:t>i</w:t>
      </w:r>
      <w:r w:rsidRPr="00E8358C">
        <w:t xml:space="preserve">tions… et surtout la conscience mémorielle doivent être les piliers de la transmission et des commémorations pour pérenniser les mémoires. </w:t>
      </w:r>
    </w:p>
    <w:p w:rsidR="004C50DC" w:rsidRPr="00E8358C" w:rsidRDefault="004C50DC" w:rsidP="004C50DC">
      <w:pPr>
        <w:spacing w:before="120" w:after="120"/>
        <w:jc w:val="both"/>
      </w:pPr>
      <w:r w:rsidRPr="00E8358C">
        <w:t>Le travail de mémoire révèle l’attachement et la valeur qu’une communauté accorde à son passé. L’histoire doit lui donner du sens pour qu’elle la nourrisse et la rassure en retour. Est-ce qu’on tient to</w:t>
      </w:r>
      <w:r w:rsidRPr="00E8358C">
        <w:t>u</w:t>
      </w:r>
      <w:r w:rsidRPr="00E8358C">
        <w:t>jours compte de cette réalité en Haïti ? Le devoir de mémoire est-il une priorité ? L’on ne peut se fier seulement aux traces matérielles du passé pour s’assurer d’une transmission de mémoire. La dimension symbolique aujourd’hui est aussi indispensable pour saisir la charge mémorielle que supporte le matériel. Par exemple, les vestiges des habitations coloniales et des fortifications charrient les stigmates de l’esclavage en Haïti. Ils permettent de se souvenir du passé colonial. La</w:t>
      </w:r>
      <w:r w:rsidRPr="00E8358C">
        <w:rPr>
          <w:iCs/>
        </w:rPr>
        <w:t xml:space="preserve"> volonté de se souvenir doit proscrire le silence, l’oubli, l’amnésie, en facilitant la remémoration et en alimentant </w:t>
      </w:r>
      <w:r w:rsidRPr="00E8358C">
        <w:t>les charges émotionne</w:t>
      </w:r>
      <w:r w:rsidRPr="00E8358C">
        <w:t>l</w:t>
      </w:r>
      <w:r w:rsidRPr="00E8358C">
        <w:t xml:space="preserve">les. </w:t>
      </w:r>
    </w:p>
    <w:p w:rsidR="004C50DC" w:rsidRDefault="004C50DC" w:rsidP="004C50DC">
      <w:pPr>
        <w:spacing w:before="120" w:after="120"/>
        <w:jc w:val="both"/>
      </w:pPr>
      <w:bookmarkStart w:id="165" w:name="_Toc423347300"/>
      <w:bookmarkStart w:id="166" w:name="_Toc442280479"/>
      <w:bookmarkStart w:id="167" w:name="_Toc406489679"/>
    </w:p>
    <w:p w:rsidR="004C50DC" w:rsidRPr="00E8358C" w:rsidRDefault="004C50DC" w:rsidP="004C50DC">
      <w:pPr>
        <w:pStyle w:val="a"/>
      </w:pPr>
      <w:r w:rsidRPr="00E8358C">
        <w:t xml:space="preserve">3.5.1. Présentation analytique </w:t>
      </w:r>
      <w:r>
        <w:br/>
      </w:r>
      <w:r w:rsidRPr="00E8358C">
        <w:t>de la transmission des mémoires</w:t>
      </w:r>
      <w:bookmarkEnd w:id="165"/>
      <w:bookmarkEnd w:id="166"/>
      <w:bookmarkEnd w:id="167"/>
    </w:p>
    <w:p w:rsidR="004C50DC" w:rsidRDefault="004C50DC" w:rsidP="004C50DC">
      <w:pPr>
        <w:spacing w:before="120" w:after="120"/>
        <w:jc w:val="both"/>
      </w:pPr>
    </w:p>
    <w:p w:rsidR="004C50DC" w:rsidRPr="00E8358C" w:rsidRDefault="004C50DC" w:rsidP="004C50DC">
      <w:pPr>
        <w:spacing w:before="120" w:after="120"/>
        <w:jc w:val="both"/>
      </w:pPr>
      <w:r w:rsidRPr="00E8358C">
        <w:t>La transmission des mémoires constitue un axe capital dans la p</w:t>
      </w:r>
      <w:r w:rsidRPr="00E8358C">
        <w:t>a</w:t>
      </w:r>
      <w:r w:rsidRPr="00E8358C">
        <w:t>trimonialisation. Dans l’analyse des politiques culturelles, il est to</w:t>
      </w:r>
      <w:r w:rsidRPr="00E8358C">
        <w:t>u</w:t>
      </w:r>
      <w:r w:rsidRPr="00E8358C">
        <w:t>jours nécessaire de chercher à comprendre et à déterminer la place accordée à la transmission pour déceler l’intérêt des autorités pour la sauvegarde du patrimoine. De la construction de musée jusqu’à l’éducation patrimoniale et les campagnes d’information, plusieurs modes de transmission peuvent être considérés. En Haïti, les plus r</w:t>
      </w:r>
      <w:r w:rsidRPr="00E8358C">
        <w:t>é</w:t>
      </w:r>
      <w:r w:rsidRPr="00E8358C">
        <w:t>pandus sont la musique, l’artisanat, la littérature, l’histoire, l’oralité et surtout l’apprentissage par observation. Nos constats de la société ha</w:t>
      </w:r>
      <w:r w:rsidRPr="00E8358C">
        <w:t>ï</w:t>
      </w:r>
      <w:r w:rsidRPr="00E8358C">
        <w:t xml:space="preserve">tienne durant les trois dernières décennies brossent le tableau d’un pays en perte de mémoire ou d’un pays affecté par un manque d’intérêt pour le patrimoine. </w:t>
      </w:r>
    </w:p>
    <w:p w:rsidR="004C50DC" w:rsidRPr="00E8358C" w:rsidRDefault="004C50DC" w:rsidP="004C50DC">
      <w:pPr>
        <w:spacing w:before="120" w:after="120"/>
        <w:jc w:val="both"/>
      </w:pPr>
      <w:r w:rsidRPr="00E8358C">
        <w:t>De plus en plus, les familles perdent les habitudes de transmission de la mémoire assurées</w:t>
      </w:r>
      <w:r>
        <w:t xml:space="preserve"> [168]</w:t>
      </w:r>
      <w:r w:rsidRPr="00E8358C">
        <w:t xml:space="preserve"> par les anciens. Le désintéressement des citoyens, les problèmes économiques, la marginalisation de la culture haïtienne dans les programmes politiques, l’invasion des cultures étrangères sont autant de facteurs explicatifs d’une dévalorisation a</w:t>
      </w:r>
      <w:r w:rsidRPr="00E8358C">
        <w:t>c</w:t>
      </w:r>
      <w:r w:rsidRPr="00E8358C">
        <w:t>célérée du  patrimoine culturel haïtien et d’une survalorisation des cultures étrangères. Les institutions culturelles publiques ne s’accordent pas non plus sur les modes de transmission du patrimoine culturel haïtien. Depuis plus d’un an, l’Institut de sauvegarde du p</w:t>
      </w:r>
      <w:r w:rsidRPr="00E8358C">
        <w:t>a</w:t>
      </w:r>
      <w:r w:rsidRPr="00E8358C">
        <w:t xml:space="preserve">trimoine national (ISPAN) a cessé de publier son </w:t>
      </w:r>
      <w:r w:rsidRPr="00E8358C">
        <w:rPr>
          <w:i/>
        </w:rPr>
        <w:t>Bulletin</w:t>
      </w:r>
      <w:r w:rsidRPr="00E8358C">
        <w:t xml:space="preserve"> qui faisait une place à la mise en valeur du patrimoine national, surtout matériel. La revue du Bureau national d’ethnologie n’est plus publiée de mani</w:t>
      </w:r>
      <w:r w:rsidRPr="00E8358C">
        <w:t>è</w:t>
      </w:r>
      <w:r w:rsidRPr="00E8358C">
        <w:t>re régulière. Les organismes privés comme la Société haïtienne d’histoire, de géographie et de géologie, les cercles de lecture et d’écriture, et les centres culturels semblent ne pas trouver la recette pour attirerles jeunes. Les universités haïtiennes, confrontées à des problèmes de financement, encouragent peu les recherches sur les mémoires en Haïti et leur diffusion en tant que patrimoine. Blanco, ce participant avec lequel nous nous sommes entretenus au précédent point, ne tourne pas autour du pot.</w:t>
      </w:r>
    </w:p>
    <w:p w:rsidR="004C50DC" w:rsidRDefault="004C50DC" w:rsidP="004C50DC">
      <w:pPr>
        <w:pStyle w:val="Citation0"/>
      </w:pPr>
    </w:p>
    <w:p w:rsidR="004C50DC" w:rsidRPr="00E8358C" w:rsidRDefault="004C50DC" w:rsidP="004C50DC">
      <w:pPr>
        <w:pStyle w:val="Citation0"/>
      </w:pPr>
      <w:r w:rsidRPr="00E8358C">
        <w:t>L’Haïtien ne recourt plus à sa mémoire qui fait sa grandeur. Il préfère o</w:t>
      </w:r>
      <w:r w:rsidRPr="00E8358C">
        <w:t>u</w:t>
      </w:r>
      <w:r w:rsidRPr="00E8358C">
        <w:t>blier pour gagner son pain. Il devient insouciant. Les échanges enrichi</w:t>
      </w:r>
      <w:r w:rsidRPr="00E8358C">
        <w:t>s</w:t>
      </w:r>
      <w:r w:rsidRPr="00E8358C">
        <w:t xml:space="preserve">sants d’autrefois sur les valeurs identitaires entre les habitants font place, aujourd’hui, au simple besoin de se nourrir. </w:t>
      </w:r>
    </w:p>
    <w:p w:rsidR="004C50DC" w:rsidRDefault="004C50DC" w:rsidP="004C50DC">
      <w:pPr>
        <w:pStyle w:val="Citation0c"/>
      </w:pPr>
      <w:r w:rsidRPr="00E8358C">
        <w:t>(Blanco, entrevue, 22 juillet 2013)</w:t>
      </w:r>
    </w:p>
    <w:p w:rsidR="004C50DC" w:rsidRPr="00E8358C" w:rsidRDefault="004C50DC" w:rsidP="004C50DC">
      <w:pPr>
        <w:pStyle w:val="Citation0"/>
      </w:pPr>
    </w:p>
    <w:p w:rsidR="004C50DC" w:rsidRPr="00E8358C" w:rsidRDefault="004C50DC" w:rsidP="004C50DC">
      <w:pPr>
        <w:spacing w:before="120" w:after="120"/>
        <w:jc w:val="both"/>
      </w:pPr>
      <w:r w:rsidRPr="00E8358C">
        <w:t>Dans cette situation, le patrimoine mémoriel de l’esclavage est menacé de disparaître de la mémoire collective haïtienne. Pourtant, dans les discours politiques revient toujours cette phrase : « patrimwan nou se sèl fòs ki ka pèmèt nou idantifye ki kote nou sòti, ki kote nou ye e ki kote nou vle ale » [« Notre patrimoine est la seule force qui nous permet de nous identifier, de nous évaluer aujourd’hui et de définir notre lendemain ».] Ce qui revient à dire que la dégrad</w:t>
      </w:r>
      <w:r w:rsidRPr="00E8358C">
        <w:t>a</w:t>
      </w:r>
      <w:r w:rsidRPr="00E8358C">
        <w:t xml:space="preserve">tion du patrimoine culturel haïtien entraînera la perte des valeurs de l’identité du peuple. </w:t>
      </w:r>
    </w:p>
    <w:p w:rsidR="004C50DC" w:rsidRPr="00E8358C" w:rsidRDefault="004C50DC" w:rsidP="004C50DC">
      <w:pPr>
        <w:spacing w:before="120" w:after="120"/>
        <w:jc w:val="both"/>
      </w:pPr>
      <w:r w:rsidRPr="00E8358C">
        <w:t>Les ressources patrimoniales matérielles et immatérielles en ra</w:t>
      </w:r>
      <w:r w:rsidRPr="00E8358C">
        <w:t>p</w:t>
      </w:r>
      <w:r w:rsidRPr="00E8358C">
        <w:t xml:space="preserve">port avec le passé colonial esclavagiste d’Haïti sont dans une phase aiguë d’altération. Un risque élevé de ce dépérissement est à signaler à l’heure d’un constat alarmant sur l’état des sites historiques et sur le recul de la participation culturelle, en raison des préoccupations liées à la pauvreté de certaines familles haïtiennes. C’est toute l’âme d’un peuple qui est menacée.  Le pilier </w:t>
      </w:r>
      <w:r>
        <w:t xml:space="preserve">[169] </w:t>
      </w:r>
      <w:r w:rsidRPr="00E8358C">
        <w:t xml:space="preserve">du « vivre ensemble » haïtien est aussi en péril. Le défi est de taille. N’est-il pas nécessaire d’agir pour préserver la composante culturelle du passé colonial dans une perspective d’affirmation identitaire, d’intégration et d’ouverture à d’autres peuples ? Le patrimoine inventorié est essentiel dans ce cadre normatif culturel qui favorise la sauvegarde, la transmission et la mise en valeur. Les </w:t>
      </w:r>
      <w:r w:rsidRPr="00E8358C">
        <w:rPr>
          <w:iCs/>
        </w:rPr>
        <w:t xml:space="preserve">revues spécialisées, les documentaires, les expositions dans les musées, les </w:t>
      </w:r>
      <w:r w:rsidRPr="00E8358C">
        <w:t>commémorations, les journées mémorielles sont autant d’outils indispensables pour y arriver.</w:t>
      </w:r>
    </w:p>
    <w:p w:rsidR="004C50DC" w:rsidRPr="00E8358C" w:rsidRDefault="004C50DC" w:rsidP="004C50DC">
      <w:pPr>
        <w:spacing w:before="120" w:after="120"/>
        <w:jc w:val="both"/>
        <w:rPr>
          <w:strike/>
        </w:rPr>
      </w:pPr>
      <w:r w:rsidRPr="00E8358C">
        <w:t>L’étude de l’esclavagisme à Saint-Domingue doit permettre de comprendre aujourd’hui les prémices et les entraves de la construction de l’État nation haïtien. Certes, l’amnésie est un élément incontourn</w:t>
      </w:r>
      <w:r w:rsidRPr="00E8358C">
        <w:t>a</w:t>
      </w:r>
      <w:r w:rsidRPr="00E8358C">
        <w:t>ble du système esclavagiste. On a appris à l’esclave à devenir amnés</w:t>
      </w:r>
      <w:r w:rsidRPr="00E8358C">
        <w:t>i</w:t>
      </w:r>
      <w:r w:rsidRPr="00E8358C">
        <w:t>que. Renoncer à sa religion et à sa culture était aussi essentiel à la condition d’esclave. Il s’oubliait pour ne se rappeler que des tâches à effectuer. L’assimilation parfois forcée des codes culturels européens était alors une échappatoire de survie. Même libres après le 18 n</w:t>
      </w:r>
      <w:r w:rsidRPr="00E8358C">
        <w:t>o</w:t>
      </w:r>
      <w:r w:rsidRPr="00E8358C">
        <w:t>vembre 1803, les anciens esclaves avaient eu du mal à se construire une identité en dehors du modèle colonialiste. C’est l’attitude d’une victime qui n’aurait pas de réactions personnelles. Nous pouvons c</w:t>
      </w:r>
      <w:r w:rsidRPr="00E8358C">
        <w:t>i</w:t>
      </w:r>
      <w:r w:rsidRPr="00E8358C">
        <w:t>ter, entre autres, le système politique et social instauré à partir de 1804 maintenant la masse paysanne dans un état de dépendance et l’attachant essentiellement à la terre ; l’adoption par les élites dir</w:t>
      </w:r>
      <w:r w:rsidRPr="00E8358C">
        <w:t>i</w:t>
      </w:r>
      <w:r w:rsidRPr="00E8358C">
        <w:t>geantes de la culture européenne considérée comme la seule légitime durant tout le XIX</w:t>
      </w:r>
      <w:r w:rsidRPr="00E8358C">
        <w:rPr>
          <w:vertAlign w:val="superscript"/>
        </w:rPr>
        <w:t>e</w:t>
      </w:r>
      <w:r w:rsidRPr="00E8358C">
        <w:t xml:space="preserve"> siècle jusqu’à l’apparition du mouvement indig</w:t>
      </w:r>
      <w:r w:rsidRPr="00E8358C">
        <w:t>é</w:t>
      </w:r>
      <w:r w:rsidRPr="00E8358C">
        <w:t>niste contre l’occupation américaine (1915-1934) qui porte les inte</w:t>
      </w:r>
      <w:r w:rsidRPr="00E8358C">
        <w:t>l</w:t>
      </w:r>
      <w:r w:rsidRPr="00E8358C">
        <w:t>lectuels à se tourner davantage vers l’Afrique ; et la prédominance de la langue française officiellement admise dans les sphères administr</w:t>
      </w:r>
      <w:r w:rsidRPr="00E8358C">
        <w:t>a</w:t>
      </w:r>
      <w:r w:rsidRPr="00E8358C">
        <w:t>tives et sociales au détriment du créole parlé et compris par la majorité des Haïtiens. Ce modèle politique et social construit sur la base du colonialisme laisse encore apparaître des cicatrices dans le tissu ide</w:t>
      </w:r>
      <w:r w:rsidRPr="00E8358C">
        <w:t>n</w:t>
      </w:r>
      <w:r w:rsidRPr="00E8358C">
        <w:t>titaire et comportemental du peuple haïtien aujourd’hui. Il est impér</w:t>
      </w:r>
      <w:r w:rsidRPr="00E8358C">
        <w:t>a</w:t>
      </w:r>
      <w:r w:rsidRPr="00E8358C">
        <w:t xml:space="preserve">tif de mettre au point une stratégie de transmission des pratiques culturelles haïtiennes et de développer une conscientisation accélérée sur la fuite et la vulnérabilité des mémoires de l’esclavage. </w:t>
      </w:r>
    </w:p>
    <w:p w:rsidR="004C50DC" w:rsidRPr="00E8358C" w:rsidRDefault="004C50DC" w:rsidP="004C50DC">
      <w:pPr>
        <w:spacing w:before="120" w:after="120"/>
        <w:jc w:val="both"/>
      </w:pPr>
    </w:p>
    <w:p w:rsidR="004C50DC" w:rsidRPr="00E8358C" w:rsidRDefault="004C50DC" w:rsidP="004C50DC">
      <w:pPr>
        <w:pStyle w:val="p"/>
      </w:pPr>
      <w:bookmarkStart w:id="168" w:name="_Toc406489682"/>
      <w:bookmarkStart w:id="169" w:name="_Toc423347301"/>
      <w:r w:rsidRPr="00E8358C">
        <w:br w:type="page"/>
      </w:r>
      <w:bookmarkStart w:id="170" w:name="_Toc442280480"/>
      <w:r w:rsidRPr="00E8358C">
        <w:t>[170]</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171" w:name="Memoire_chap_IV"/>
      <w:r w:rsidRPr="00EF76C4">
        <w:rPr>
          <w:b/>
          <w:sz w:val="24"/>
        </w:rPr>
        <w:t>Mémoire de l’esclavage en Haïti.</w:t>
      </w:r>
    </w:p>
    <w:p w:rsidR="004C50DC" w:rsidRDefault="004C50DC" w:rsidP="004C50DC">
      <w:pPr>
        <w:pStyle w:val="Titreniveau1"/>
        <w:rPr>
          <w:szCs w:val="36"/>
        </w:rPr>
      </w:pPr>
      <w:r>
        <w:rPr>
          <w:szCs w:val="36"/>
        </w:rPr>
        <w:t>Chapitre IV</w:t>
      </w:r>
    </w:p>
    <w:p w:rsidR="004C50DC" w:rsidRPr="001F21A7" w:rsidRDefault="004C50DC" w:rsidP="004C50DC">
      <w:pPr>
        <w:pStyle w:val="Titreniveau2"/>
      </w:pPr>
      <w:r>
        <w:t>Usages sociaux des mémoires</w:t>
      </w:r>
      <w:r>
        <w:br/>
      </w:r>
      <w:r w:rsidRPr="00DB24FF">
        <w:t>de l’esclavage en Haïti</w:t>
      </w:r>
    </w:p>
    <w:bookmarkEnd w:id="171"/>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168"/>
    <w:bookmarkEnd w:id="169"/>
    <w:bookmarkEnd w:id="170"/>
    <w:p w:rsidR="004C50DC" w:rsidRPr="00E8358C" w:rsidRDefault="004C50DC" w:rsidP="004C50DC">
      <w:pPr>
        <w:spacing w:before="120" w:after="120"/>
        <w:jc w:val="both"/>
      </w:pPr>
      <w:r w:rsidRPr="00E8358C">
        <w:t>Le discours mémoriel sur l’esclavage en Haïti est souvent une construction du passé servant à des fins politiques et partisanes. Il ne permet pas de réfléchir aux affects et aux conséquences sociales, e</w:t>
      </w:r>
      <w:r w:rsidRPr="00E8358C">
        <w:t>n</w:t>
      </w:r>
      <w:r w:rsidRPr="00E8358C">
        <w:t>core moins à l’avenir des descendants d’esclave. Depuis la dernière décennie du XX</w:t>
      </w:r>
      <w:r w:rsidRPr="00E8358C">
        <w:rPr>
          <w:vertAlign w:val="superscript"/>
        </w:rPr>
        <w:t>e</w:t>
      </w:r>
      <w:r w:rsidRPr="00E8358C">
        <w:t xml:space="preserve"> siècle, l’approche officielle de la mémoire de l’esclavage a été remise en question. Les citoyens constatent l’échec des élites dirigeantes qui n’arrivent pas à instaurer un système polit</w:t>
      </w:r>
      <w:r w:rsidRPr="00E8358C">
        <w:t>i</w:t>
      </w:r>
      <w:r w:rsidRPr="00E8358C">
        <w:t xml:space="preserve">que et social qui puisse répondre à l’idéal de la révolution d’indépendance haïtienne. Elles n’arrivent pas à rassembler tous les Haïtiens autour d’un discours mémoriel national sur l’esclavage, car elles cherchent trop à justifier leurs intérêts de clan et de parti dans les débats. Par conséquent, en voulant trop instrumentaliser les mémoires, ces élites arrivent à réveiller inconsciemment les citoyens qui exigent un changement dans les rapports du social avec le passé. La société haïtienne est en quête perpétuelle d’un nouveau discours mémoriel. </w:t>
      </w:r>
    </w:p>
    <w:p w:rsidR="004C50DC" w:rsidRPr="00E8358C" w:rsidRDefault="004C50DC" w:rsidP="004C50DC">
      <w:pPr>
        <w:spacing w:before="120" w:after="120"/>
        <w:jc w:val="both"/>
      </w:pPr>
      <w:r w:rsidRPr="00E8358C">
        <w:t>En analysant les textes des écrivains et des poètes haïtiens des XIX</w:t>
      </w:r>
      <w:r w:rsidRPr="00E8358C">
        <w:rPr>
          <w:vertAlign w:val="superscript"/>
        </w:rPr>
        <w:t>e</w:t>
      </w:r>
      <w:r w:rsidRPr="00E8358C">
        <w:t xml:space="preserve"> et XX</w:t>
      </w:r>
      <w:r w:rsidRPr="00E8358C">
        <w:rPr>
          <w:vertAlign w:val="superscript"/>
        </w:rPr>
        <w:t>e</w:t>
      </w:r>
      <w:r w:rsidRPr="00E8358C">
        <w:t xml:space="preserve"> siècles, nous avons l’impression de regarder les mémo</w:t>
      </w:r>
      <w:r w:rsidRPr="00E8358C">
        <w:t>i</w:t>
      </w:r>
      <w:r w:rsidRPr="00E8358C">
        <w:t>res de l’esclavage sous les seuls angles des luttes perpétuelles et des souvenirs douloureux. Les auteurs ne mettent pas trop en lumière ce qui marque les esprits aujourd’hui : les conséquences sociales du pa</w:t>
      </w:r>
      <w:r w:rsidRPr="00E8358C">
        <w:t>s</w:t>
      </w:r>
      <w:r w:rsidRPr="00E8358C">
        <w:t>sé colonial. Dans le programme de littérature présenté au secondaire par le ministère haïtien de l’Éducation nationale, ces poètes et écr</w:t>
      </w:r>
      <w:r w:rsidRPr="00E8358C">
        <w:t>i</w:t>
      </w:r>
      <w:r w:rsidRPr="00E8358C">
        <w:t>vains font partie des auteurs à étudier, mais la pédagogie de transmi</w:t>
      </w:r>
      <w:r w:rsidRPr="00E8358C">
        <w:t>s</w:t>
      </w:r>
      <w:r w:rsidRPr="00E8358C">
        <w:t>sion des connaissances ne facilite pas la compréhension des élèves, ceux-ci ne cherchant qu’à mémoriser les textes des auteurs étudiés dans l’obligation de passer leurs examens plutôt qu’à s’intéresser rée</w:t>
      </w:r>
      <w:r w:rsidRPr="00E8358C">
        <w:t>l</w:t>
      </w:r>
      <w:r w:rsidRPr="00E8358C">
        <w:t xml:space="preserve">lement à ces témoignages mémoriels qui les concernent. En plus, les choix de certains enseignants parmi les auteurs du programme ont eu aussi des incidences sur l’incapacité de plus en plus manifeste des élèves à saisir les nuances contextuelles des approches des auteurs sur les mémoires de l’esclavage en Haïti. </w:t>
      </w:r>
    </w:p>
    <w:p w:rsidR="004C50DC" w:rsidRDefault="004C50DC" w:rsidP="004C50DC">
      <w:pPr>
        <w:spacing w:before="120" w:after="120"/>
        <w:jc w:val="both"/>
      </w:pPr>
      <w:r w:rsidRPr="00E8358C">
        <w:t>Dans l’espace public, c’est surtout l’image culpabilisant le colon</w:t>
      </w:r>
      <w:r w:rsidRPr="00E8358C">
        <w:t>i</w:t>
      </w:r>
      <w:r w:rsidRPr="00E8358C">
        <w:t>sateur qui est représentée, dans une tentative de défendre une cohésion sociale autour des objets et des monuments</w:t>
      </w:r>
      <w:r>
        <w:t xml:space="preserve"> [171]</w:t>
      </w:r>
      <w:r w:rsidRPr="00E8358C">
        <w:t xml:space="preserve"> qui caractérisent les mémoires de l’esclave. Par ailleurs, le discours mémoriel politisé  met l’accent sur la question de couleur, ce qui ne permet pas de dévelo</w:t>
      </w:r>
      <w:r w:rsidRPr="00E8358C">
        <w:t>p</w:t>
      </w:r>
      <w:r w:rsidRPr="00E8358C">
        <w:t>per un climat de « vivre ensemble » entre les Haïtiens. Ce chapitre se penche sur les usages sociaux que les Haïtiens font des mémoires de l’esclavage pour une meilleure compréhension des enjeux de la patr</w:t>
      </w:r>
      <w:r w:rsidRPr="00E8358C">
        <w:t>i</w:t>
      </w:r>
      <w:r w:rsidRPr="00E8358C">
        <w:t>monialisation.</w:t>
      </w:r>
    </w:p>
    <w:p w:rsidR="004C50DC" w:rsidRPr="00E8358C" w:rsidRDefault="004C50DC" w:rsidP="004C50DC">
      <w:pPr>
        <w:spacing w:before="120" w:after="120"/>
        <w:jc w:val="both"/>
      </w:pPr>
    </w:p>
    <w:p w:rsidR="004C50DC" w:rsidRPr="00E8358C" w:rsidRDefault="004C50DC" w:rsidP="004C50DC">
      <w:pPr>
        <w:pStyle w:val="planche"/>
      </w:pPr>
      <w:bookmarkStart w:id="172" w:name="_Toc406489684"/>
      <w:bookmarkStart w:id="173" w:name="_Toc423347303"/>
      <w:bookmarkStart w:id="174" w:name="_Toc442280482"/>
      <w:bookmarkStart w:id="175" w:name="Memoire_chap_IV_1"/>
      <w:r w:rsidRPr="00E8358C">
        <w:t>4.1. La mémoire de l’esclavage</w:t>
      </w:r>
      <w:r>
        <w:br/>
      </w:r>
      <w:r w:rsidRPr="00E8358C">
        <w:t>dans la littérature ha</w:t>
      </w:r>
      <w:r w:rsidRPr="00E8358C">
        <w:t>ï</w:t>
      </w:r>
      <w:r w:rsidRPr="00E8358C">
        <w:t>tienne</w:t>
      </w:r>
      <w:bookmarkEnd w:id="172"/>
      <w:bookmarkEnd w:id="173"/>
      <w:bookmarkEnd w:id="174"/>
    </w:p>
    <w:bookmarkEnd w:id="175"/>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L’appartenance à la littérature nationale d’un pays ne relève pas simplement de la qualité du style de l’écrivain, mais aussi des langues et des langages (signes) employés qui sont compréhensibles par la communauté. Il faut prendre en compte, dans l’histoire littéraire, l’enseignement de la littérature. Pour reprendre la phrase de Roland Barthes : « la littérature, c’est ce qui s’enseigne, un point c’est tout »</w:t>
      </w:r>
      <w:r>
        <w:t> </w:t>
      </w:r>
      <w:r>
        <w:rPr>
          <w:rStyle w:val="Appelnotedebasdep"/>
        </w:rPr>
        <w:footnoteReference w:id="509"/>
      </w:r>
      <w:r w:rsidRPr="00E8358C">
        <w:t>. Donc, il n’y a de littérature que ce qui est enseigné comme littérature. Cet enseignement découle de la conception que la société se fait de l’auteur. Si l’auteur n’est pas enseigné dans les salles de classe, il ne peut être considéré comme un littéraire, indépendamment de ses considérations intellectuelles et de ses écrits. Dans ce contexte, le pr</w:t>
      </w:r>
      <w:r w:rsidRPr="00E8358C">
        <w:t>o</w:t>
      </w:r>
      <w:r w:rsidRPr="00E8358C">
        <w:t>fesseur ne peut pas enseigner les auteurs qu’il veut. L’écrivain ne sa</w:t>
      </w:r>
      <w:r w:rsidRPr="00E8358C">
        <w:t>u</w:t>
      </w:r>
      <w:r w:rsidRPr="00E8358C">
        <w:t>rait exercer non plus des contraintes pour se faire accepter comme li</w:t>
      </w:r>
      <w:r w:rsidRPr="00E8358C">
        <w:t>t</w:t>
      </w:r>
      <w:r w:rsidRPr="00E8358C">
        <w:t xml:space="preserve">téraire. </w:t>
      </w:r>
    </w:p>
    <w:p w:rsidR="004C50DC" w:rsidRPr="00E8358C" w:rsidRDefault="004C50DC" w:rsidP="004C50DC">
      <w:pPr>
        <w:spacing w:before="120" w:after="120"/>
        <w:jc w:val="both"/>
      </w:pPr>
      <w:r w:rsidRPr="00E8358C">
        <w:t>Après la conquête de l’indépendance, les écoles littéraires durant le XIX</w:t>
      </w:r>
      <w:r w:rsidRPr="00E8358C">
        <w:rPr>
          <w:vertAlign w:val="superscript"/>
        </w:rPr>
        <w:t>e</w:t>
      </w:r>
      <w:r w:rsidRPr="00E8358C">
        <w:t xml:space="preserve"> siècle ont voulu faire de l’acquisition des connaissances une source de libération. Les écrivains et les poètes  chantaient l’exploit des héros et le nationalisme dans leurs écrits qu’ils présentaient co</w:t>
      </w:r>
      <w:r w:rsidRPr="00E8358C">
        <w:t>m</w:t>
      </w:r>
      <w:r w:rsidRPr="00E8358C">
        <w:t>me un plaidoyer pour la Nation. Toute cette période est marquée par un idéal mémoriel nationaliste. Les œuvres littéraires n’étaient pas destinées à un marché. Elles étaient inscrites d’abord dans une per</w:t>
      </w:r>
      <w:r w:rsidRPr="00E8358C">
        <w:t>s</w:t>
      </w:r>
      <w:r w:rsidRPr="00E8358C">
        <w:t xml:space="preserve">pective d’éduquer le peuple ; mais elles servaient aussi à protéger et à étendre les intérêts de classe ou de parti des auteurs. </w:t>
      </w:r>
    </w:p>
    <w:p w:rsidR="004C50DC" w:rsidRPr="00E8358C" w:rsidRDefault="004C50DC" w:rsidP="004C50DC">
      <w:pPr>
        <w:spacing w:before="120" w:after="120"/>
        <w:jc w:val="both"/>
      </w:pPr>
      <w:r w:rsidRPr="00E8358C">
        <w:t>Haïti était devenue l’avocate de cette liberté que devait recouvrer la race noire en général.  Boisrond-Tonnerre, considéré comme le premier de ces écrivains de la génération de 1804,</w:t>
      </w:r>
      <w:r>
        <w:t xml:space="preserve"> [172]</w:t>
      </w:r>
      <w:r w:rsidRPr="00E8358C">
        <w:t xml:space="preserve"> dans ses écrits tenait à cette idée de liberté et de défense de la race noire face à la menace d’un retour probable des troupes coloniales françaises. Des éléments d’un discours « anti-colonisation » et d’un discours qui d</w:t>
      </w:r>
      <w:r w:rsidRPr="00E8358C">
        <w:t>é</w:t>
      </w:r>
      <w:r w:rsidRPr="00E8358C">
        <w:t xml:space="preserve">nonçait les atrocités des Blancs et les souffrances des esclaves dans les plantations peuvent être repérés dans le texte suivant : </w:t>
      </w:r>
    </w:p>
    <w:p w:rsidR="004C50DC" w:rsidRDefault="004C50DC" w:rsidP="004C50DC">
      <w:pPr>
        <w:pStyle w:val="Citation0"/>
      </w:pPr>
    </w:p>
    <w:p w:rsidR="004C50DC" w:rsidRDefault="004C50DC" w:rsidP="004C50DC">
      <w:pPr>
        <w:pStyle w:val="Citation0"/>
      </w:pPr>
      <w:r w:rsidRPr="00E8358C">
        <w:t>Citoyens, indigènes, hommes, femmes, filles et enfants, portez vos regards sur toutes les parties de cette île ; cherchez-y, vous, vos épo</w:t>
      </w:r>
      <w:r w:rsidRPr="00E8358C">
        <w:t>u</w:t>
      </w:r>
      <w:r w:rsidRPr="00E8358C">
        <w:t>ses, vous, vos maris, vous, vos frères, vous, vos sœurs ; que dis-je cherchez-y vos e</w:t>
      </w:r>
      <w:r w:rsidRPr="00E8358C">
        <w:t>n</w:t>
      </w:r>
      <w:r w:rsidRPr="00E8358C">
        <w:t>fants, vos enfants à la mamelle ! Que sont-ils devenus ? Je frémis de le d</w:t>
      </w:r>
      <w:r w:rsidRPr="00E8358C">
        <w:t>i</w:t>
      </w:r>
      <w:r w:rsidRPr="00E8358C">
        <w:t>re. La proie de ces vautours !</w:t>
      </w:r>
      <w:r>
        <w:t> </w:t>
      </w:r>
      <w:r>
        <w:rPr>
          <w:rStyle w:val="Appelnotedebasdep"/>
        </w:rPr>
        <w:footnoteReference w:id="510"/>
      </w:r>
    </w:p>
    <w:p w:rsidR="004C50DC" w:rsidRPr="00E8358C" w:rsidRDefault="004C50DC" w:rsidP="004C50DC">
      <w:pPr>
        <w:pStyle w:val="Citation0"/>
      </w:pPr>
    </w:p>
    <w:p w:rsidR="004C50DC" w:rsidRPr="00E8358C" w:rsidRDefault="004C50DC" w:rsidP="004C50DC">
      <w:pPr>
        <w:spacing w:before="120" w:after="120"/>
        <w:jc w:val="both"/>
      </w:pPr>
      <w:r w:rsidRPr="00E8358C">
        <w:t>Dans ce texte, Boisrond-Tonnerre annonçait la libération des e</w:t>
      </w:r>
      <w:r w:rsidRPr="00E8358C">
        <w:t>s</w:t>
      </w:r>
      <w:r w:rsidRPr="00E8358C">
        <w:t>claves et la construction de la Nation nègre. Pour Hénock Trouillot, « ce discours annonçait le massacre à venir des colons français »</w:t>
      </w:r>
      <w:r>
        <w:t> </w:t>
      </w:r>
      <w:r>
        <w:rPr>
          <w:rStyle w:val="Appelnotedebasdep"/>
        </w:rPr>
        <w:footnoteReference w:id="511"/>
      </w:r>
      <w:r w:rsidRPr="00E8358C">
        <w:t xml:space="preserve">. </w:t>
      </w:r>
    </w:p>
    <w:p w:rsidR="004C50DC" w:rsidRPr="00E8358C" w:rsidRDefault="004C50DC" w:rsidP="004C50DC">
      <w:pPr>
        <w:spacing w:before="120" w:after="120"/>
        <w:jc w:val="both"/>
      </w:pPr>
      <w:r w:rsidRPr="00E8358C">
        <w:t>Si elle s’est exprimée dans des vocabulaires parfois différents, la question de la liberté s’est toujours posée chez les pionniers de la litt</w:t>
      </w:r>
      <w:r w:rsidRPr="00E8358C">
        <w:t>é</w:t>
      </w:r>
      <w:r w:rsidRPr="00E8358C">
        <w:t>rature haïtienne. C’est l’apport essentiel d’Antoine Dupré dans son poème « Hymne à la liberté » (1814), qui est l’un des premiers po</w:t>
      </w:r>
      <w:r w:rsidRPr="00E8358C">
        <w:t>è</w:t>
      </w:r>
      <w:r w:rsidRPr="00E8358C">
        <w:t>mes appris par les étudiants haïtiens en troisième secondaire suivant le programme de littérature établi par le ministère de l’Éducation nati</w:t>
      </w:r>
      <w:r w:rsidRPr="00E8358C">
        <w:t>o</w:t>
      </w:r>
      <w:r w:rsidRPr="00E8358C">
        <w:t>nale. L’auteur célèbre l’Indépendance nationale qu’il s’engage à d</w:t>
      </w:r>
      <w:r w:rsidRPr="00E8358C">
        <w:t>é</w:t>
      </w:r>
      <w:r w:rsidRPr="00E8358C">
        <w:t>fendre. Ainsi s’adresse-t-il à Haïti, sa mère chérie :</w:t>
      </w:r>
    </w:p>
    <w:p w:rsidR="004C50DC" w:rsidRDefault="004C50DC" w:rsidP="004C50DC">
      <w:pPr>
        <w:ind w:left="1080"/>
        <w:jc w:val="both"/>
        <w:rPr>
          <w:szCs w:val="22"/>
        </w:rPr>
      </w:pPr>
    </w:p>
    <w:p w:rsidR="004C50DC" w:rsidRPr="00076B77" w:rsidRDefault="004C50DC" w:rsidP="004C50DC">
      <w:pPr>
        <w:pStyle w:val="parolesliste"/>
      </w:pPr>
      <w:r w:rsidRPr="00076B77">
        <w:t>Si quelque jour sur tes rives</w:t>
      </w:r>
    </w:p>
    <w:p w:rsidR="004C50DC" w:rsidRPr="00076B77" w:rsidRDefault="004C50DC" w:rsidP="004C50DC">
      <w:pPr>
        <w:pStyle w:val="parolesliste"/>
      </w:pPr>
      <w:r w:rsidRPr="00076B77">
        <w:t>Reparaissent nos tyrans,</w:t>
      </w:r>
    </w:p>
    <w:p w:rsidR="004C50DC" w:rsidRPr="00076B77" w:rsidRDefault="004C50DC" w:rsidP="004C50DC">
      <w:pPr>
        <w:pStyle w:val="parolesliste"/>
      </w:pPr>
      <w:r w:rsidRPr="00076B77">
        <w:t>Que leurs hordes fugitives</w:t>
      </w:r>
    </w:p>
    <w:p w:rsidR="004C50DC" w:rsidRDefault="004C50DC" w:rsidP="004C50DC">
      <w:pPr>
        <w:pStyle w:val="parolesliste"/>
      </w:pPr>
      <w:r w:rsidRPr="00076B77">
        <w:t>Servent d’engrais à nos champs.</w:t>
      </w:r>
    </w:p>
    <w:p w:rsidR="004C50DC" w:rsidRPr="00076B77" w:rsidRDefault="004C50DC" w:rsidP="004C50DC">
      <w:pPr>
        <w:ind w:left="1080"/>
        <w:jc w:val="both"/>
        <w:rPr>
          <w:szCs w:val="22"/>
        </w:rPr>
      </w:pPr>
    </w:p>
    <w:p w:rsidR="004C50DC" w:rsidRPr="00E8358C" w:rsidRDefault="004C50DC" w:rsidP="004C50DC">
      <w:pPr>
        <w:spacing w:before="120" w:after="120"/>
        <w:jc w:val="both"/>
      </w:pPr>
      <w:r w:rsidRPr="00E8358C">
        <w:t>La dynamique révolutionnaire de 1804 a nourri chez Dupré « cet amour de la liberté (qui) s’accompagne d’une haine implacable de l’ennemi et implique le devoir de lutter, de combattre sans pitié l’oppresseur »</w:t>
      </w:r>
      <w:r>
        <w:t> </w:t>
      </w:r>
      <w:r w:rsidRPr="00E8358C">
        <w:rPr>
          <w:rStyle w:val="Appelnotedebasdep"/>
        </w:rPr>
        <w:footnoteReference w:id="512"/>
      </w:r>
      <w:r w:rsidRPr="00E8358C">
        <w:t xml:space="preserve">. Dans son </w:t>
      </w:r>
      <w:r w:rsidRPr="00E8358C">
        <w:rPr>
          <w:i/>
        </w:rPr>
        <w:t>Histoire de la catastrophe de Saint-Domingue</w:t>
      </w:r>
      <w:r w:rsidRPr="00E8358C">
        <w:t xml:space="preserve"> (1824), Juste Chanlatte se fait l’interprète des esclaves auxquels les colons français à Saint-Domingue avaient ravi le plus précieux de tous les biens : la liberté.</w:t>
      </w:r>
    </w:p>
    <w:p w:rsidR="004C50DC" w:rsidRDefault="004C50DC" w:rsidP="004C50DC">
      <w:pPr>
        <w:pStyle w:val="Citation0"/>
      </w:pPr>
    </w:p>
    <w:p w:rsidR="004C50DC" w:rsidRDefault="004C50DC" w:rsidP="004C50DC">
      <w:pPr>
        <w:pStyle w:val="Citation0"/>
      </w:pPr>
      <w:r w:rsidRPr="00E8358C">
        <w:t>Interrogez les malheureux que vous avez voués aux tourments de l’enfer ; voici ce qu’ils répondent par mon organe : de quels bienfaits voulez-vous nous parler ? Quelle</w:t>
      </w:r>
      <w:r>
        <w:t xml:space="preserve"> [173]</w:t>
      </w:r>
      <w:r w:rsidRPr="00E8358C">
        <w:t xml:space="preserve"> reconnaissance vous devons-nous ? Ou plutôt, quels reproches mérités n’avons-nous pas à vous faire ? Le sol de notre patrie était-il las de nous porter ? L’eau de nos rivières s’était-elle tarie dans la source ? Nos champs ne suffisaient-ils plus pour nous nourrir ?</w:t>
      </w:r>
      <w:r>
        <w:t> </w:t>
      </w:r>
      <w:r w:rsidRPr="00E8358C">
        <w:rPr>
          <w:rStyle w:val="Appelnotedebasdep"/>
          <w:szCs w:val="22"/>
        </w:rPr>
        <w:footnoteReference w:id="513"/>
      </w:r>
    </w:p>
    <w:p w:rsidR="004C50DC" w:rsidRPr="00E8358C" w:rsidRDefault="004C50DC" w:rsidP="004C50DC">
      <w:pPr>
        <w:pStyle w:val="Citation0"/>
      </w:pPr>
    </w:p>
    <w:p w:rsidR="004C50DC" w:rsidRPr="00E8358C" w:rsidRDefault="004C50DC" w:rsidP="004C50DC">
      <w:pPr>
        <w:spacing w:before="120" w:after="120"/>
        <w:jc w:val="both"/>
      </w:pPr>
      <w:r w:rsidRPr="00E8358C">
        <w:t>Il répond, en fait, aux Français qui croyaient que les Nègres étaient faits pour l’esclavage et qu’en les déportant à Saint-Domingue, ils leur avaient rendu service en les faisant profiter des bienfaits de la civilis</w:t>
      </w:r>
      <w:r w:rsidRPr="00E8358C">
        <w:t>a</w:t>
      </w:r>
      <w:r w:rsidRPr="00E8358C">
        <w:t>tion européenne. Dans son « Ode à l’Indépendance » (1821), il ne manque pas l’occasion de vénérer la liberté et l’Indépendance gagnées au prix du sang des vaillants soldats de l’armée indigène :</w:t>
      </w:r>
    </w:p>
    <w:p w:rsidR="004C50DC" w:rsidRDefault="004C50DC" w:rsidP="004C50DC">
      <w:pPr>
        <w:ind w:left="1080"/>
        <w:jc w:val="both"/>
        <w:rPr>
          <w:szCs w:val="22"/>
        </w:rPr>
      </w:pPr>
    </w:p>
    <w:p w:rsidR="004C50DC" w:rsidRPr="00076B77" w:rsidRDefault="004C50DC" w:rsidP="004C50DC">
      <w:pPr>
        <w:pStyle w:val="parolesliste"/>
      </w:pPr>
      <w:r w:rsidRPr="00076B77">
        <w:t>Doux fruits d’une mâle fierté</w:t>
      </w:r>
    </w:p>
    <w:p w:rsidR="004C50DC" w:rsidRPr="00076B77" w:rsidRDefault="004C50DC" w:rsidP="004C50DC">
      <w:pPr>
        <w:pStyle w:val="parolesliste"/>
      </w:pPr>
      <w:r w:rsidRPr="00076B77">
        <w:t>Compagne de la Liberté</w:t>
      </w:r>
    </w:p>
    <w:p w:rsidR="004C50DC" w:rsidRPr="00076B77" w:rsidRDefault="004C50DC" w:rsidP="004C50DC">
      <w:pPr>
        <w:pStyle w:val="parolesliste"/>
      </w:pPr>
      <w:r w:rsidRPr="00076B77">
        <w:t>Je te salue, Indépendance ;</w:t>
      </w:r>
    </w:p>
    <w:p w:rsidR="004C50DC" w:rsidRPr="00076B77" w:rsidRDefault="004C50DC" w:rsidP="004C50DC">
      <w:pPr>
        <w:pStyle w:val="parolesliste"/>
      </w:pPr>
      <w:r w:rsidRPr="00076B77">
        <w:t>De tes favoris la vaillance</w:t>
      </w:r>
    </w:p>
    <w:p w:rsidR="004C50DC" w:rsidRDefault="004C50DC" w:rsidP="004C50DC">
      <w:pPr>
        <w:pStyle w:val="parolesliste"/>
      </w:pPr>
      <w:r w:rsidRPr="00076B77">
        <w:t>Ici t’élève des autels.</w:t>
      </w:r>
    </w:p>
    <w:p w:rsidR="004C50DC" w:rsidRPr="00076B77" w:rsidRDefault="004C50DC" w:rsidP="004C50DC">
      <w:pPr>
        <w:pStyle w:val="parolesliste"/>
      </w:pPr>
    </w:p>
    <w:p w:rsidR="004C50DC" w:rsidRPr="00E8358C" w:rsidRDefault="004C50DC" w:rsidP="004C50DC">
      <w:pPr>
        <w:spacing w:before="120" w:after="120"/>
        <w:jc w:val="both"/>
      </w:pPr>
      <w:r w:rsidRPr="00E8358C">
        <w:t>Selon Juste Chanlatte, ces détracteurs étaient responsables de la corruption généralisée et de tous les conflits internes qui avaient su</w:t>
      </w:r>
      <w:r w:rsidRPr="00E8358C">
        <w:t>c</w:t>
      </w:r>
      <w:r w:rsidRPr="00E8358C">
        <w:t xml:space="preserve">cédé à l’Indépendance haïtienne. Ils les alimentaient à leur profit.  </w:t>
      </w:r>
    </w:p>
    <w:p w:rsidR="004C50DC" w:rsidRDefault="004C50DC" w:rsidP="004C50DC">
      <w:pPr>
        <w:pStyle w:val="Citation0"/>
      </w:pPr>
    </w:p>
    <w:p w:rsidR="004C50DC" w:rsidRDefault="004C50DC" w:rsidP="004C50DC">
      <w:pPr>
        <w:pStyle w:val="Citation0"/>
      </w:pPr>
      <w:r w:rsidRPr="00E8358C">
        <w:t>[…] C’est vous, tyrans de l’innocence, qui avez accoutumé nos g</w:t>
      </w:r>
      <w:r w:rsidRPr="00E8358C">
        <w:t>o</w:t>
      </w:r>
      <w:r w:rsidRPr="00E8358C">
        <w:t>siers à ces poisons fermentés, sources des querelles et des dissensions qui rav</w:t>
      </w:r>
      <w:r w:rsidRPr="00E8358C">
        <w:t>a</w:t>
      </w:r>
      <w:r w:rsidRPr="00E8358C">
        <w:t>gent notre pays ; c’est de vous dont l’ingénieuse cupidité nous inocula des vices pour les tourner à notre perte et à votre profit…</w:t>
      </w:r>
      <w:r>
        <w:t> </w:t>
      </w:r>
      <w:r>
        <w:rPr>
          <w:rStyle w:val="Appelnotedebasdep"/>
        </w:rPr>
        <w:footnoteReference w:id="514"/>
      </w:r>
    </w:p>
    <w:p w:rsidR="004C50DC" w:rsidRPr="00E8358C" w:rsidRDefault="004C50DC" w:rsidP="004C50DC">
      <w:pPr>
        <w:pStyle w:val="Citation0"/>
      </w:pPr>
    </w:p>
    <w:p w:rsidR="004C50DC" w:rsidRPr="00E8358C" w:rsidRDefault="004C50DC" w:rsidP="004C50DC">
      <w:pPr>
        <w:spacing w:before="120" w:after="120"/>
        <w:jc w:val="both"/>
      </w:pPr>
      <w:r w:rsidRPr="00E8358C">
        <w:t>Toujours épris de la liberté, Chanlatte considère aussi la victoire des esclaves en 1803 comme la revanche des Amérindiens qui hab</w:t>
      </w:r>
      <w:r w:rsidRPr="00E8358C">
        <w:t>i</w:t>
      </w:r>
      <w:r w:rsidRPr="00E8358C">
        <w:t>taient l’île d’Haïti, décimés sous le poids sanguinaire et abominable de l’esclavage espagnol : « Mânes des Indiens, en paix, reposez-vous ! »</w:t>
      </w:r>
      <w:r>
        <w:t> </w:t>
      </w:r>
      <w:r>
        <w:rPr>
          <w:rStyle w:val="Appelnotedebasdep"/>
        </w:rPr>
        <w:footnoteReference w:id="515"/>
      </w:r>
    </w:p>
    <w:p w:rsidR="004C50DC" w:rsidRPr="00E8358C" w:rsidRDefault="004C50DC" w:rsidP="004C50DC">
      <w:pPr>
        <w:spacing w:before="120" w:after="120"/>
        <w:jc w:val="both"/>
      </w:pPr>
      <w:r w:rsidRPr="00E8358C">
        <w:t>L’œuvre de Jules Solime Milscent est émaillée de mots qui invitent les Haïtiens à mettre fin aux querelles politiques et à s’unir contre les « tyrans ». Dans un chant patriotique, en marge de toutes considér</w:t>
      </w:r>
      <w:r w:rsidRPr="00E8358C">
        <w:t>a</w:t>
      </w:r>
      <w:r w:rsidRPr="00E8358C">
        <w:t xml:space="preserve">tions partisanes, notamment sur la scission du pays en 1806 où il s’est montré très opposé au despotisme d’Henry Christophe et très flatteur pour Alexandre </w:t>
      </w:r>
      <w:r>
        <w:t xml:space="preserve">[174] </w:t>
      </w:r>
      <w:r w:rsidRPr="00E8358C">
        <w:t>Pétion puis Jean-Pierre Boyer, il a émis le so</w:t>
      </w:r>
      <w:r w:rsidRPr="00E8358C">
        <w:t>u</w:t>
      </w:r>
      <w:r w:rsidRPr="00E8358C">
        <w:t>hait de voir tous les Haïtiens rassemblés « sous la même bannière » contre les oppresseurs étrangers.</w:t>
      </w:r>
    </w:p>
    <w:p w:rsidR="004C50DC" w:rsidRDefault="004C50DC" w:rsidP="004C50DC">
      <w:pPr>
        <w:pStyle w:val="parolesliste"/>
      </w:pPr>
      <w:r>
        <w:br w:type="page"/>
      </w:r>
    </w:p>
    <w:p w:rsidR="004C50DC" w:rsidRPr="00076B77" w:rsidRDefault="004C50DC" w:rsidP="004C50DC">
      <w:pPr>
        <w:pStyle w:val="parolesliste"/>
      </w:pPr>
      <w:r w:rsidRPr="00076B77">
        <w:t>Unis sous la même bannière</w:t>
      </w:r>
    </w:p>
    <w:p w:rsidR="004C50DC" w:rsidRPr="00076B77" w:rsidRDefault="004C50DC" w:rsidP="004C50DC">
      <w:pPr>
        <w:pStyle w:val="parolesliste"/>
      </w:pPr>
      <w:r w:rsidRPr="00076B77">
        <w:t>Nous vaincrons les plus fiers tyrans.</w:t>
      </w:r>
    </w:p>
    <w:p w:rsidR="004C50DC" w:rsidRPr="00076B77" w:rsidRDefault="004C50DC" w:rsidP="004C50DC">
      <w:pPr>
        <w:pStyle w:val="parolesliste"/>
      </w:pPr>
      <w:r w:rsidRPr="00076B77">
        <w:t>Écartons loin de nous la discorde ennemie :</w:t>
      </w:r>
    </w:p>
    <w:p w:rsidR="004C50DC" w:rsidRPr="00076B77" w:rsidRDefault="004C50DC" w:rsidP="004C50DC">
      <w:pPr>
        <w:pStyle w:val="parolesliste"/>
      </w:pPr>
      <w:r w:rsidRPr="00076B77">
        <w:t>Que des fils de la Liberté</w:t>
      </w:r>
    </w:p>
    <w:p w:rsidR="004C50DC" w:rsidRPr="00076B77" w:rsidRDefault="004C50DC" w:rsidP="004C50DC">
      <w:pPr>
        <w:pStyle w:val="parolesliste"/>
      </w:pPr>
      <w:r w:rsidRPr="00076B77">
        <w:t>Sous les drapeaux de Mars, la troupe réunie</w:t>
      </w:r>
    </w:p>
    <w:p w:rsidR="004C50DC" w:rsidRPr="00076B77" w:rsidRDefault="004C50DC" w:rsidP="004C50DC">
      <w:pPr>
        <w:pStyle w:val="parolesliste"/>
      </w:pPr>
      <w:r w:rsidRPr="00076B77">
        <w:t>Se livre à la fraternité</w:t>
      </w:r>
      <w:r>
        <w:t> </w:t>
      </w:r>
      <w:r>
        <w:rPr>
          <w:rStyle w:val="Appelnotedebasdep"/>
        </w:rPr>
        <w:footnoteReference w:id="516"/>
      </w:r>
      <w:r w:rsidRPr="00076B77">
        <w:t xml:space="preserve">. </w:t>
      </w:r>
    </w:p>
    <w:p w:rsidR="004C50DC" w:rsidRDefault="004C50DC" w:rsidP="004C50DC">
      <w:pPr>
        <w:pStyle w:val="parolesliste"/>
      </w:pPr>
      <w:r w:rsidRPr="00076B77">
        <w:t>Milscent, « L’Union », 1817</w:t>
      </w:r>
    </w:p>
    <w:p w:rsidR="004C50DC" w:rsidRPr="00076B77" w:rsidRDefault="004C50DC" w:rsidP="004C50DC">
      <w:pPr>
        <w:pStyle w:val="parolesliste"/>
      </w:pPr>
    </w:p>
    <w:p w:rsidR="004C50DC" w:rsidRPr="00E8358C" w:rsidRDefault="004C50DC" w:rsidP="004C50DC">
      <w:pPr>
        <w:spacing w:before="120" w:after="120"/>
        <w:jc w:val="both"/>
      </w:pPr>
      <w:r w:rsidRPr="00E8358C">
        <w:t>Les propos de Hérard Dumesle sur la liberté et la barbarie des Blancs englobent le message de la révolte qu’il prête d’ailleurs au pr</w:t>
      </w:r>
      <w:r w:rsidRPr="00E8358C">
        <w:t>ê</w:t>
      </w:r>
      <w:r w:rsidRPr="00E8358C">
        <w:t>tre vodou à la Cérémonie du Bois-Caïman</w:t>
      </w:r>
      <w:r>
        <w:t> </w:t>
      </w:r>
      <w:r w:rsidRPr="00E8358C">
        <w:rPr>
          <w:rStyle w:val="Appelnotedebasdep"/>
        </w:rPr>
        <w:footnoteReference w:id="517"/>
      </w:r>
      <w:r w:rsidRPr="00E8358C">
        <w:t>. Il défend la cause co</w:t>
      </w:r>
      <w:r w:rsidRPr="00E8358C">
        <w:t>m</w:t>
      </w:r>
      <w:r w:rsidRPr="00E8358C">
        <w:t>mune qu’incarnent les écrivains de la génération de 1804 : la liberté. C’est l’occasion, dans « Macanda », defaire un récit de la révolution haïtienne et dedécerner à Makandal</w:t>
      </w:r>
      <w:r>
        <w:t> </w:t>
      </w:r>
      <w:r>
        <w:rPr>
          <w:rStyle w:val="Appelnotedebasdep"/>
        </w:rPr>
        <w:footnoteReference w:id="518"/>
      </w:r>
      <w:r w:rsidRPr="00E8358C">
        <w:t xml:space="preserve"> et aux divinités africaines l’éloge d’avoir largement contribué à libérer les esclaves de Saint-Domingue.</w:t>
      </w:r>
    </w:p>
    <w:p w:rsidR="004C50DC" w:rsidRDefault="004C50DC" w:rsidP="004C50DC">
      <w:pPr>
        <w:pStyle w:val="parolesliste"/>
      </w:pPr>
    </w:p>
    <w:p w:rsidR="004C50DC" w:rsidRPr="00076B77" w:rsidRDefault="004C50DC" w:rsidP="004C50DC">
      <w:pPr>
        <w:pStyle w:val="parolesliste"/>
      </w:pPr>
      <w:r w:rsidRPr="00076B77">
        <w:t>Ce Dieu qui du soleil alluma le flambeau,</w:t>
      </w:r>
    </w:p>
    <w:p w:rsidR="004C50DC" w:rsidRPr="00076B77" w:rsidRDefault="004C50DC" w:rsidP="004C50DC">
      <w:pPr>
        <w:pStyle w:val="parolesliste"/>
      </w:pPr>
      <w:r w:rsidRPr="00076B77">
        <w:t>Qui soulève les mers et fait gronder l’orage,</w:t>
      </w:r>
    </w:p>
    <w:p w:rsidR="004C50DC" w:rsidRPr="00076B77" w:rsidRDefault="004C50DC" w:rsidP="004C50DC">
      <w:pPr>
        <w:pStyle w:val="parolesliste"/>
      </w:pPr>
      <w:r w:rsidRPr="00076B77">
        <w:t>Ce Dieu n’en doutez pas, caché dans un nuage</w:t>
      </w:r>
    </w:p>
    <w:p w:rsidR="004C50DC" w:rsidRPr="00076B77" w:rsidRDefault="004C50DC" w:rsidP="004C50DC">
      <w:pPr>
        <w:pStyle w:val="parolesliste"/>
      </w:pPr>
      <w:r w:rsidRPr="00076B77">
        <w:t xml:space="preserve">Contemple ce pays, </w:t>
      </w:r>
    </w:p>
    <w:p w:rsidR="004C50DC" w:rsidRPr="00076B77" w:rsidRDefault="004C50DC" w:rsidP="004C50DC">
      <w:pPr>
        <w:pStyle w:val="parolesliste"/>
      </w:pPr>
      <w:r w:rsidRPr="00076B77">
        <w:t>Voit les Blancs, les forfaits.</w:t>
      </w:r>
    </w:p>
    <w:p w:rsidR="004C50DC" w:rsidRPr="00076B77" w:rsidRDefault="004C50DC" w:rsidP="004C50DC">
      <w:pPr>
        <w:pStyle w:val="parolesliste"/>
      </w:pPr>
      <w:r w:rsidRPr="00076B77">
        <w:t>Leur culte engage au crime, et le nôtre aux bienfaits.</w:t>
      </w:r>
    </w:p>
    <w:p w:rsidR="004C50DC" w:rsidRPr="00076B77" w:rsidRDefault="004C50DC" w:rsidP="004C50DC">
      <w:pPr>
        <w:pStyle w:val="parolesliste"/>
      </w:pPr>
      <w:r w:rsidRPr="00076B77">
        <w:t>Mais la bonté suprême ordonne la vengeance</w:t>
      </w:r>
    </w:p>
    <w:p w:rsidR="004C50DC" w:rsidRPr="00076B77" w:rsidRDefault="004C50DC" w:rsidP="004C50DC">
      <w:pPr>
        <w:pStyle w:val="parolesliste"/>
      </w:pPr>
      <w:r w:rsidRPr="00076B77">
        <w:t>Et guidera vos bras ; forts de son assistance,</w:t>
      </w:r>
    </w:p>
    <w:p w:rsidR="004C50DC" w:rsidRPr="00076B77" w:rsidRDefault="004C50DC" w:rsidP="004C50DC">
      <w:pPr>
        <w:pStyle w:val="parolesliste"/>
      </w:pPr>
      <w:r w:rsidRPr="00076B77">
        <w:t xml:space="preserve">Foulons aux pieds l’idole avide de nos pleurs. </w:t>
      </w:r>
    </w:p>
    <w:p w:rsidR="004C50DC" w:rsidRPr="00076B77" w:rsidRDefault="004C50DC" w:rsidP="004C50DC">
      <w:pPr>
        <w:pStyle w:val="parolesliste"/>
      </w:pPr>
      <w:r w:rsidRPr="00076B77">
        <w:t>Puissante Liberté ! Viens… parle à tous les cœurs…</w:t>
      </w:r>
    </w:p>
    <w:p w:rsidR="004C50DC" w:rsidRDefault="004C50DC" w:rsidP="004C50DC">
      <w:pPr>
        <w:pStyle w:val="parolesliste"/>
      </w:pPr>
      <w:r w:rsidRPr="00076B77">
        <w:t>Dumesle, Macanda, 1819</w:t>
      </w:r>
    </w:p>
    <w:p w:rsidR="004C50DC" w:rsidRPr="00076B77" w:rsidRDefault="004C50DC" w:rsidP="004C50DC">
      <w:pPr>
        <w:pStyle w:val="parolesliste"/>
      </w:pPr>
    </w:p>
    <w:p w:rsidR="004C50DC" w:rsidRDefault="004C50DC" w:rsidP="004C50DC">
      <w:pPr>
        <w:spacing w:before="120" w:after="120"/>
        <w:jc w:val="both"/>
      </w:pPr>
      <w:r>
        <w:t>[175]</w:t>
      </w:r>
    </w:p>
    <w:p w:rsidR="004C50DC" w:rsidRPr="00E8358C" w:rsidRDefault="004C50DC" w:rsidP="004C50DC">
      <w:pPr>
        <w:spacing w:before="120" w:after="120"/>
        <w:jc w:val="both"/>
      </w:pPr>
      <w:r w:rsidRPr="00E8358C">
        <w:t>On retrouve une dénonciation violente des atrocités des colons chez Baron de Vastey. Il ne laisse pas passer l’occasion de dénoncer et condamner le système colonial esclavagiste et de défendre les Noirs contre les dénigrements des Européens. En effet, tous ceux qui inj</w:t>
      </w:r>
      <w:r w:rsidRPr="00E8358C">
        <w:t>u</w:t>
      </w:r>
      <w:r w:rsidRPr="00E8358C">
        <w:t xml:space="preserve">rient la race noire sont devenus automatiquement des ennemis, qu’ils se trouvent à l’intérieur ou à l’extérieur du pays. </w:t>
      </w:r>
    </w:p>
    <w:p w:rsidR="004C50DC" w:rsidRDefault="004C50DC" w:rsidP="004C50DC">
      <w:pPr>
        <w:pStyle w:val="Citation0"/>
      </w:pPr>
    </w:p>
    <w:p w:rsidR="004C50DC" w:rsidRPr="00E8358C" w:rsidRDefault="004C50DC" w:rsidP="004C50DC">
      <w:pPr>
        <w:pStyle w:val="Citation0"/>
      </w:pPr>
      <w:r w:rsidRPr="00E8358C">
        <w:t>Fils de la montagne, habitants des forêts, chérissez vos armes, ces clés précieuses conservatrices de vos droits, ne les abandonnez jamais. Tran</w:t>
      </w:r>
      <w:r w:rsidRPr="00E8358C">
        <w:t>s</w:t>
      </w:r>
      <w:r w:rsidRPr="00E8358C">
        <w:t>mettez-les à vos enfants avec l’amour de la liberté et de l’Indépendance, et la haine des tyrans, comme le plus bel héritage que vous puissiez leur l</w:t>
      </w:r>
      <w:r w:rsidRPr="00E8358C">
        <w:t>é</w:t>
      </w:r>
      <w:r w:rsidRPr="00E8358C">
        <w:t>guer.</w:t>
      </w:r>
    </w:p>
    <w:p w:rsidR="004C50DC" w:rsidRDefault="004C50DC" w:rsidP="004C50DC">
      <w:pPr>
        <w:pStyle w:val="Citation0c"/>
      </w:pPr>
      <w:r w:rsidRPr="00E8358C">
        <w:t>Baron de Vastey, Le système colonial dévoilé, 1814</w:t>
      </w:r>
    </w:p>
    <w:p w:rsidR="004C50DC" w:rsidRPr="00E8358C" w:rsidRDefault="004C50DC" w:rsidP="004C50DC">
      <w:pPr>
        <w:pStyle w:val="Citation0c"/>
      </w:pPr>
    </w:p>
    <w:p w:rsidR="004C50DC" w:rsidRPr="00E8358C" w:rsidRDefault="004C50DC" w:rsidP="004C50DC">
      <w:pPr>
        <w:spacing w:before="120" w:after="120"/>
        <w:jc w:val="both"/>
      </w:pPr>
      <w:r w:rsidRPr="00E8358C">
        <w:t>Pour bien comprendre l’œuvre des écrivains de la génération de 1804, il faut prendre en compte le contexte sociopolitique de l’époque, dominé par la crainte d’une expédition militaire française que l’on tenait pour probable et qui a maintenu le pays sur le qui-vive durant les deux premières décennies de l’indépendance nationale. Les pio</w:t>
      </w:r>
      <w:r w:rsidRPr="00E8358C">
        <w:t>n</w:t>
      </w:r>
      <w:r w:rsidRPr="00E8358C">
        <w:t xml:space="preserve">niers voulaient donc faire de leur plume une arme pour dynamiser la conscience patriotique des Haïtiens et défendre le pays. </w:t>
      </w:r>
    </w:p>
    <w:p w:rsidR="004C50DC" w:rsidRPr="00E8358C" w:rsidRDefault="004C50DC" w:rsidP="004C50DC">
      <w:pPr>
        <w:spacing w:before="120" w:after="120"/>
        <w:jc w:val="both"/>
      </w:pPr>
      <w:r w:rsidRPr="00E8358C">
        <w:t>L’école de 1836 a emboîté le pas aux pionniers. Elle continue à chanter Haïti. Émile Nau, principal théoricien du romantisme haïtien, adjure ses confrères : « Nos écrivains doivent célébrer Haïti, ses fastes et ses gloires militaires ». Il veut aussi « haïtianiser » la langue fra</w:t>
      </w:r>
      <w:r w:rsidRPr="00E8358C">
        <w:t>n</w:t>
      </w:r>
      <w:r w:rsidRPr="00E8358C">
        <w:t>çaise. Ce faisant, il pose l’acte d’une prise en charge d’un patrimoine linguistique issu de la colonisation esclavagiste, un patrimoine qu’il veut nationaliser pour lui éviter d’être linguistiquement sous la dom</w:t>
      </w:r>
      <w:r w:rsidRPr="00E8358C">
        <w:t>i</w:t>
      </w:r>
      <w:r w:rsidRPr="00E8358C">
        <w:t>nation française. Tout ce qui est purement français (langue, pratiques) apparaît comme une force qui alimente encore la machine esclavagi</w:t>
      </w:r>
      <w:r w:rsidRPr="00E8358C">
        <w:t>s</w:t>
      </w:r>
      <w:r w:rsidRPr="00E8358C">
        <w:t>te. Aussi veut-il sauvegarder la langue française et la mettre en valeur, mais en la nourrissant d’expressions en rapport avec les pratiques s</w:t>
      </w:r>
      <w:r w:rsidRPr="00E8358C">
        <w:t>o</w:t>
      </w:r>
      <w:r w:rsidRPr="00E8358C">
        <w:t>ciales et culturelles haïtiennes.</w:t>
      </w:r>
    </w:p>
    <w:p w:rsidR="004C50DC" w:rsidRDefault="004C50DC" w:rsidP="004C50DC">
      <w:pPr>
        <w:pStyle w:val="Citation0"/>
      </w:pPr>
    </w:p>
    <w:p w:rsidR="004C50DC" w:rsidRDefault="004C50DC" w:rsidP="004C50DC">
      <w:pPr>
        <w:pStyle w:val="Citation0"/>
      </w:pPr>
      <w:r w:rsidRPr="00E8358C">
        <w:t>La langue française dans nos écrits et dans notre conversation a toujours l’air d’une langue acquise ; un des bienfaits de la civilisation sera de la n</w:t>
      </w:r>
      <w:r w:rsidRPr="00E8358C">
        <w:t>a</w:t>
      </w:r>
      <w:r w:rsidRPr="00E8358C">
        <w:t>turaliser chez nous. […] Il ne s’agira pas cependant de prendre la langue toute faite dans les meilleurs modèles ; il faudra la modifier et l’adapter à nos besoins et à nos localités</w:t>
      </w:r>
      <w:r>
        <w:t> </w:t>
      </w:r>
      <w:r w:rsidRPr="00E8358C">
        <w:rPr>
          <w:rStyle w:val="Appelnotedebasdep"/>
          <w:szCs w:val="22"/>
        </w:rPr>
        <w:footnoteReference w:id="519"/>
      </w:r>
      <w:r w:rsidRPr="00E8358C">
        <w:t>.</w:t>
      </w:r>
    </w:p>
    <w:p w:rsidR="004C50DC" w:rsidRDefault="004C50DC" w:rsidP="004C50DC">
      <w:pPr>
        <w:pStyle w:val="Citation0"/>
      </w:pPr>
    </w:p>
    <w:p w:rsidR="004C50DC" w:rsidRPr="00E8358C" w:rsidRDefault="004C50DC" w:rsidP="004C50DC">
      <w:pPr>
        <w:spacing w:before="120" w:after="120"/>
        <w:jc w:val="both"/>
        <w:rPr>
          <w:szCs w:val="22"/>
        </w:rPr>
      </w:pPr>
      <w:r>
        <w:rPr>
          <w:szCs w:val="22"/>
        </w:rPr>
        <w:t>[176]</w:t>
      </w:r>
    </w:p>
    <w:p w:rsidR="004C50DC" w:rsidRPr="00E8358C" w:rsidRDefault="004C50DC" w:rsidP="004C50DC">
      <w:pPr>
        <w:spacing w:before="120" w:after="120"/>
        <w:jc w:val="both"/>
      </w:pPr>
      <w:r w:rsidRPr="00E8358C">
        <w:t>Selon Eddy Arnold Jean, en soulignant la « singularité » de l’âme haïtienne et le devoir pour l’Haïtien de refuser tout habit d’emprunt, toute invitation servile, Émile Nau préfigure Jean Price-Mars qui, au</w:t>
      </w:r>
      <w:r w:rsidRPr="00E8358C">
        <w:t>s</w:t>
      </w:r>
      <w:r w:rsidRPr="00E8358C">
        <w:t>si inquiet des méfaits du mimétisme, devait s’écrier un siècle plus tard : « Soyons nous-mêmes le plus complètement possible »</w:t>
      </w:r>
      <w:r w:rsidRPr="00E8358C">
        <w:rPr>
          <w:rStyle w:val="Appelnotedebasdep"/>
        </w:rPr>
        <w:footnoteReference w:id="520"/>
      </w:r>
      <w:r w:rsidRPr="00E8358C">
        <w:t>. Les théories d’Émile Nau annoncent déjà l’École indigéniste haïtienne de 1927. Le désir d’</w:t>
      </w:r>
      <w:r w:rsidRPr="00E8358C">
        <w:rPr>
          <w:i/>
        </w:rPr>
        <w:t>indigéniser</w:t>
      </w:r>
      <w:r w:rsidRPr="00E8358C">
        <w:t xml:space="preserve"> la littérature haïtienne et de la libérer des influences littéraires françaises jette la base d’un processus d’appropriation et de mise en valeur des pratiques culturelles haïtie</w:t>
      </w:r>
      <w:r w:rsidRPr="00E8358C">
        <w:t>n</w:t>
      </w:r>
      <w:r w:rsidRPr="00E8358C">
        <w:t xml:space="preserve">nes. </w:t>
      </w:r>
    </w:p>
    <w:p w:rsidR="004C50DC" w:rsidRPr="00E8358C" w:rsidRDefault="004C50DC" w:rsidP="004C50DC">
      <w:pPr>
        <w:spacing w:before="120" w:after="120"/>
        <w:jc w:val="both"/>
      </w:pPr>
      <w:r w:rsidRPr="00E8358C">
        <w:t>La réflexion d’Émile Nau n’a pas fait l’unanimité chez les écr</w:t>
      </w:r>
      <w:r w:rsidRPr="00E8358C">
        <w:t>i</w:t>
      </w:r>
      <w:r w:rsidRPr="00E8358C">
        <w:t>vains de l’époque. Jean-Baptiste Chenet estime qu’</w:t>
      </w:r>
      <w:r w:rsidRPr="00E8358C">
        <w:rPr>
          <w:i/>
        </w:rPr>
        <w:t>haïtianiser</w:t>
      </w:r>
      <w:r w:rsidRPr="00E8358C">
        <w:t xml:space="preserve"> la la</w:t>
      </w:r>
      <w:r w:rsidRPr="00E8358C">
        <w:t>n</w:t>
      </w:r>
      <w:r w:rsidRPr="00E8358C">
        <w:t>gue française serait un blasphème ou une désacralisation de la langue parlée par le Bon Dieu. Toute adaptation du français à la réalité ha</w:t>
      </w:r>
      <w:r w:rsidRPr="00E8358C">
        <w:t>ï</w:t>
      </w:r>
      <w:r w:rsidRPr="00E8358C">
        <w:t>tienne reviendrait à priver cette langue de son âme essentielle :</w:t>
      </w:r>
    </w:p>
    <w:p w:rsidR="004C50DC" w:rsidRDefault="004C50DC" w:rsidP="004C50DC">
      <w:pPr>
        <w:pStyle w:val="parolesliste"/>
      </w:pPr>
      <w:r>
        <w:br w:type="page"/>
      </w:r>
    </w:p>
    <w:p w:rsidR="004C50DC" w:rsidRPr="00076B77" w:rsidRDefault="004C50DC" w:rsidP="004C50DC">
      <w:pPr>
        <w:pStyle w:val="parolesliste"/>
      </w:pPr>
      <w:r w:rsidRPr="00076B77">
        <w:t>Si Dieu qui m’entend, dans l’espace caché</w:t>
      </w:r>
    </w:p>
    <w:p w:rsidR="004C50DC" w:rsidRPr="00076B77" w:rsidRDefault="004C50DC" w:rsidP="004C50DC">
      <w:pPr>
        <w:pStyle w:val="parolesliste"/>
      </w:pPr>
      <w:r w:rsidRPr="00076B77">
        <w:t>Vient un jour à parler à l’homme, son image</w:t>
      </w:r>
    </w:p>
    <w:p w:rsidR="004C50DC" w:rsidRDefault="004C50DC" w:rsidP="004C50DC">
      <w:pPr>
        <w:pStyle w:val="parolesliste"/>
      </w:pPr>
      <w:r w:rsidRPr="00076B77">
        <w:t>Il parlera français : c’est bien là son langage</w:t>
      </w:r>
      <w:r>
        <w:t> </w:t>
      </w:r>
      <w:r>
        <w:rPr>
          <w:rStyle w:val="Appelnotedebasdep"/>
        </w:rPr>
        <w:footnoteReference w:id="521"/>
      </w:r>
      <w:r w:rsidRPr="00076B77">
        <w:t>.</w:t>
      </w:r>
    </w:p>
    <w:p w:rsidR="004C50DC" w:rsidRPr="00076B77" w:rsidRDefault="004C50DC" w:rsidP="004C50DC">
      <w:pPr>
        <w:pStyle w:val="parolesliste"/>
      </w:pPr>
      <w:r>
        <w:t xml:space="preserve"> </w:t>
      </w:r>
    </w:p>
    <w:p w:rsidR="004C50DC" w:rsidRPr="00E8358C" w:rsidRDefault="004C50DC" w:rsidP="004C50DC">
      <w:pPr>
        <w:spacing w:before="120" w:after="120"/>
        <w:jc w:val="both"/>
      </w:pPr>
      <w:r w:rsidRPr="00E8358C">
        <w:t>Les écrivains du même courant de pensée que Jean-Baptiste Ch</w:t>
      </w:r>
      <w:r w:rsidRPr="00E8358C">
        <w:t>e</w:t>
      </w:r>
      <w:r w:rsidRPr="00E8358C">
        <w:t>net oublient qu’ils n’écrivent pas pour eux, mais pour une communa</w:t>
      </w:r>
      <w:r w:rsidRPr="00E8358C">
        <w:t>u</w:t>
      </w:r>
      <w:r w:rsidRPr="00E8358C">
        <w:t>té de lecteurs avec des aspirations, des rêves, des pratiques culturelles qu’elle entend voir aborder par les auteurs. Sinon ils risquent d’écrire seulement pour une élite culturellement et scientifiquement avisée. La position d’écrivains tels que Jean-Baptiste Chenet a longuement affe</w:t>
      </w:r>
      <w:r w:rsidRPr="00E8358C">
        <w:t>c</w:t>
      </w:r>
      <w:r w:rsidRPr="00E8358C">
        <w:t>té la littérature haïtienne à ses débuts. Seule l’élite, qui avait bénéficié de l’éducation française durant la colonisation de Saint-Domingue, pouvait avoir accès aux productions littéraires. L’élite intellectuelle et politique, au lendemain de l’Indépendance haïtienne, avait opté pour la culture française vue comme la « suprême réalisation du monde c</w:t>
      </w:r>
      <w:r w:rsidRPr="00E8358C">
        <w:t>i</w:t>
      </w:r>
      <w:r w:rsidRPr="00E8358C">
        <w:t>vilisé, et la maîtrise de sa langue, supérieure à toute autre »</w:t>
      </w:r>
      <w:r>
        <w:t> </w:t>
      </w:r>
      <w:r w:rsidRPr="00E8358C">
        <w:rPr>
          <w:rStyle w:val="Appelnotedebasdep"/>
        </w:rPr>
        <w:footnoteReference w:id="522"/>
      </w:r>
      <w:r w:rsidRPr="00E8358C">
        <w:t>. Glodel Mezilas</w:t>
      </w:r>
      <w:r>
        <w:t> </w:t>
      </w:r>
      <w:r>
        <w:rPr>
          <w:rStyle w:val="Appelnotedebasdep"/>
        </w:rPr>
        <w:footnoteReference w:id="523"/>
      </w:r>
      <w:r w:rsidRPr="00E8358C">
        <w:t xml:space="preserve"> observe aussi que l’usage du français révélait la scission s</w:t>
      </w:r>
      <w:r w:rsidRPr="00E8358C">
        <w:t>o</w:t>
      </w:r>
      <w:r w:rsidRPr="00E8358C">
        <w:t>ciale et culturelle en Haïti, et prolongeait la situation de dépendance culturelle et identitaire coloniale. Le constat que fait Glodel Mezilas est aussi</w:t>
      </w:r>
      <w:r>
        <w:t xml:space="preserve"> [177]</w:t>
      </w:r>
      <w:r w:rsidRPr="00E8358C">
        <w:t xml:space="preserve"> applicable à la plupart des pays anciennement colon</w:t>
      </w:r>
      <w:r w:rsidRPr="00E8358C">
        <w:t>i</w:t>
      </w:r>
      <w:r w:rsidRPr="00E8358C">
        <w:t>sés (le français et l’anglais en Afrique, l’anglais en Inde. Etc.). Par conséquent, l’usage de la langue du colonisateur par les écrivains ha</w:t>
      </w:r>
      <w:r w:rsidRPr="00E8358C">
        <w:t>ï</w:t>
      </w:r>
      <w:r w:rsidRPr="00E8358C">
        <w:t>tien serait une manière de faire perdurer le système colonial.</w:t>
      </w:r>
    </w:p>
    <w:p w:rsidR="004C50DC" w:rsidRPr="00E8358C" w:rsidRDefault="004C50DC" w:rsidP="004C50DC">
      <w:pPr>
        <w:spacing w:before="120" w:after="120"/>
        <w:jc w:val="both"/>
      </w:pPr>
      <w:r w:rsidRPr="00E8358C">
        <w:t>Durant toute la première moitié du XIX</w:t>
      </w:r>
      <w:r w:rsidRPr="00E8358C">
        <w:rPr>
          <w:vertAlign w:val="superscript"/>
        </w:rPr>
        <w:t>e</w:t>
      </w:r>
      <w:r w:rsidRPr="00E8358C">
        <w:t xml:space="preserve"> siècle, les écrivains étaient obligés de se mettre au service du gouvernement ou d’un parti pour arriver à vivre de leur plume. Leurs œuvres n’étaient pas bien connues du public. Dans la littérature haïtienne, le mouvement roma</w:t>
      </w:r>
      <w:r w:rsidRPr="00E8358C">
        <w:t>n</w:t>
      </w:r>
      <w:r w:rsidRPr="00E8358C">
        <w:t>tique est souvent qualifié de « nationalisme bourgeois » qui s’oppose notamment au pouvoir autocratique du président Jean-Pierre Boyer, « voué corps et âme et pour les besoins de pérenniser son comma</w:t>
      </w:r>
      <w:r w:rsidRPr="00E8358C">
        <w:t>n</w:t>
      </w:r>
      <w:r w:rsidRPr="00E8358C">
        <w:t>dement – à la défense des intérêts de la France »</w:t>
      </w:r>
      <w:r>
        <w:t> </w:t>
      </w:r>
      <w:r>
        <w:rPr>
          <w:rStyle w:val="Appelnotedebasdep"/>
        </w:rPr>
        <w:footnoteReference w:id="524"/>
      </w:r>
      <w:r w:rsidRPr="00E8358C">
        <w:t>. Toutefois, par ra</w:t>
      </w:r>
      <w:r w:rsidRPr="00E8358C">
        <w:t>p</w:t>
      </w:r>
      <w:r w:rsidRPr="00E8358C">
        <w:t>port au passé colonial esclavagiste, Coriolan Ardouin dénonçait tout comme Ignace Nau l’égoïsme des bourgeois et les iniquités. Il partage la douleur de la race noire à travers les filles africaines dépo</w:t>
      </w:r>
      <w:r w:rsidRPr="00E8358C">
        <w:t>r</w:t>
      </w:r>
      <w:r w:rsidRPr="00E8358C">
        <w:t>tées d’Afrique et conduites sur les terres américaines. Les poèmes « Betjouanes » et « Boschimans » forment, entre autres, l’expression de cette douleur.</w:t>
      </w:r>
    </w:p>
    <w:p w:rsidR="004C50DC" w:rsidRDefault="004C50DC" w:rsidP="004C50DC">
      <w:pPr>
        <w:pStyle w:val="parolesliste"/>
      </w:pPr>
    </w:p>
    <w:p w:rsidR="004C50DC" w:rsidRPr="00076B77" w:rsidRDefault="004C50DC" w:rsidP="004C50DC">
      <w:pPr>
        <w:pStyle w:val="parolesliste"/>
      </w:pPr>
      <w:r w:rsidRPr="00076B77">
        <w:t>[…] Ces barbares en foule</w:t>
      </w:r>
    </w:p>
    <w:p w:rsidR="004C50DC" w:rsidRPr="00076B77" w:rsidRDefault="004C50DC" w:rsidP="004C50DC">
      <w:pPr>
        <w:pStyle w:val="parolesliste"/>
      </w:pPr>
      <w:r w:rsidRPr="00076B77">
        <w:t xml:space="preserve">Mêlent des cris affreux </w:t>
      </w:r>
    </w:p>
    <w:p w:rsidR="004C50DC" w:rsidRPr="00076B77" w:rsidRDefault="004C50DC" w:rsidP="004C50DC">
      <w:pPr>
        <w:pStyle w:val="parolesliste"/>
      </w:pPr>
      <w:r w:rsidRPr="00076B77">
        <w:t>Aux cris d’une victime,</w:t>
      </w:r>
    </w:p>
    <w:p w:rsidR="004C50DC" w:rsidRPr="00076B77" w:rsidRDefault="004C50DC" w:rsidP="004C50DC">
      <w:pPr>
        <w:pStyle w:val="parolesliste"/>
      </w:pPr>
      <w:r w:rsidRPr="00076B77">
        <w:t>Singeant ses mouvements,</w:t>
      </w:r>
    </w:p>
    <w:p w:rsidR="004C50DC" w:rsidRPr="00076B77" w:rsidRDefault="004C50DC" w:rsidP="004C50DC">
      <w:pPr>
        <w:pStyle w:val="parolesliste"/>
      </w:pPr>
      <w:r w:rsidRPr="00076B77">
        <w:t>Et conviant au crime</w:t>
      </w:r>
    </w:p>
    <w:p w:rsidR="004C50DC" w:rsidRDefault="004C50DC" w:rsidP="004C50DC">
      <w:pPr>
        <w:pStyle w:val="parolesliste"/>
      </w:pPr>
      <w:r w:rsidRPr="00076B77">
        <w:t xml:space="preserve">Tous leurs petits enfants. </w:t>
      </w:r>
    </w:p>
    <w:p w:rsidR="004C50DC" w:rsidRPr="00076B77" w:rsidRDefault="004C50DC" w:rsidP="004C50DC">
      <w:pPr>
        <w:pStyle w:val="parolesliste"/>
      </w:pPr>
    </w:p>
    <w:p w:rsidR="004C50DC" w:rsidRPr="00E8358C" w:rsidRDefault="004C50DC" w:rsidP="004C50DC">
      <w:pPr>
        <w:spacing w:before="120" w:after="120"/>
        <w:jc w:val="both"/>
      </w:pPr>
      <w:r w:rsidRPr="00E8358C">
        <w:t>Son intention n’était pas révolutionnaire contrairement à ses préd</w:t>
      </w:r>
      <w:r w:rsidRPr="00E8358C">
        <w:t>é</w:t>
      </w:r>
      <w:r w:rsidRPr="00E8358C">
        <w:t>cesseurs de la génération de 1804 ; néanmoins ce poème dénonçait les barbaries de la Traite. Plongé dans la même tristesse, Coriolan A</w:t>
      </w:r>
      <w:r w:rsidRPr="00E8358C">
        <w:t>r</w:t>
      </w:r>
      <w:r w:rsidRPr="00E8358C">
        <w:t>douin décrivait le « Départ du Négrier » qui transportait des déportées africaines arrachées à leur tribu:</w:t>
      </w:r>
    </w:p>
    <w:p w:rsidR="004C50DC" w:rsidRDefault="004C50DC" w:rsidP="004C50DC">
      <w:pPr>
        <w:pStyle w:val="parolesliste"/>
      </w:pPr>
    </w:p>
    <w:p w:rsidR="004C50DC" w:rsidRPr="00076B77" w:rsidRDefault="004C50DC" w:rsidP="004C50DC">
      <w:pPr>
        <w:pStyle w:val="parolesliste"/>
      </w:pPr>
      <w:r w:rsidRPr="00076B77">
        <w:t>Le négrier, immense oiseau,</w:t>
      </w:r>
    </w:p>
    <w:p w:rsidR="004C50DC" w:rsidRPr="00076B77" w:rsidRDefault="004C50DC" w:rsidP="004C50DC">
      <w:pPr>
        <w:pStyle w:val="parolesliste"/>
      </w:pPr>
      <w:r w:rsidRPr="00076B77">
        <w:t>Leur ouvre une serre cruelle</w:t>
      </w:r>
    </w:p>
    <w:p w:rsidR="004C50DC" w:rsidRDefault="004C50DC" w:rsidP="004C50DC">
      <w:pPr>
        <w:pStyle w:val="parolesliste"/>
      </w:pPr>
      <w:r w:rsidRPr="00076B77">
        <w:t>Et les ravit à leur berceau !</w:t>
      </w:r>
    </w:p>
    <w:p w:rsidR="004C50DC" w:rsidRPr="00076B77" w:rsidRDefault="004C50DC" w:rsidP="004C50DC">
      <w:pPr>
        <w:pStyle w:val="parolesliste"/>
      </w:pPr>
    </w:p>
    <w:p w:rsidR="004C50DC" w:rsidRPr="00E8358C" w:rsidRDefault="004C50DC" w:rsidP="004C50DC">
      <w:pPr>
        <w:spacing w:before="120" w:after="120"/>
        <w:jc w:val="both"/>
      </w:pPr>
      <w:r w:rsidRPr="00E8358C">
        <w:t xml:space="preserve">Le « Mouvement patriotique » </w:t>
      </w:r>
      <w:r w:rsidRPr="00792DC7">
        <w:t>(1860-1898)</w:t>
      </w:r>
      <w:r w:rsidRPr="00E8358C">
        <w:t xml:space="preserve"> s’est lui aussi engagé à chanter la patrie. On pouvait observer chez les écrivains de l’époque une prédisposition à défendre la patrie contre ses ennemis qui cont</w:t>
      </w:r>
      <w:r w:rsidRPr="00E8358C">
        <w:t>i</w:t>
      </w:r>
      <w:r w:rsidRPr="00E8358C">
        <w:t>nuaient à la vilipender et à la calomnier. Massillon Coicou est l’une des figures de cette mouvance littéraire. Sa réflexion sur le passé c</w:t>
      </w:r>
      <w:r w:rsidRPr="00E8358C">
        <w:t>o</w:t>
      </w:r>
      <w:r w:rsidRPr="00E8358C">
        <w:t xml:space="preserve">lonial esclavagiste </w:t>
      </w:r>
      <w:r>
        <w:t xml:space="preserve">[178] </w:t>
      </w:r>
      <w:r w:rsidRPr="00E8358C">
        <w:t>peut être un ferment indispensable pour la mémoire et pour la dynamique patrimoniale en Haïti. Il s’est mis dans la peau d’un esclave dont la complainte pose le problème de la race noire.</w:t>
      </w:r>
    </w:p>
    <w:p w:rsidR="004C50DC" w:rsidRDefault="004C50DC" w:rsidP="004C50DC">
      <w:pPr>
        <w:pStyle w:val="parolesliste"/>
      </w:pPr>
      <w:r>
        <w:br w:type="page"/>
      </w:r>
    </w:p>
    <w:p w:rsidR="004C50DC" w:rsidRDefault="004C50DC" w:rsidP="004C50DC">
      <w:pPr>
        <w:pStyle w:val="parolesliste"/>
      </w:pPr>
      <w:r w:rsidRPr="00E8358C">
        <w:t>Pourquoi donc suis-je nègre</w:t>
      </w:r>
      <w:r>
        <w:t> ? Oh ! Pourquoi suis-je Noir ?</w:t>
      </w:r>
    </w:p>
    <w:p w:rsidR="004C50DC" w:rsidRDefault="004C50DC" w:rsidP="004C50DC">
      <w:pPr>
        <w:pStyle w:val="parolesliste"/>
      </w:pPr>
      <w:r w:rsidRPr="00E8358C">
        <w:t>Lorsque Dieu m’eu</w:t>
      </w:r>
      <w:r>
        <w:t>t jeté dans le sein de ma mère,</w:t>
      </w:r>
    </w:p>
    <w:p w:rsidR="004C50DC" w:rsidRDefault="004C50DC" w:rsidP="004C50DC">
      <w:pPr>
        <w:pStyle w:val="parolesliste"/>
      </w:pPr>
      <w:r w:rsidRPr="00E8358C">
        <w:t xml:space="preserve">Pourquoi la mort </w:t>
      </w:r>
      <w:r>
        <w:t>j</w:t>
      </w:r>
      <w:r>
        <w:t>a</w:t>
      </w:r>
      <w:r>
        <w:t xml:space="preserve">louse et si prompte au devoir </w:t>
      </w:r>
    </w:p>
    <w:p w:rsidR="004C50DC" w:rsidRDefault="004C50DC" w:rsidP="004C50DC">
      <w:pPr>
        <w:pStyle w:val="parolesliste"/>
      </w:pPr>
      <w:r w:rsidRPr="00E8358C">
        <w:t>N’accourut-elle pas l’enlever de la te</w:t>
      </w:r>
      <w:r>
        <w:t>rre ?</w:t>
      </w:r>
    </w:p>
    <w:p w:rsidR="004C50DC" w:rsidRDefault="004C50DC" w:rsidP="004C50DC">
      <w:pPr>
        <w:pStyle w:val="parolesliste"/>
      </w:pPr>
      <w:r w:rsidRPr="00E8358C">
        <w:t>Je n’aurais pas con</w:t>
      </w:r>
      <w:r>
        <w:t>nu tous ces tourments a</w:t>
      </w:r>
      <w:r>
        <w:t>f</w:t>
      </w:r>
      <w:r>
        <w:t>freux ;</w:t>
      </w:r>
    </w:p>
    <w:p w:rsidR="004C50DC" w:rsidRDefault="004C50DC" w:rsidP="004C50DC">
      <w:pPr>
        <w:pStyle w:val="parolesliste"/>
      </w:pPr>
      <w:r w:rsidRPr="00E8358C">
        <w:t>Mon cœur n’aurait pas bu tant de fiel, goutte à goutte.</w:t>
      </w:r>
    </w:p>
    <w:p w:rsidR="004C50DC" w:rsidRDefault="004C50DC" w:rsidP="004C50DC">
      <w:pPr>
        <w:pStyle w:val="parolesliste"/>
      </w:pPr>
      <w:r w:rsidRPr="00E8358C">
        <w:t>Au fond de mon néa</w:t>
      </w:r>
      <w:r>
        <w:t>nt, oh ! Je s</w:t>
      </w:r>
      <w:r>
        <w:t>e</w:t>
      </w:r>
      <w:r>
        <w:t>rais, sans doute,</w:t>
      </w:r>
    </w:p>
    <w:p w:rsidR="004C50DC" w:rsidRDefault="004C50DC" w:rsidP="004C50DC">
      <w:pPr>
        <w:pStyle w:val="parolesliste"/>
      </w:pPr>
      <w:r w:rsidRPr="00E8358C">
        <w:t>Moins plaintif, plus heureux.</w:t>
      </w:r>
    </w:p>
    <w:p w:rsidR="004C50DC" w:rsidRDefault="004C50DC" w:rsidP="004C50DC">
      <w:pPr>
        <w:pStyle w:val="parolesliste"/>
      </w:pPr>
      <w:r w:rsidRPr="00E8358C">
        <w:t>Mais Dieu m’a condamn</w:t>
      </w:r>
      <w:r>
        <w:t>é, le sort doit me poursu</w:t>
      </w:r>
      <w:r>
        <w:t>i</w:t>
      </w:r>
      <w:r>
        <w:t>vre ;</w:t>
      </w:r>
    </w:p>
    <w:p w:rsidR="004C50DC" w:rsidRPr="00E8358C" w:rsidRDefault="004C50DC" w:rsidP="004C50DC">
      <w:pPr>
        <w:pStyle w:val="parolesliste"/>
      </w:pPr>
      <w:r w:rsidRPr="00E8358C">
        <w:t>De mon sang, de mes pleurs, il faut que tout s’enivre !</w:t>
      </w:r>
    </w:p>
    <w:p w:rsidR="004C50DC" w:rsidRDefault="004C50DC" w:rsidP="004C50DC">
      <w:pPr>
        <w:pStyle w:val="parolesliste"/>
      </w:pPr>
    </w:p>
    <w:p w:rsidR="004C50DC" w:rsidRDefault="004C50DC" w:rsidP="004C50DC">
      <w:pPr>
        <w:pStyle w:val="parolesliste"/>
        <w:rPr>
          <w:i/>
        </w:rPr>
      </w:pPr>
      <w:r w:rsidRPr="00E8358C">
        <w:t xml:space="preserve">Coicou, </w:t>
      </w:r>
      <w:r w:rsidRPr="00E8358C">
        <w:rPr>
          <w:i/>
        </w:rPr>
        <w:t>Complaintes d’esclaves</w:t>
      </w:r>
    </w:p>
    <w:p w:rsidR="004C50DC" w:rsidRPr="00E8358C" w:rsidRDefault="004C50DC" w:rsidP="004C50DC">
      <w:pPr>
        <w:pStyle w:val="parolesliste"/>
      </w:pPr>
    </w:p>
    <w:p w:rsidR="004C50DC" w:rsidRPr="00E8358C" w:rsidRDefault="004C50DC" w:rsidP="004C50DC">
      <w:pPr>
        <w:spacing w:before="120" w:after="120"/>
        <w:jc w:val="both"/>
      </w:pPr>
      <w:r w:rsidRPr="00E8358C">
        <w:t>Laënnec Hurbon, entre autres analyses, estime que, « au niveau li</w:t>
      </w:r>
      <w:r w:rsidRPr="00E8358C">
        <w:t>t</w:t>
      </w:r>
      <w:r w:rsidRPr="00E8358C">
        <w:t>téraire et scientifique, la fin du XIX</w:t>
      </w:r>
      <w:r w:rsidRPr="00E8358C">
        <w:rPr>
          <w:vertAlign w:val="superscript"/>
        </w:rPr>
        <w:t>e</w:t>
      </w:r>
      <w:r w:rsidRPr="00E8358C">
        <w:t xml:space="preserve"> siècle haïtien sera dominée par les travaux visant tous la défense et la réhabilitation des Noirs face à l’opinion internationale »</w:t>
      </w:r>
      <w:r>
        <w:t> </w:t>
      </w:r>
      <w:r>
        <w:rPr>
          <w:rStyle w:val="Appelnotedebasdep"/>
        </w:rPr>
        <w:footnoteReference w:id="525"/>
      </w:r>
      <w:r w:rsidRPr="00E8358C">
        <w:t>.</w:t>
      </w:r>
    </w:p>
    <w:p w:rsidR="004C50DC" w:rsidRDefault="004C50DC" w:rsidP="004C50DC">
      <w:pPr>
        <w:spacing w:before="120" w:after="120"/>
        <w:jc w:val="both"/>
      </w:pPr>
      <w:r w:rsidRPr="00E8358C">
        <w:t>Les écrivains de la Génération de la Ronde (1898-1915) étaient des passionnés de liberté, de justice et de vérité. Ils luttaient contre la m</w:t>
      </w:r>
      <w:r w:rsidRPr="00E8358C">
        <w:t>é</w:t>
      </w:r>
      <w:r w:rsidRPr="00E8358C">
        <w:t>diocrité politique et prônaient une société morale en Haïti. Ils ne s’intéressaient presque pas au passé colonial esclavagiste. Ils croyaient que le moment était venu de lutter pour un changement int</w:t>
      </w:r>
      <w:r w:rsidRPr="00E8358C">
        <w:t>é</w:t>
      </w:r>
      <w:r w:rsidRPr="00E8358C">
        <w:t>rieur dans les affaires publiques. Leurs rêves périssaient comme ceux des déportés africains dans les fonds de cales des négriers lors de la traversée. Ils se lamentaient sur leur sort, se résignaient et se livraient à leur destin, à l’exception de Georges Sylvain qui, au débarquement des troupes d’occupation américaine en 1915 et guidé par son sent</w:t>
      </w:r>
      <w:r w:rsidRPr="00E8358C">
        <w:t>i</w:t>
      </w:r>
      <w:r w:rsidRPr="00E8358C">
        <w:t>ment patriotique, s’écria : « Je ne me résignerai pas à cette occupation, je lutterai jusqu’au bout pour libérer Haïti. […]  Nous lutterons, nous et nos enfants, tant que notre patrie n’aura pas recouvré la plénitude de son indépendance ». La liberté était trop précieuse pour que les Haïtiens la laissent se faire fouler aux pieds une nouvelle fois. Du coup, le souvenir du passé colonial a ranimé la flamme de la mémoire des atrocités de l’esclavage. Sylvain s’est devenu une figure rema</w:t>
      </w:r>
      <w:r w:rsidRPr="00E8358C">
        <w:t>r</w:t>
      </w:r>
      <w:r w:rsidRPr="00E8358C">
        <w:t>quable de la résistance à l’occ</w:t>
      </w:r>
      <w:r>
        <w:t>upation américaine.</w:t>
      </w:r>
    </w:p>
    <w:p w:rsidR="004C50DC" w:rsidRDefault="004C50DC" w:rsidP="004C50DC">
      <w:pPr>
        <w:spacing w:before="120" w:after="120"/>
        <w:jc w:val="both"/>
      </w:pPr>
      <w:r>
        <w:t>[179]</w:t>
      </w:r>
    </w:p>
    <w:p w:rsidR="004C50DC" w:rsidRPr="00E8358C" w:rsidRDefault="004C50DC" w:rsidP="004C50DC">
      <w:pPr>
        <w:spacing w:before="120" w:after="120"/>
        <w:jc w:val="both"/>
      </w:pPr>
    </w:p>
    <w:p w:rsidR="004C50DC" w:rsidRPr="001137B7" w:rsidRDefault="004C50DC" w:rsidP="004C50DC">
      <w:pPr>
        <w:pStyle w:val="b"/>
      </w:pPr>
      <w:bookmarkStart w:id="176" w:name="_Toc406489685"/>
      <w:bookmarkStart w:id="177" w:name="_Toc423347304"/>
      <w:bookmarkStart w:id="178" w:name="_Toc442280483"/>
      <w:r w:rsidRPr="001137B7">
        <w:t>L’École ind</w:t>
      </w:r>
      <w:r>
        <w:t>igéniste haïtienne :</w:t>
      </w:r>
      <w:r>
        <w:br/>
      </w:r>
      <w:r w:rsidRPr="001137B7">
        <w:t>la culture populaire et l’évocation</w:t>
      </w:r>
      <w:r w:rsidRPr="00E8358C">
        <w:rPr>
          <w:b/>
        </w:rPr>
        <w:t xml:space="preserve"> </w:t>
      </w:r>
      <w:r w:rsidRPr="001137B7">
        <w:t>des racines africaines</w:t>
      </w:r>
      <w:r>
        <w:br/>
      </w:r>
      <w:r w:rsidRPr="001137B7">
        <w:t>inspirent la lutte contre l’oppresseur étranger</w:t>
      </w:r>
      <w:bookmarkEnd w:id="176"/>
      <w:bookmarkEnd w:id="177"/>
      <w:bookmarkEnd w:id="178"/>
    </w:p>
    <w:p w:rsidR="004C50DC" w:rsidRDefault="004C50DC" w:rsidP="004C50DC">
      <w:pPr>
        <w:spacing w:before="120" w:after="120"/>
        <w:jc w:val="both"/>
      </w:pPr>
    </w:p>
    <w:p w:rsidR="004C50DC" w:rsidRPr="00E8358C" w:rsidRDefault="004C50DC" w:rsidP="004C50DC">
      <w:pPr>
        <w:spacing w:before="120" w:after="120"/>
        <w:jc w:val="both"/>
      </w:pPr>
      <w:r w:rsidRPr="00E8358C">
        <w:t>L’école indigéniste (1927-1946) prend le relais de la lutte intelle</w:t>
      </w:r>
      <w:r w:rsidRPr="00E8358C">
        <w:t>c</w:t>
      </w:r>
      <w:r w:rsidRPr="00E8358C">
        <w:t>tuelle contre l’occupation américaine et l’ingérence étrangère. C’est un mouvement à la fois littéraire et anthropologique au début du XX</w:t>
      </w:r>
      <w:r w:rsidRPr="00E8358C">
        <w:rPr>
          <w:vertAlign w:val="superscript"/>
        </w:rPr>
        <w:t>e</w:t>
      </w:r>
      <w:r w:rsidRPr="00E8358C">
        <w:t xml:space="preserve"> siècle en Haïti. Ce fut une véritable « révolution culturelle »</w:t>
      </w:r>
      <w:r>
        <w:t> </w:t>
      </w:r>
      <w:r>
        <w:rPr>
          <w:rStyle w:val="Appelnotedebasdep"/>
        </w:rPr>
        <w:footnoteReference w:id="526"/>
      </w:r>
      <w:r w:rsidRPr="00E8358C">
        <w:t>. Le ra</w:t>
      </w:r>
      <w:r w:rsidRPr="00E8358C">
        <w:t>p</w:t>
      </w:r>
      <w:r w:rsidRPr="00E8358C">
        <w:t>pel des racines africaines et la valorisation de la culture populaire ha</w:t>
      </w:r>
      <w:r w:rsidRPr="00E8358C">
        <w:t>ï</w:t>
      </w:r>
      <w:r w:rsidRPr="00E8358C">
        <w:t xml:space="preserve">tienne devinrent la source des âmes inspiratrices des écrivains ainsi que de leurs luttes. Ces derniers répondent à l’appel de leur chef de file, </w:t>
      </w:r>
      <w:r w:rsidRPr="00E8358C">
        <w:rPr>
          <w:rStyle w:val="bodytextlarge"/>
          <w:iCs/>
        </w:rPr>
        <w:t xml:space="preserve">Jean Price-Mars, qui les invite à devenir des créateurs en s’appropriant les pratiques culturelles haïtiennes. </w:t>
      </w:r>
      <w:r w:rsidRPr="00E8358C">
        <w:rPr>
          <w:rStyle w:val="Accentuation"/>
        </w:rPr>
        <w:t xml:space="preserve">Ainsi parla l’Oncle </w:t>
      </w:r>
      <w:r w:rsidRPr="00E8358C">
        <w:rPr>
          <w:rStyle w:val="Accentuation"/>
          <w:i w:val="0"/>
        </w:rPr>
        <w:t>(</w:t>
      </w:r>
      <w:r w:rsidRPr="00E8358C">
        <w:t>1927) fut l’ouvrage de référence qui a fait de Price-Mars le théoricien de l’école indigéniste</w:t>
      </w:r>
      <w:r>
        <w:t> </w:t>
      </w:r>
      <w:r>
        <w:rPr>
          <w:rStyle w:val="Appelnotedebasdep"/>
        </w:rPr>
        <w:footnoteReference w:id="527"/>
      </w:r>
      <w:r w:rsidRPr="00E8358C">
        <w:t>. Pour Raphaël Berrou et Pradel Pompilus,  </w:t>
      </w:r>
    </w:p>
    <w:p w:rsidR="004C50DC" w:rsidRDefault="004C50DC" w:rsidP="004C50DC">
      <w:pPr>
        <w:pStyle w:val="Citation0"/>
        <w:rPr>
          <w:i/>
        </w:rPr>
      </w:pPr>
    </w:p>
    <w:p w:rsidR="004C50DC" w:rsidRDefault="004C50DC" w:rsidP="004C50DC">
      <w:pPr>
        <w:pStyle w:val="Citation0"/>
      </w:pPr>
      <w:r w:rsidRPr="00E8358C">
        <w:rPr>
          <w:i/>
        </w:rPr>
        <w:t>Ainsi parla l’oncle</w:t>
      </w:r>
      <w:r w:rsidRPr="00E8358C">
        <w:t>, en invitant les intellectuels haïtiens à prendre con</w:t>
      </w:r>
      <w:r w:rsidRPr="00E8358C">
        <w:t>s</w:t>
      </w:r>
      <w:r w:rsidRPr="00E8358C">
        <w:t>cience des valeurs de civilisation du monde noir qui font partie de leur p</w:t>
      </w:r>
      <w:r w:rsidRPr="00E8358C">
        <w:t>a</w:t>
      </w:r>
      <w:r w:rsidRPr="00E8358C">
        <w:t>trimoine culturel, ajoutait à l’indigénisme une dimension proprement afr</w:t>
      </w:r>
      <w:r w:rsidRPr="00E8358C">
        <w:t>i</w:t>
      </w:r>
      <w:r w:rsidRPr="00E8358C">
        <w:t>caine : écrivains, musiciens, peintres, architectes, artisans, gens du monde comprirent la leçon et ce fut un renouveau de toute notre mode de penser, de sentir et de vivre</w:t>
      </w:r>
      <w:r>
        <w:t> </w:t>
      </w:r>
      <w:r>
        <w:rPr>
          <w:rStyle w:val="Appelnotedebasdep"/>
        </w:rPr>
        <w:footnoteReference w:id="528"/>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Il faut souligner qu’Émile Roumer n’a jamais reconnu Price-Mars comme le père de l’Indigénisme. Dans une entrevue que Roumer avait accordée à Christophe Philippe-Charles, il a déclaré : « Je ne reco</w:t>
      </w:r>
      <w:r w:rsidRPr="00E8358C">
        <w:t>n</w:t>
      </w:r>
      <w:r w:rsidRPr="00E8358C">
        <w:t>nais pas Price-Mars comme le père de l’Indigénisme. Voyez-vous son nom dans la revue Indigène ? […] lorsque nous luttions contre les Américains, il n’était pas là. Il n’est qu’un romancier »</w:t>
      </w:r>
      <w:r>
        <w:t> </w:t>
      </w:r>
      <w:r>
        <w:rPr>
          <w:rStyle w:val="Appelnotedebasdep"/>
        </w:rPr>
        <w:footnoteReference w:id="529"/>
      </w:r>
      <w:r w:rsidRPr="00E8358C">
        <w:t>. Pour Ro</w:t>
      </w:r>
      <w:r w:rsidRPr="00E8358C">
        <w:t>u</w:t>
      </w:r>
      <w:r w:rsidRPr="00E8358C">
        <w:t>mer, un prosateur ne</w:t>
      </w:r>
      <w:r>
        <w:t xml:space="preserve"> [180]</w:t>
      </w:r>
      <w:r w:rsidRPr="00E8358C">
        <w:t xml:space="preserve"> saurait être le père d’un mouvement poét</w:t>
      </w:r>
      <w:r w:rsidRPr="00E8358C">
        <w:t>i</w:t>
      </w:r>
      <w:r w:rsidRPr="00E8358C">
        <w:t>que : « les Haïtiens exagèrent tellement qu’ils veulent faire passer un prosateur comme chef d’une école poétique»</w:t>
      </w:r>
      <w:r>
        <w:t> </w:t>
      </w:r>
      <w:r>
        <w:rPr>
          <w:rStyle w:val="Appelnotedebasdep"/>
        </w:rPr>
        <w:footnoteReference w:id="530"/>
      </w:r>
      <w:r>
        <w:t>.</w:t>
      </w:r>
    </w:p>
    <w:p w:rsidR="004C50DC" w:rsidRPr="00E8358C" w:rsidRDefault="004C50DC" w:rsidP="004C50DC">
      <w:pPr>
        <w:spacing w:before="120" w:after="120"/>
        <w:jc w:val="both"/>
      </w:pPr>
      <w:r w:rsidRPr="00E8358C">
        <w:t>Ce livre, dans le contexte de l’occupation américaine (1915-1934), était une source d’atténuation des calomnies, des accusations, des h</w:t>
      </w:r>
      <w:r w:rsidRPr="00E8358C">
        <w:t>u</w:t>
      </w:r>
      <w:r w:rsidRPr="00E8358C">
        <w:t>miliations et de la souffrance des Haïtiens. Il contribuait à renforcer le nationalisme haïtien qui « était dirigé contre l’occupation militaire d’Haïti par les États-Unis, et contre l’impérialisme culturel fra</w:t>
      </w:r>
      <w:r w:rsidRPr="00E8358C">
        <w:t>n</w:t>
      </w:r>
      <w:r w:rsidRPr="00E8358C">
        <w:t>çais »</w:t>
      </w:r>
      <w:r>
        <w:t> </w:t>
      </w:r>
      <w:r>
        <w:rPr>
          <w:rStyle w:val="Appelnotedebasdep"/>
        </w:rPr>
        <w:footnoteReference w:id="531"/>
      </w:r>
      <w:r w:rsidRPr="00E8358C">
        <w:t>. Price-Mars voulait redonner l’espoir de vivre dans une Haïti libre qui se tournait vers l’Afrique. Il était pour lui inconcevable que l’appellation « Africain » continue à offusquer un Haïtien. Selon Pr</w:t>
      </w:r>
      <w:r w:rsidRPr="00E8358C">
        <w:t>i</w:t>
      </w:r>
      <w:r w:rsidRPr="00E8358C">
        <w:t xml:space="preserve">ce-Mars : </w:t>
      </w:r>
    </w:p>
    <w:p w:rsidR="004C50DC" w:rsidRDefault="004C50DC" w:rsidP="004C50DC">
      <w:pPr>
        <w:pStyle w:val="Citation0"/>
      </w:pPr>
    </w:p>
    <w:p w:rsidR="004C50DC" w:rsidRPr="00E8358C" w:rsidRDefault="004C50DC" w:rsidP="004C50DC">
      <w:pPr>
        <w:pStyle w:val="Citation0"/>
      </w:pPr>
      <w:r w:rsidRPr="00E8358C">
        <w:t>Quant à celui « d’Africain », il a toujours été, il est l’apostrophe la plus humiliante qui puisse être adressée à un Haïtien. À la rigueur, l’homme le plus distingué de ce pays aimerait mieux qu’on lui trouve quelque resse</w:t>
      </w:r>
      <w:r w:rsidRPr="00E8358C">
        <w:t>m</w:t>
      </w:r>
      <w:r w:rsidRPr="00E8358C">
        <w:t>blance à un Esquimau, un Samoyède ou un Toungouze plutôt que de lui rappeler son ascendance guinéenne ou soudanaise</w:t>
      </w:r>
      <w:r>
        <w:t> </w:t>
      </w:r>
      <w:r w:rsidRPr="00E8358C">
        <w:rPr>
          <w:rStyle w:val="Appelnotedebasdep"/>
          <w:szCs w:val="22"/>
        </w:rPr>
        <w:footnoteReference w:id="532"/>
      </w:r>
      <w:r w:rsidRPr="00E8358C">
        <w:t xml:space="preserve">. </w:t>
      </w:r>
    </w:p>
    <w:p w:rsidR="004C50DC" w:rsidRPr="00E8358C" w:rsidRDefault="004C50DC" w:rsidP="004C50DC">
      <w:pPr>
        <w:spacing w:before="120" w:after="120"/>
        <w:jc w:val="both"/>
        <w:rPr>
          <w:rStyle w:val="bodytextlarge"/>
        </w:rPr>
      </w:pPr>
      <w:r w:rsidRPr="00E8358C">
        <w:t>Auguste Magloire</w:t>
      </w:r>
      <w:r>
        <w:t> </w:t>
      </w:r>
      <w:r>
        <w:rPr>
          <w:rStyle w:val="Appelnotedebasdep"/>
        </w:rPr>
        <w:footnoteReference w:id="533"/>
      </w:r>
      <w:r w:rsidRPr="00E8358C">
        <w:t xml:space="preserve"> laisse croire, dans les colonnes du journal </w:t>
      </w:r>
      <w:r w:rsidRPr="00E8358C">
        <w:rPr>
          <w:i/>
        </w:rPr>
        <w:t>L</w:t>
      </w:r>
      <w:r w:rsidRPr="00E8358C">
        <w:rPr>
          <w:i/>
        </w:rPr>
        <w:t>e</w:t>
      </w:r>
      <w:r w:rsidRPr="00E8358C">
        <w:rPr>
          <w:i/>
        </w:rPr>
        <w:t>Matin</w:t>
      </w:r>
      <w:r w:rsidRPr="00E8358C">
        <w:t xml:space="preserve"> de novembre 1928, que « l’africanisme intransigeant respire le livre</w:t>
      </w:r>
      <w:r w:rsidRPr="00E8358C">
        <w:rPr>
          <w:i/>
        </w:rPr>
        <w:t xml:space="preserve"> Ainsi parla l’oncle </w:t>
      </w:r>
      <w:r w:rsidRPr="00E8358C">
        <w:t>». Malgré ces virulentes critiques, Louis Di</w:t>
      </w:r>
      <w:r w:rsidRPr="00E8358C">
        <w:t>a</w:t>
      </w:r>
      <w:r w:rsidRPr="00E8358C">
        <w:t>quoi a écrit que l’ouvrage « eut l’heur de plaire à la jeune génér</w:t>
      </w:r>
      <w:r w:rsidRPr="00E8358C">
        <w:t>a</w:t>
      </w:r>
      <w:r w:rsidRPr="00E8358C">
        <w:t>tion qui crut trouver dans sa magistrale préface une façon de profe</w:t>
      </w:r>
      <w:r w:rsidRPr="00E8358C">
        <w:t>s</w:t>
      </w:r>
      <w:r w:rsidRPr="00E8358C">
        <w:t>sion de foi »</w:t>
      </w:r>
      <w:r>
        <w:t> </w:t>
      </w:r>
      <w:r>
        <w:rPr>
          <w:rStyle w:val="Appelnotedebasdep"/>
        </w:rPr>
        <w:footnoteReference w:id="534"/>
      </w:r>
      <w:r w:rsidRPr="00E8358C">
        <w:t>. À la publication de ce livre, l’étude du folklore ha</w:t>
      </w:r>
      <w:r w:rsidRPr="00E8358C">
        <w:t>ï</w:t>
      </w:r>
      <w:r w:rsidRPr="00E8358C">
        <w:t>tien avait entraîné un véritable engouement pour l’ethnographie traditio</w:t>
      </w:r>
      <w:r w:rsidRPr="00E8358C">
        <w:t>n</w:t>
      </w:r>
      <w:r w:rsidRPr="00E8358C">
        <w:t>nelle</w:t>
      </w:r>
      <w:r>
        <w:t> </w:t>
      </w:r>
      <w:r w:rsidRPr="00E8358C">
        <w:rPr>
          <w:rStyle w:val="Appelnotedebasdep"/>
        </w:rPr>
        <w:footnoteReference w:id="535"/>
      </w:r>
      <w:r w:rsidRPr="00E8358C">
        <w:t>.</w:t>
      </w:r>
      <w:r>
        <w:t xml:space="preserve"> </w:t>
      </w:r>
      <w:r w:rsidRPr="00E8358C">
        <w:rPr>
          <w:i/>
        </w:rPr>
        <w:t>Ainsi Parla l’Oncle</w:t>
      </w:r>
      <w:r w:rsidRPr="00E8358C">
        <w:t xml:space="preserve"> a influencé</w:t>
      </w:r>
      <w:r>
        <w:t xml:space="preserve"> [181]</w:t>
      </w:r>
      <w:r w:rsidRPr="00E8358C">
        <w:t xml:space="preserve"> l’avènement du courant littéraire et idéologique des intellectuels noirs du monde francophone : la N</w:t>
      </w:r>
      <w:r w:rsidRPr="00E8358C">
        <w:t>é</w:t>
      </w:r>
      <w:r w:rsidRPr="00E8358C">
        <w:t>gritude. Émile Roumer reconnaît cette paternité : « la seule chance de cet ouvrage est venue du fait qu’il est tombé entre les mains de Sen</w:t>
      </w:r>
      <w:r w:rsidRPr="00E8358C">
        <w:t>g</w:t>
      </w:r>
      <w:r w:rsidRPr="00E8358C">
        <w:t>hor et de Césaire qui s’en sont inspirés pour faire la négritude »</w:t>
      </w:r>
      <w:r>
        <w:t> </w:t>
      </w:r>
      <w:r>
        <w:rPr>
          <w:rStyle w:val="Appelnotedebasdep"/>
        </w:rPr>
        <w:footnoteReference w:id="536"/>
      </w:r>
      <w:r w:rsidRPr="00E8358C">
        <w:t>. To</w:t>
      </w:r>
      <w:r w:rsidRPr="00E8358C">
        <w:t>u</w:t>
      </w:r>
      <w:r w:rsidRPr="00E8358C">
        <w:t>tefois, Price-Mars avait pris le soin de « distinguer l’indigénisme de la négritude et du noirisme »</w:t>
      </w:r>
      <w:r>
        <w:t> </w:t>
      </w:r>
      <w:r>
        <w:rPr>
          <w:rStyle w:val="Appelnotedebasdep"/>
        </w:rPr>
        <w:footnoteReference w:id="537"/>
      </w:r>
      <w:r w:rsidRPr="00E8358C">
        <w:t xml:space="preserve">. Plus tard, </w:t>
      </w:r>
      <w:r w:rsidRPr="00E8358C">
        <w:rPr>
          <w:rStyle w:val="bodytextlarge"/>
          <w:iCs/>
        </w:rPr>
        <w:t xml:space="preserve">l’école historico-culturelle dénommée </w:t>
      </w:r>
      <w:r w:rsidRPr="00E8358C">
        <w:rPr>
          <w:rStyle w:val="bodytextlarge"/>
          <w:i/>
          <w:iCs/>
        </w:rPr>
        <w:t>les Griots</w:t>
      </w:r>
      <w:r w:rsidRPr="00E8358C">
        <w:rPr>
          <w:rStyle w:val="bodytextlarge"/>
          <w:iCs/>
        </w:rPr>
        <w:t>allait choisir Jean Price-Mars comme son fond</w:t>
      </w:r>
      <w:r w:rsidRPr="00E8358C">
        <w:rPr>
          <w:rStyle w:val="bodytextlarge"/>
          <w:iCs/>
        </w:rPr>
        <w:t>a</w:t>
      </w:r>
      <w:r w:rsidRPr="00E8358C">
        <w:rPr>
          <w:rStyle w:val="bodytextlarge"/>
          <w:iCs/>
        </w:rPr>
        <w:t>teur et son guide spirituel.</w:t>
      </w:r>
    </w:p>
    <w:p w:rsidR="004C50DC" w:rsidRPr="00E8358C" w:rsidRDefault="004C50DC" w:rsidP="004C50DC">
      <w:pPr>
        <w:spacing w:before="120" w:after="120"/>
        <w:jc w:val="both"/>
      </w:pPr>
      <w:r w:rsidRPr="00E8358C">
        <w:rPr>
          <w:rStyle w:val="bodytextlarge"/>
          <w:iCs/>
        </w:rPr>
        <w:t>Pour Jean Price-Mars, toute imitation des cultures et des pratiques sociales des puissances étrangères risquerait de plonger le pays dans un « </w:t>
      </w:r>
      <w:r w:rsidRPr="00E8358C">
        <w:t xml:space="preserve">bovarysme culturel » qu’il condamne vivement. L’idée d’une France capitale des </w:t>
      </w:r>
      <w:r w:rsidRPr="00E8358C">
        <w:rPr>
          <w:rStyle w:val="Accentuation"/>
          <w:i w:val="0"/>
        </w:rPr>
        <w:t>peuples et des cultures est révolue</w:t>
      </w:r>
      <w:r w:rsidRPr="00E8358C">
        <w:rPr>
          <w:rStyle w:val="Accentuation"/>
        </w:rPr>
        <w:t xml:space="preserve">. </w:t>
      </w:r>
      <w:r w:rsidRPr="00E8358C">
        <w:rPr>
          <w:rStyle w:val="apple-converted-space"/>
        </w:rPr>
        <w:t xml:space="preserve">Il ne faut plus prendre </w:t>
      </w:r>
      <w:r w:rsidRPr="00E8358C">
        <w:t>Haïti pour la France noire, comme l’a dit l’historien français Jules Michelet</w:t>
      </w:r>
      <w:r>
        <w:t> </w:t>
      </w:r>
      <w:r>
        <w:rPr>
          <w:rStyle w:val="Appelnotedebasdep"/>
        </w:rPr>
        <w:footnoteReference w:id="538"/>
      </w:r>
      <w:r w:rsidRPr="00E8358C">
        <w:t xml:space="preserve">. L’indigénisme veut revaloriser </w:t>
      </w:r>
      <w:r w:rsidRPr="00E8358C">
        <w:rPr>
          <w:rStyle w:val="bodytextlarge"/>
          <w:iCs/>
        </w:rPr>
        <w:t>les pratiques culture</w:t>
      </w:r>
      <w:r w:rsidRPr="00E8358C">
        <w:rPr>
          <w:rStyle w:val="bodytextlarge"/>
          <w:iCs/>
        </w:rPr>
        <w:t>l</w:t>
      </w:r>
      <w:r w:rsidRPr="00E8358C">
        <w:rPr>
          <w:rStyle w:val="bodytextlarge"/>
          <w:iCs/>
        </w:rPr>
        <w:t xml:space="preserve">les haïtiennes et la race noire. </w:t>
      </w:r>
      <w:r w:rsidRPr="00E8358C">
        <w:t>Cependant, Price-Mars est critiqué pour « son incapacité à produire une légitimation de l’État ; son inc</w:t>
      </w:r>
      <w:r w:rsidRPr="00E8358C">
        <w:t>a</w:t>
      </w:r>
      <w:r w:rsidRPr="00E8358C">
        <w:t>pacité à sortir des références étrangères (soit françaises/latines soit anglo-saxonnes) pour poser une référence interne apte à recueillir l’adhésion de toutes les catégories de la société haïtienne»</w:t>
      </w:r>
      <w:r>
        <w:t> </w:t>
      </w:r>
      <w:r>
        <w:rPr>
          <w:rStyle w:val="Appelnotedebasdep"/>
        </w:rPr>
        <w:footnoteReference w:id="539"/>
      </w:r>
      <w:r w:rsidRPr="00E8358C">
        <w:t>.</w:t>
      </w:r>
    </w:p>
    <w:p w:rsidR="004C50DC" w:rsidRPr="00E8358C" w:rsidRDefault="004C50DC" w:rsidP="004C50DC">
      <w:pPr>
        <w:spacing w:before="120" w:after="120"/>
        <w:jc w:val="both"/>
      </w:pPr>
      <w:r w:rsidRPr="00E8358C">
        <w:t>Les critiques émises contre Price-Mars pour avoir préconisé « un retour à l’Afrique »</w:t>
      </w:r>
      <w:r>
        <w:t> </w:t>
      </w:r>
      <w:r>
        <w:rPr>
          <w:rStyle w:val="Appelnotedebasdep"/>
        </w:rPr>
        <w:footnoteReference w:id="540"/>
      </w:r>
      <w:r w:rsidRPr="00E8358C">
        <w:t xml:space="preserve"> n’amenuisent pas son influence sur les jeunes et les écrivains de sa génération et même après. </w:t>
      </w:r>
      <w:r w:rsidRPr="00E8358C">
        <w:rPr>
          <w:rStyle w:val="bodytextlarge"/>
          <w:iCs/>
        </w:rPr>
        <w:t>Des auteurs comme Jean François Brierre, Jacques Roumain, Carl Bouard faisaient partie du groupe d’écrivains qui dénonçaient les humiliations</w:t>
      </w:r>
      <w:r>
        <w:rPr>
          <w:rStyle w:val="bodytextlarge"/>
          <w:iCs/>
        </w:rPr>
        <w:t> </w:t>
      </w:r>
      <w:r>
        <w:rPr>
          <w:rStyle w:val="Appelnotedebasdep"/>
          <w:iCs/>
        </w:rPr>
        <w:footnoteReference w:id="541"/>
      </w:r>
      <w:r w:rsidRPr="00E8358C">
        <w:rPr>
          <w:rStyle w:val="bodytextlarge"/>
          <w:iCs/>
        </w:rPr>
        <w:t xml:space="preserve"> et les abus des occupants.  </w:t>
      </w:r>
      <w:r w:rsidRPr="00E8358C">
        <w:t>Le regard des Haïtiens doit se retourner vers Haïti et r</w:t>
      </w:r>
      <w:r w:rsidRPr="00E8358C">
        <w:t>e</w:t>
      </w:r>
      <w:r w:rsidRPr="00E8358C">
        <w:t>nouer avec l’Afrique, disait Carl</w:t>
      </w:r>
      <w:r>
        <w:t xml:space="preserve"> [182]</w:t>
      </w:r>
      <w:r w:rsidRPr="00E8358C">
        <w:t xml:space="preserve"> Bouard, dans « Afrique » :</w:t>
      </w:r>
    </w:p>
    <w:p w:rsidR="004C50DC" w:rsidRDefault="004C50DC" w:rsidP="004C50DC">
      <w:pPr>
        <w:pStyle w:val="parolesliste"/>
        <w:rPr>
          <w:rStyle w:val="Accentuation"/>
          <w:i w:val="0"/>
        </w:rPr>
      </w:pPr>
    </w:p>
    <w:p w:rsidR="004C50DC" w:rsidRPr="00C918A2" w:rsidRDefault="004C50DC" w:rsidP="004C50DC">
      <w:pPr>
        <w:pStyle w:val="parolesliste"/>
        <w:rPr>
          <w:i/>
        </w:rPr>
      </w:pPr>
      <w:r w:rsidRPr="00C918A2">
        <w:rPr>
          <w:rStyle w:val="Accentuation"/>
          <w:i w:val="0"/>
        </w:rPr>
        <w:t>Afrique</w:t>
      </w:r>
      <w:r w:rsidRPr="00C918A2">
        <w:rPr>
          <w:rStyle w:val="apple-converted-space"/>
          <w:i/>
          <w:iCs/>
        </w:rPr>
        <w:t> </w:t>
      </w:r>
    </w:p>
    <w:p w:rsidR="004C50DC" w:rsidRPr="00C918A2" w:rsidRDefault="004C50DC" w:rsidP="004C50DC">
      <w:pPr>
        <w:pStyle w:val="parolesliste"/>
        <w:rPr>
          <w:rStyle w:val="apple-converted-space"/>
          <w:i/>
          <w:iCs/>
        </w:rPr>
      </w:pPr>
      <w:r w:rsidRPr="00C918A2">
        <w:rPr>
          <w:rStyle w:val="Accentuation"/>
          <w:i w:val="0"/>
        </w:rPr>
        <w:t>Tes enfants t’envoient le salut,</w:t>
      </w:r>
    </w:p>
    <w:p w:rsidR="004C50DC" w:rsidRDefault="004C50DC" w:rsidP="004C50DC">
      <w:pPr>
        <w:pStyle w:val="parolesliste"/>
        <w:rPr>
          <w:rStyle w:val="Accentuation"/>
          <w:i w:val="0"/>
        </w:rPr>
      </w:pPr>
      <w:r w:rsidRPr="00C918A2">
        <w:rPr>
          <w:rStyle w:val="Accentuation"/>
          <w:i w:val="0"/>
        </w:rPr>
        <w:t>Maternelle Afrique…</w:t>
      </w:r>
      <w:r>
        <w:rPr>
          <w:rStyle w:val="Accentuation"/>
          <w:i w:val="0"/>
        </w:rPr>
        <w:t> </w:t>
      </w:r>
      <w:r>
        <w:rPr>
          <w:rStyle w:val="Appelnotedebasdep"/>
          <w:iCs/>
        </w:rPr>
        <w:footnoteReference w:id="542"/>
      </w:r>
    </w:p>
    <w:p w:rsidR="004C50DC" w:rsidRPr="00C918A2" w:rsidRDefault="004C50DC" w:rsidP="004C50DC">
      <w:pPr>
        <w:pStyle w:val="parolesliste"/>
        <w:rPr>
          <w:rStyle w:val="Accentuation"/>
          <w:i w:val="0"/>
        </w:rPr>
      </w:pPr>
    </w:p>
    <w:p w:rsidR="004C50DC" w:rsidRPr="00E8358C" w:rsidRDefault="004C50DC" w:rsidP="004C50DC">
      <w:pPr>
        <w:spacing w:before="120" w:after="120"/>
        <w:jc w:val="both"/>
        <w:rPr>
          <w:rStyle w:val="titlelevel0"/>
          <w:rFonts w:eastAsia="Calibri"/>
          <w:lang w:eastAsia="fr-FR"/>
        </w:rPr>
      </w:pPr>
      <w:r w:rsidRPr="00E8358C">
        <w:t>Le mouvement indigéniste entend utiliser la langue créole comme outil de résistance et preuve d’une adaptation linguistique réalisée par les esclaves sur les habitations coloniales. Les écrivains de ce mo</w:t>
      </w:r>
      <w:r w:rsidRPr="00E8358C">
        <w:t>u</w:t>
      </w:r>
      <w:r w:rsidRPr="00E8358C">
        <w:t xml:space="preserve">vement avaient voulu exposer la valeur de la culture haïtienne dans une langue compréhensible pour l’ensemble des Haïtiens. </w:t>
      </w:r>
      <w:r w:rsidRPr="00E8358C">
        <w:rPr>
          <w:i/>
        </w:rPr>
        <w:t>G</w:t>
      </w:r>
      <w:r w:rsidRPr="00E8358C">
        <w:rPr>
          <w:rStyle w:val="Accentuation"/>
        </w:rPr>
        <w:t>ouve</w:t>
      </w:r>
      <w:r w:rsidRPr="00E8358C">
        <w:rPr>
          <w:rStyle w:val="Accentuation"/>
        </w:rPr>
        <w:t>r</w:t>
      </w:r>
      <w:r w:rsidRPr="00E8358C">
        <w:rPr>
          <w:rStyle w:val="Accentuation"/>
        </w:rPr>
        <w:t xml:space="preserve">neurs de la rosée, </w:t>
      </w:r>
      <w:r w:rsidRPr="00E8358C">
        <w:t>de Jacques Roumain, traduit cette volonté d’introduire le créole dans une œuvre littéraire française et de faire des réalités du monde paysan haïtien sa toile de fond. Le métissage linguistique « créole-français » est évident dans le roman</w:t>
      </w:r>
      <w:r>
        <w:t> </w:t>
      </w:r>
      <w:r>
        <w:rPr>
          <w:rStyle w:val="Appelnotedebasdep"/>
        </w:rPr>
        <w:footnoteReference w:id="543"/>
      </w:r>
      <w:r w:rsidRPr="00E8358C">
        <w:t>. Il est au</w:t>
      </w:r>
      <w:r w:rsidRPr="00E8358C">
        <w:t>s</w:t>
      </w:r>
      <w:r w:rsidRPr="00E8358C">
        <w:t xml:space="preserve">si un canal pour Roumain, </w:t>
      </w:r>
      <w:r w:rsidRPr="00E8358C">
        <w:rPr>
          <w:rStyle w:val="titlelevel0"/>
          <w:bCs/>
        </w:rPr>
        <w:t xml:space="preserve">comme dans une complainte, </w:t>
      </w:r>
      <w:r w:rsidRPr="00E8358C">
        <w:t xml:space="preserve">afin de </w:t>
      </w:r>
      <w:r w:rsidRPr="00E8358C">
        <w:rPr>
          <w:rStyle w:val="titlelevel0"/>
          <w:bCs/>
        </w:rPr>
        <w:t>rejoi</w:t>
      </w:r>
      <w:r w:rsidRPr="00E8358C">
        <w:rPr>
          <w:rStyle w:val="titlelevel0"/>
          <w:bCs/>
        </w:rPr>
        <w:t>n</w:t>
      </w:r>
      <w:r w:rsidRPr="00E8358C">
        <w:rPr>
          <w:rStyle w:val="titlelevel0"/>
          <w:bCs/>
        </w:rPr>
        <w:t>dre Massillon Coicou</w:t>
      </w:r>
      <w:r w:rsidRPr="00E8358C">
        <w:t> </w:t>
      </w:r>
      <w:r w:rsidRPr="00E8358C">
        <w:rPr>
          <w:rStyle w:val="titlelevel0"/>
          <w:bCs/>
        </w:rPr>
        <w:t>: « </w:t>
      </w:r>
      <w:r w:rsidRPr="00E8358C">
        <w:rPr>
          <w:rFonts w:eastAsia="Calibri"/>
          <w:lang w:eastAsia="fr-FR"/>
        </w:rPr>
        <w:t xml:space="preserve">Oui, dit-il, </w:t>
      </w:r>
      <w:r w:rsidRPr="00E8358C">
        <w:rPr>
          <w:rStyle w:val="titlelevel0"/>
          <w:bCs/>
        </w:rPr>
        <w:t>en vérité le Nègre est une pauvre créature »</w:t>
      </w:r>
      <w:r>
        <w:rPr>
          <w:rStyle w:val="titlelevel0"/>
          <w:bCs/>
        </w:rPr>
        <w:t> </w:t>
      </w:r>
      <w:r>
        <w:rPr>
          <w:rStyle w:val="Appelnotedebasdep"/>
          <w:bCs/>
        </w:rPr>
        <w:footnoteReference w:id="544"/>
      </w:r>
      <w:r w:rsidRPr="00E8358C">
        <w:rPr>
          <w:rStyle w:val="titlelevel0"/>
          <w:bCs/>
        </w:rPr>
        <w:t>.</w:t>
      </w:r>
    </w:p>
    <w:p w:rsidR="004C50DC" w:rsidRPr="00E8358C" w:rsidRDefault="004C50DC" w:rsidP="004C50DC">
      <w:pPr>
        <w:spacing w:before="120" w:after="120"/>
        <w:jc w:val="both"/>
      </w:pPr>
      <w:r w:rsidRPr="00E8358C">
        <w:t xml:space="preserve">Le massacre des paysans à Marchaterre le 6 décembre 1929 par les soldats américains révoltait Jean Fernand Brierre. Il a consacré deux de ses œuvres, </w:t>
      </w:r>
      <w:r w:rsidRPr="00E8358C">
        <w:rPr>
          <w:i/>
        </w:rPr>
        <w:t>Province</w:t>
      </w:r>
      <w:r w:rsidRPr="00E8358C">
        <w:t xml:space="preserve"> et </w:t>
      </w:r>
      <w:r w:rsidRPr="00E8358C">
        <w:rPr>
          <w:i/>
        </w:rPr>
        <w:t>La Croix- Marchaterre</w:t>
      </w:r>
      <w:r w:rsidRPr="00E8358C">
        <w:t xml:space="preserve"> à cette douloureuse mémoire. Dans le recueil de poèmes </w:t>
      </w:r>
      <w:r w:rsidRPr="00E8358C">
        <w:rPr>
          <w:i/>
        </w:rPr>
        <w:t>Black Soul</w:t>
      </w:r>
      <w:r w:rsidRPr="00E8358C">
        <w:t xml:space="preserve"> (1947), il dénonce les malheurs des Noirs d’Afrique et la Traite. L’influence du mouvement indigéniste se fera sentir durant tout le XX</w:t>
      </w:r>
      <w:r w:rsidRPr="00E8358C">
        <w:rPr>
          <w:vertAlign w:val="superscript"/>
        </w:rPr>
        <w:t>e</w:t>
      </w:r>
      <w:r w:rsidRPr="00E8358C">
        <w:t xml:space="preserve"> siècle. </w:t>
      </w:r>
    </w:p>
    <w:p w:rsidR="004C50DC" w:rsidRPr="00E8358C" w:rsidRDefault="004C50DC" w:rsidP="004C50DC">
      <w:pPr>
        <w:spacing w:before="120" w:after="120"/>
        <w:jc w:val="both"/>
      </w:pPr>
      <w:r w:rsidRPr="00E8358C">
        <w:t>À la question, le mouvement indigéniste contribuait-il au dévelo</w:t>
      </w:r>
      <w:r w:rsidRPr="00E8358C">
        <w:t>p</w:t>
      </w:r>
      <w:r w:rsidRPr="00E8358C">
        <w:t>pement du</w:t>
      </w:r>
      <w:r>
        <w:t xml:space="preserve"> [183]</w:t>
      </w:r>
      <w:r w:rsidRPr="00E8358C">
        <w:t xml:space="preserve"> néocolonialisme en Afrique ? Les réponses dive</w:t>
      </w:r>
      <w:r w:rsidRPr="00E8358C">
        <w:t>r</w:t>
      </w:r>
      <w:r w:rsidRPr="00E8358C">
        <w:t>gent. Les témoignages les plus acerbes soutiennent que les intelle</w:t>
      </w:r>
      <w:r w:rsidRPr="00E8358C">
        <w:t>c</w:t>
      </w:r>
      <w:r w:rsidRPr="00E8358C">
        <w:t>tuels de la mouvance indigéniste, en fuyant le régime de Duvalier et en se réfugiant en Afrique dans les années 1960, ont fourni les re</w:t>
      </w:r>
      <w:r w:rsidRPr="00E8358C">
        <w:t>s</w:t>
      </w:r>
      <w:r w:rsidRPr="00E8358C">
        <w:t xml:space="preserve">sources intellectuelles essentielles à la réorganisation du colonialisme sur le sol africain. À l’inverse, plusieurs Haïtiens croient encore que leur présence en Afrique était un choix de survie. C’était le prix de l’exil. </w:t>
      </w:r>
    </w:p>
    <w:p w:rsidR="004C50DC" w:rsidRPr="00E8358C" w:rsidRDefault="004C50DC" w:rsidP="004C50DC">
      <w:pPr>
        <w:spacing w:before="120" w:after="120"/>
        <w:jc w:val="both"/>
      </w:pPr>
      <w:r w:rsidRPr="00E8358C">
        <w:t>La loi du 26 octobre 1959 a autorisé l’enseignement de la littérat</w:t>
      </w:r>
      <w:r w:rsidRPr="00E8358C">
        <w:t>u</w:t>
      </w:r>
      <w:r w:rsidRPr="00E8358C">
        <w:t>re haïtienne dans les écoles secondaires, un siècle après l’officialisation de l’enseignement de la littérature française par la s</w:t>
      </w:r>
      <w:r w:rsidRPr="00E8358C">
        <w:t>i</w:t>
      </w:r>
      <w:r w:rsidRPr="00E8358C">
        <w:t>gnature du concordat du 28 mars 1860 entre l’État haïtien et l’Église catholique romaine. Le « Manuel illustré d’Histoire de la littérature haïtienne par les textes » a été le principal manuel utilisé à cet effet</w:t>
      </w:r>
      <w:r>
        <w:t> </w:t>
      </w:r>
      <w:r>
        <w:rPr>
          <w:rStyle w:val="Appelnotedebasdep"/>
        </w:rPr>
        <w:footnoteReference w:id="545"/>
      </w:r>
      <w:r w:rsidRPr="00E8358C">
        <w:t>. C’est une publication en trois tomes préparés par Raphaël Berrou et Pradel Pompilus dans laquelle sont présentées les différentes écoles littéraires haïtiennes de 1804 jusqu’au début de la deuxième moitié du XX</w:t>
      </w:r>
      <w:r w:rsidRPr="00E8358C">
        <w:rPr>
          <w:vertAlign w:val="superscript"/>
        </w:rPr>
        <w:t>e</w:t>
      </w:r>
      <w:r w:rsidRPr="00E8358C">
        <w:t xml:space="preserve"> siècle. Dans ce manuel, les textes des principaux écrivains de l’époque ont été analysés. </w:t>
      </w:r>
    </w:p>
    <w:p w:rsidR="004C50DC" w:rsidRPr="00E8358C" w:rsidRDefault="004C50DC" w:rsidP="004C50DC">
      <w:pPr>
        <w:spacing w:before="120" w:after="120"/>
        <w:jc w:val="both"/>
      </w:pPr>
      <w:r w:rsidRPr="00E8358C">
        <w:t>L’accent n’est pas mis sur le passé colonial esclavagiste comme une mémoire à transmettre à travers l’enseignement de la littérature haïtienne, exception faite de certains professeurs qui analysent le f</w:t>
      </w:r>
      <w:r w:rsidRPr="00E8358C">
        <w:t>a</w:t>
      </w:r>
      <w:r w:rsidRPr="00E8358C">
        <w:t>meux poème de Massillon Coicou, « Complaintes d’esclaves », celui de Juste Chanlatte, « Ode à l’indépendance», ou « Hymne à la libe</w:t>
      </w:r>
      <w:r w:rsidRPr="00E8358C">
        <w:t>r</w:t>
      </w:r>
      <w:r w:rsidRPr="00E8358C">
        <w:t>té » d’Antoine Dupré ou encore « l’Acte de l’indépendance haïtie</w:t>
      </w:r>
      <w:r w:rsidRPr="00E8358C">
        <w:t>n</w:t>
      </w:r>
      <w:r w:rsidRPr="00E8358C">
        <w:t>ne » de Boisrond-Tonnerre. Cependant, on peine à trouver des ense</w:t>
      </w:r>
      <w:r w:rsidRPr="00E8358C">
        <w:t>i</w:t>
      </w:r>
      <w:r w:rsidRPr="00E8358C">
        <w:t>gnants qui considèrent ces textes comme des éléments de la mémoire collective haïtienne à transmettre aux élèves. Les propos de Mélissa, 18 ans, élève de rhétorique habitant à Port-au-Prince, avec laquelle nous nous sommes entretenu, traduisent ce point de vue caractérist</w:t>
      </w:r>
      <w:r w:rsidRPr="00E8358C">
        <w:t>i</w:t>
      </w:r>
      <w:r w:rsidRPr="00E8358C">
        <w:t>que :</w:t>
      </w:r>
    </w:p>
    <w:p w:rsidR="004C50DC" w:rsidRDefault="004C50DC" w:rsidP="004C50DC">
      <w:pPr>
        <w:pStyle w:val="Citation0"/>
      </w:pPr>
    </w:p>
    <w:p w:rsidR="004C50DC" w:rsidRPr="00E8358C" w:rsidRDefault="004C50DC" w:rsidP="004C50DC">
      <w:pPr>
        <w:pStyle w:val="Citation0"/>
      </w:pPr>
      <w:r w:rsidRPr="00E8358C">
        <w:t>Nos professeurs ne nous parlent jamais de la question des mémo</w:t>
      </w:r>
      <w:r w:rsidRPr="00E8358C">
        <w:t>i</w:t>
      </w:r>
      <w:r w:rsidRPr="00E8358C">
        <w:t>res de l’esclavage. Ils enseignent les parties du programme qui pe</w:t>
      </w:r>
      <w:r w:rsidRPr="00E8358C">
        <w:t>u</w:t>
      </w:r>
      <w:r w:rsidRPr="00E8358C">
        <w:t xml:space="preserve">vent faire l’objet des examens officiels. Ils soulignent parfois le texte de Massilllon Coicou. Mais ils ne l’ont pas abordé en termes d’élément du patrimoine mémoriel en rapport avec le passé colonial esclavagiste. </w:t>
      </w:r>
    </w:p>
    <w:p w:rsidR="004C50DC" w:rsidRDefault="004C50DC" w:rsidP="004C50DC">
      <w:pPr>
        <w:pStyle w:val="Citation0c"/>
      </w:pPr>
      <w:r w:rsidRPr="00E8358C">
        <w:t>(Mélissa, entrevue, 17 octobre 2013)</w:t>
      </w:r>
    </w:p>
    <w:p w:rsidR="004C50DC" w:rsidRDefault="004C50DC" w:rsidP="004C50DC">
      <w:pPr>
        <w:pStyle w:val="Citation0"/>
      </w:pPr>
    </w:p>
    <w:p w:rsidR="004C50DC" w:rsidRPr="00E8358C" w:rsidRDefault="004C50DC" w:rsidP="004C50DC">
      <w:pPr>
        <w:spacing w:before="120" w:after="120"/>
        <w:jc w:val="both"/>
        <w:rPr>
          <w:szCs w:val="22"/>
        </w:rPr>
      </w:pPr>
      <w:r>
        <w:rPr>
          <w:szCs w:val="22"/>
        </w:rPr>
        <w:t>[184]</w:t>
      </w:r>
    </w:p>
    <w:p w:rsidR="004C50DC" w:rsidRPr="00E8358C" w:rsidRDefault="004C50DC" w:rsidP="004C50DC">
      <w:pPr>
        <w:spacing w:before="120" w:after="120"/>
        <w:jc w:val="both"/>
        <w:rPr>
          <w:lang w:eastAsia="ja-JP"/>
        </w:rPr>
      </w:pPr>
      <w:r w:rsidRPr="00E8358C">
        <w:rPr>
          <w:lang w:eastAsia="ja-JP"/>
        </w:rPr>
        <w:t xml:space="preserve">Dans la littérature contemporaine, Jean-Claude Fignolé, avec </w:t>
      </w:r>
      <w:r w:rsidRPr="00792DC7">
        <w:rPr>
          <w:lang w:eastAsia="ja-JP"/>
        </w:rPr>
        <w:t>Aube tranquille</w:t>
      </w:r>
      <w:r>
        <w:rPr>
          <w:lang w:eastAsia="ja-JP"/>
        </w:rPr>
        <w:t> </w:t>
      </w:r>
      <w:r>
        <w:rPr>
          <w:rStyle w:val="Appelnotedebasdep"/>
          <w:lang w:eastAsia="ja-JP"/>
        </w:rPr>
        <w:footnoteReference w:id="546"/>
      </w:r>
      <w:r w:rsidRPr="00E8358C">
        <w:rPr>
          <w:lang w:eastAsia="ja-JP"/>
        </w:rPr>
        <w:t xml:space="preserve">, et Éveline Trouillot, avec </w:t>
      </w:r>
      <w:r w:rsidRPr="00792DC7">
        <w:rPr>
          <w:lang w:eastAsia="ja-JP"/>
        </w:rPr>
        <w:t>Rosalie l’infâme</w:t>
      </w:r>
      <w:r>
        <w:rPr>
          <w:lang w:eastAsia="ja-JP"/>
        </w:rPr>
        <w:t> </w:t>
      </w:r>
      <w:r>
        <w:rPr>
          <w:rStyle w:val="Appelnotedebasdep"/>
          <w:lang w:eastAsia="ja-JP"/>
        </w:rPr>
        <w:footnoteReference w:id="547"/>
      </w:r>
      <w:r w:rsidRPr="00E8358C">
        <w:rPr>
          <w:lang w:eastAsia="ja-JP"/>
        </w:rPr>
        <w:t>, che</w:t>
      </w:r>
      <w:r w:rsidRPr="00E8358C">
        <w:rPr>
          <w:lang w:eastAsia="ja-JP"/>
        </w:rPr>
        <w:t>r</w:t>
      </w:r>
      <w:r w:rsidRPr="00E8358C">
        <w:rPr>
          <w:lang w:eastAsia="ja-JP"/>
        </w:rPr>
        <w:t>chent à traiter de la question de la mémoire de l’esclavage. D</w:t>
      </w:r>
      <w:r w:rsidRPr="00792DC7">
        <w:rPr>
          <w:lang w:eastAsia="ja-JP"/>
        </w:rPr>
        <w:t xml:space="preserve">ans son roman, </w:t>
      </w:r>
      <w:r w:rsidRPr="00E8358C">
        <w:rPr>
          <w:lang w:eastAsia="ja-JP"/>
        </w:rPr>
        <w:t>Jean-Claude Fignolé</w:t>
      </w:r>
      <w:r w:rsidRPr="00792DC7">
        <w:rPr>
          <w:lang w:eastAsia="ja-JP"/>
        </w:rPr>
        <w:t xml:space="preserve"> raconte l’histoire d’une jeune religieuse française qui découvre la malédiction qui pèse sur sa famille pour avoir été pr</w:t>
      </w:r>
      <w:r w:rsidRPr="00792DC7">
        <w:rPr>
          <w:lang w:eastAsia="ja-JP"/>
        </w:rPr>
        <w:t>o</w:t>
      </w:r>
      <w:r w:rsidRPr="00792DC7">
        <w:rPr>
          <w:lang w:eastAsia="ja-JP"/>
        </w:rPr>
        <w:t>priétaire d’esclaves dans la colonie dominguoise, lors de sa mission en Haïti. De son côté, dans un roman historique, Évelyne Trouillot nous transporte dans l’enfer de la réalité coloniale de Saint-Domingue en 1750 pour situer ses propos. L’esclavage était à son p</w:t>
      </w:r>
      <w:r w:rsidRPr="00792DC7">
        <w:rPr>
          <w:lang w:eastAsia="ja-JP"/>
        </w:rPr>
        <w:t>a</w:t>
      </w:r>
      <w:r w:rsidRPr="00792DC7">
        <w:rPr>
          <w:lang w:eastAsia="ja-JP"/>
        </w:rPr>
        <w:t>roxysme. Les fugitifs ou les révoltés étaient châtiés. Les esclaves les plus braves continuaient à gagner les montagnes et devenaient des esclaves ma</w:t>
      </w:r>
      <w:r w:rsidRPr="00792DC7">
        <w:rPr>
          <w:lang w:eastAsia="ja-JP"/>
        </w:rPr>
        <w:t>r</w:t>
      </w:r>
      <w:r w:rsidRPr="00792DC7">
        <w:rPr>
          <w:lang w:eastAsia="ja-JP"/>
        </w:rPr>
        <w:t>rons. Le chaos s’annonçait. En principe, Trouillot crée des personn</w:t>
      </w:r>
      <w:r w:rsidRPr="00792DC7">
        <w:rPr>
          <w:lang w:eastAsia="ja-JP"/>
        </w:rPr>
        <w:t>a</w:t>
      </w:r>
      <w:r w:rsidRPr="00792DC7">
        <w:rPr>
          <w:lang w:eastAsia="ja-JP"/>
        </w:rPr>
        <w:t>ges à travers lesquels elle révèle progressivement la perso</w:t>
      </w:r>
      <w:r w:rsidRPr="00792DC7">
        <w:rPr>
          <w:lang w:eastAsia="ja-JP"/>
        </w:rPr>
        <w:t>n</w:t>
      </w:r>
      <w:r w:rsidRPr="00792DC7">
        <w:rPr>
          <w:lang w:eastAsia="ja-JP"/>
        </w:rPr>
        <w:t>nalité, les souffrances, les rêves de liberté des esclaves dans l’univers plant</w:t>
      </w:r>
      <w:r w:rsidRPr="00792DC7">
        <w:rPr>
          <w:lang w:eastAsia="ja-JP"/>
        </w:rPr>
        <w:t>a</w:t>
      </w:r>
      <w:r w:rsidRPr="00792DC7">
        <w:rPr>
          <w:lang w:eastAsia="ja-JP"/>
        </w:rPr>
        <w:t>tionnaire de Saint-Domingue.</w:t>
      </w:r>
    </w:p>
    <w:p w:rsidR="004C50DC" w:rsidRDefault="004C50DC" w:rsidP="004C50DC">
      <w:pPr>
        <w:spacing w:before="120" w:after="120"/>
        <w:jc w:val="both"/>
      </w:pPr>
      <w:r w:rsidRPr="00E8358C">
        <w:rPr>
          <w:lang w:eastAsia="ja-JP"/>
        </w:rPr>
        <w:t>Si l’on tient compte du nombre d’œuvres littéraires réalisées sur la condition sociale des esclaves aux États-Unis, à la Martinique, en Guadeloupe, à Cuba ou au Brésil par rapport à celles écrites en Haïti, on verra de grandes différences. Aujourd’hui, en France métropolita</w:t>
      </w:r>
      <w:r w:rsidRPr="00E8358C">
        <w:rPr>
          <w:lang w:eastAsia="ja-JP"/>
        </w:rPr>
        <w:t>i</w:t>
      </w:r>
      <w:r w:rsidRPr="00E8358C">
        <w:rPr>
          <w:lang w:eastAsia="ja-JP"/>
        </w:rPr>
        <w:t>ne et dans les Départements et Territoires d’outre-mer, la vague de commémoration a relancé le sujet dans l’espace littéraire avec un e</w:t>
      </w:r>
      <w:r w:rsidRPr="00E8358C">
        <w:rPr>
          <w:lang w:eastAsia="ja-JP"/>
        </w:rPr>
        <w:t>n</w:t>
      </w:r>
      <w:r w:rsidRPr="00E8358C">
        <w:rPr>
          <w:lang w:eastAsia="ja-JP"/>
        </w:rPr>
        <w:t>couragement des maisons d’édition. La commémoration à date rég</w:t>
      </w:r>
      <w:r w:rsidRPr="00E8358C">
        <w:rPr>
          <w:lang w:eastAsia="ja-JP"/>
        </w:rPr>
        <w:t>u</w:t>
      </w:r>
      <w:r w:rsidRPr="00E8358C">
        <w:rPr>
          <w:lang w:eastAsia="ja-JP"/>
        </w:rPr>
        <w:t>lière</w:t>
      </w:r>
      <w:r>
        <w:rPr>
          <w:lang w:eastAsia="ja-JP"/>
        </w:rPr>
        <w:t> </w:t>
      </w:r>
      <w:r>
        <w:rPr>
          <w:rStyle w:val="Appelnotedebasdep"/>
          <w:lang w:eastAsia="ja-JP"/>
        </w:rPr>
        <w:footnoteReference w:id="548"/>
      </w:r>
      <w:r w:rsidRPr="00E8358C">
        <w:rPr>
          <w:lang w:eastAsia="ja-JP"/>
        </w:rPr>
        <w:t xml:space="preserve"> fait que l’esclavage devient un événement annuel et un thème particulier dans le paysage éditorial français. On trouve davantage de romans qui dépeignent la réalité de l’esclavage. La littérature s’avère importante dans le cadre de la patrimonialisation des mémoires de l’esclavage. Elle constitue une des dimensions de cette démarche. S</w:t>
      </w:r>
      <w:r w:rsidRPr="00E8358C">
        <w:rPr>
          <w:lang w:eastAsia="ja-JP"/>
        </w:rPr>
        <w:t>e</w:t>
      </w:r>
      <w:r w:rsidRPr="00E8358C">
        <w:rPr>
          <w:lang w:eastAsia="ja-JP"/>
        </w:rPr>
        <w:t>lon Richard Price, « l</w:t>
      </w:r>
      <w:r w:rsidRPr="00E8358C">
        <w:t>a littérature semble jouer là un rôle essentiel dans une prise de conscience collective, assumant une fonction de transmission mémorielle, cherchant des traces là où on ne s’attend pas normalement à les trouver »</w:t>
      </w:r>
      <w:r>
        <w:t> </w:t>
      </w:r>
      <w:r>
        <w:rPr>
          <w:rStyle w:val="Appelnotedebasdep"/>
        </w:rPr>
        <w:footnoteReference w:id="549"/>
      </w:r>
      <w:r w:rsidRPr="00E8358C">
        <w:t>.</w:t>
      </w:r>
    </w:p>
    <w:p w:rsidR="004C50DC" w:rsidRDefault="004C50DC" w:rsidP="004C50DC">
      <w:pPr>
        <w:spacing w:before="120" w:after="120"/>
        <w:jc w:val="both"/>
      </w:pPr>
      <w:r>
        <w:t>[185]</w:t>
      </w:r>
    </w:p>
    <w:p w:rsidR="004C50DC" w:rsidRPr="00E8358C" w:rsidRDefault="004C50DC" w:rsidP="004C50DC">
      <w:pPr>
        <w:spacing w:before="120" w:after="120"/>
        <w:jc w:val="both"/>
      </w:pPr>
    </w:p>
    <w:p w:rsidR="004C50DC" w:rsidRPr="00E8358C" w:rsidRDefault="004C50DC" w:rsidP="004C50DC">
      <w:pPr>
        <w:pStyle w:val="planche"/>
      </w:pPr>
      <w:bookmarkStart w:id="179" w:name="_Toc406489686"/>
      <w:bookmarkStart w:id="180" w:name="_Toc423347305"/>
      <w:bookmarkStart w:id="181" w:name="_Toc442280484"/>
      <w:bookmarkStart w:id="182" w:name="Memoire_chap_IV_2"/>
      <w:r w:rsidRPr="00E8358C">
        <w:t>4.2. Mise en œuvre sociopolitique</w:t>
      </w:r>
      <w:r>
        <w:br/>
      </w:r>
      <w:r w:rsidRPr="00E8358C">
        <w:t>de la mémoire de l’esclavage</w:t>
      </w:r>
      <w:bookmarkEnd w:id="179"/>
      <w:bookmarkEnd w:id="180"/>
      <w:bookmarkEnd w:id="181"/>
    </w:p>
    <w:bookmarkEnd w:id="182"/>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Parler de la mémoire de l’esclavage en Haïti et de son utilisation sociale et politique, c’est accepter aussi de toucher du doigt le pr</w:t>
      </w:r>
      <w:r w:rsidRPr="00E8358C">
        <w:t>o</w:t>
      </w:r>
      <w:r w:rsidRPr="00E8358C">
        <w:t>blème de son instrumentalisation. Le contexte sociopolitique haïtien a été toujours très favorable à l’évocation de l’esclavage au cœur des querelles  politiques. Plusieurs voix se sont élevées, ces dernières a</w:t>
      </w:r>
      <w:r w:rsidRPr="00E8358C">
        <w:t>n</w:t>
      </w:r>
      <w:r w:rsidRPr="00E8358C">
        <w:t>nées, pour dénoncer l’utilisation de la mémoire de l’esclavage comme instrument politique par les dirigeants. En pareil cas, Ana Lucia Ara</w:t>
      </w:r>
      <w:r w:rsidRPr="00E8358C">
        <w:t>u</w:t>
      </w:r>
      <w:r w:rsidRPr="00E8358C">
        <w:t>jo souligne que « la mémoire s’inscrit dans un paysage physique et politique divisé par des conflits qui peuvent passer inaperçus des to</w:t>
      </w:r>
      <w:r w:rsidRPr="00E8358C">
        <w:t>u</w:t>
      </w:r>
      <w:r w:rsidRPr="00E8358C">
        <w:t>ristes et des visiteurs »</w:t>
      </w:r>
      <w:r>
        <w:t> </w:t>
      </w:r>
      <w:r>
        <w:rPr>
          <w:rStyle w:val="Appelnotedebasdep"/>
        </w:rPr>
        <w:footnoteReference w:id="550"/>
      </w:r>
      <w:r w:rsidRPr="00E8358C">
        <w:t>. En Haïti, la mémoire de l’esclavage a été aussi utilisée pour lutter contre l’occupation américaine (1915-1934). Ainsi, des termes comme : « Afrique noire », « terre d’origine » et « terre des Aïeux qui ont connu la Traite et l’esclavage », ont été rap</w:t>
      </w:r>
      <w:r w:rsidRPr="00E8358C">
        <w:t>i</w:t>
      </w:r>
      <w:r w:rsidRPr="00E8358C">
        <w:t xml:space="preserve">dement évoqués pour souder tous les Haïtiens contre les occupants. </w:t>
      </w:r>
    </w:p>
    <w:p w:rsidR="004C50DC" w:rsidRPr="00E8358C" w:rsidRDefault="004C50DC" w:rsidP="004C50DC">
      <w:pPr>
        <w:spacing w:before="120" w:after="120"/>
        <w:jc w:val="both"/>
      </w:pPr>
      <w:r w:rsidRPr="00E8358C">
        <w:t>Certains chefs d’État et de partis politiques haïtiens utilisent so</w:t>
      </w:r>
      <w:r w:rsidRPr="00E8358C">
        <w:t>u</w:t>
      </w:r>
      <w:r w:rsidRPr="00E8358C">
        <w:t>vent la mémoire de l’esclavage pour rallier et dynamiser la masse. Cette mémoire a été un instrument essentiel du régime dictatorial des Duvalier</w:t>
      </w:r>
      <w:r>
        <w:t> </w:t>
      </w:r>
      <w:r>
        <w:rPr>
          <w:rStyle w:val="Appelnotedebasdep"/>
        </w:rPr>
        <w:footnoteReference w:id="551"/>
      </w:r>
      <w:r w:rsidRPr="00E8358C">
        <w:t>. François Duvalier avait récupéré des symboles pour l’espace public haïtien (monument de Vertières, statue du Nègre ma</w:t>
      </w:r>
      <w:r w:rsidRPr="00E8358C">
        <w:t>r</w:t>
      </w:r>
      <w:r w:rsidRPr="00E8358C">
        <w:t xml:space="preserve">ron) afin de gagner la sympathie de la masse populaire et faire oublier, du coup, la tyrannie de son gouvernement. Face à l’incapacité des gouvernements de résoudre les problèmes économiques et sociaux, face à l’instabilité politique et à la menace étrangère, le slogan « jamais, au grand jamais Haïti ne sera plus une colonie d’esclaves » est soulevé. Jean-Bertrand Aristide ne manque jamais une occasion de se comparer </w:t>
      </w:r>
      <w:r w:rsidRPr="00E8358C">
        <w:rPr>
          <w:lang w:eastAsia="ja-JP"/>
        </w:rPr>
        <w:t>à Toussaint Louverture</w:t>
      </w:r>
      <w:r>
        <w:rPr>
          <w:lang w:eastAsia="ja-JP"/>
        </w:rPr>
        <w:t> </w:t>
      </w:r>
      <w:r>
        <w:rPr>
          <w:rStyle w:val="Appelnotedebasdep"/>
          <w:lang w:eastAsia="ja-JP"/>
        </w:rPr>
        <w:footnoteReference w:id="552"/>
      </w:r>
      <w:r w:rsidRPr="00E8358C">
        <w:rPr>
          <w:lang w:eastAsia="ja-JP"/>
        </w:rPr>
        <w:t xml:space="preserve">.  </w:t>
      </w:r>
      <w:r w:rsidRPr="00E8358C">
        <w:t>Le 7 avril 2003, lors de la commémoration du bicentenaire de la mort de Toussaint Louverture, il a demandé des réparations à la France pour les crimes à l’encontre des esclaves. Le président haïtien Joseph Michel Martelly, lui aussi, lors de la 25</w:t>
      </w:r>
      <w:r w:rsidRPr="00E8358C">
        <w:rPr>
          <w:vertAlign w:val="superscript"/>
        </w:rPr>
        <w:t>e</w:t>
      </w:r>
      <w:r w:rsidRPr="00E8358C">
        <w:t xml:space="preserve"> Réunion intersessionelle de la Conférence des chefs d’État et de gouvernement de la Communauté </w:t>
      </w:r>
      <w:r>
        <w:t xml:space="preserve">[186] </w:t>
      </w:r>
      <w:r w:rsidRPr="00E8358C">
        <w:t>caribéenne (C</w:t>
      </w:r>
      <w:r w:rsidRPr="00E8358C">
        <w:t>A</w:t>
      </w:r>
      <w:r w:rsidRPr="00E8358C">
        <w:t>RICOM), les 10 et 11 mars 2014 à Saint-Vincent-et-les-Grenadines, a signé un accord pour demander des « réparations aux pays de l’Europe » qui ont pratiqué l’esclavage, la colonisation et la Traite négrière jusqu’au XIX</w:t>
      </w:r>
      <w:r w:rsidRPr="00E8358C">
        <w:rPr>
          <w:vertAlign w:val="superscript"/>
        </w:rPr>
        <w:t>e</w:t>
      </w:r>
      <w:r w:rsidRPr="00E8358C">
        <w:t xml:space="preserve"> siècle dans les Caraïbes. </w:t>
      </w:r>
    </w:p>
    <w:p w:rsidR="004C50DC" w:rsidRPr="00E8358C" w:rsidRDefault="004C50DC" w:rsidP="004C50DC">
      <w:pPr>
        <w:spacing w:before="120" w:after="120"/>
        <w:jc w:val="both"/>
      </w:pPr>
      <w:r w:rsidRPr="00E8358C">
        <w:t>Le 17 octobre 2013 et le 18 novembre de la même année, deux manifestations ont été organisées par les opposants au pouvoir du pr</w:t>
      </w:r>
      <w:r w:rsidRPr="00E8358C">
        <w:t>é</w:t>
      </w:r>
      <w:r w:rsidRPr="00E8358C">
        <w:t>sident haïtien Joseph Michel Martelly. Le parcours retenu s’est étendu aux trois principales communes de l’arrondissement de Port-au-Prince : Delmas, Pétion-Ville et Port-au-Prince. Le slogan « Dessalines pra l kay Pétion</w:t>
      </w:r>
      <w:r w:rsidRPr="00E8358C">
        <w:rPr>
          <w:i/>
        </w:rPr>
        <w:t> </w:t>
      </w:r>
      <w:r w:rsidRPr="00E8358C">
        <w:t>» [Dessalines va rendre visite à Pétion] scandé durant ces deux manifestations a fait renaître les conflits pol</w:t>
      </w:r>
      <w:r w:rsidRPr="00E8358C">
        <w:t>i</w:t>
      </w:r>
      <w:r w:rsidRPr="00E8358C">
        <w:t>tiques du début de la création de la République d’Haïti. Il a charrié aussi la revendication politique des plus pauvres, qui habitent les qua</w:t>
      </w:r>
      <w:r w:rsidRPr="00E8358C">
        <w:t>r</w:t>
      </w:r>
      <w:r w:rsidRPr="00E8358C">
        <w:t>tiers populaires et qui se réclament fils et filles de Dessalines, et les préoccupations des habitants des quartiers huppés de Pétion-Ville, accusés d’être des héritiers d’Alexandre Pétion. Les « fils de Dessal</w:t>
      </w:r>
      <w:r w:rsidRPr="00E8358C">
        <w:t>i</w:t>
      </w:r>
      <w:r w:rsidRPr="00E8358C">
        <w:t>nes » ont donc voulu interroger les « fils de Pétion » sur leur situation durant les 209 ans qui ont suivi l’Indépendance du pays. Les manife</w:t>
      </w:r>
      <w:r w:rsidRPr="00E8358C">
        <w:t>s</w:t>
      </w:r>
      <w:r w:rsidRPr="00E8358C">
        <w:t>tants ont accusé Alexandre Pétion et l’élite économique, pour la pl</w:t>
      </w:r>
      <w:r w:rsidRPr="00E8358C">
        <w:t>u</w:t>
      </w:r>
      <w:r w:rsidRPr="00E8358C">
        <w:t>part métisse, d’être responsables de l’état de sous-développement d’Haïti et de sa situation de misère. Ils entendaient aussi demander réparation pour l’assassinat de leur « père », Jean-Jacques Dessalines, à Pont-Rouge et exigeaient le départ du président Joseph Michel Ma</w:t>
      </w:r>
      <w:r w:rsidRPr="00E8358C">
        <w:t>r</w:t>
      </w:r>
      <w:r w:rsidRPr="00E8358C">
        <w:t>telly qui paraissait incarner, à leurs yeux, la figure bourgeoise, mul</w:t>
      </w:r>
      <w:r w:rsidRPr="00E8358C">
        <w:t>â</w:t>
      </w:r>
      <w:r w:rsidRPr="00E8358C">
        <w:t>tresse, qui perpétue les pratiques coloniales d’exploitation et de co</w:t>
      </w:r>
      <w:r w:rsidRPr="00E8358C">
        <w:t>r</w:t>
      </w:r>
      <w:r w:rsidRPr="00E8358C">
        <w:t xml:space="preserve">ruption en Haïti. </w:t>
      </w:r>
    </w:p>
    <w:p w:rsidR="004C50DC" w:rsidRPr="00E8358C" w:rsidRDefault="004C50DC" w:rsidP="004C50DC">
      <w:pPr>
        <w:spacing w:before="120" w:after="120"/>
        <w:jc w:val="both"/>
      </w:pPr>
      <w:r w:rsidRPr="00E8358C">
        <w:t xml:space="preserve">Évoquant l’assassinat de Jean-Jacques  Dessalines, le 17 octobre 1806, l’agronome Joël Ducasse souligne que « l’autonomie promise à la </w:t>
      </w:r>
      <w:r w:rsidRPr="00E8358C">
        <w:rPr>
          <w:i/>
        </w:rPr>
        <w:t>place à vivres</w:t>
      </w:r>
      <w:r w:rsidRPr="00E8358C">
        <w:t xml:space="preserve"> cédait le pas à une économie compradore de bord de mer et dépendante qui allait imprimer sa marque sur le pays en dehors d’un fer peut-être aussi chaud que celui de l’esclavage »</w:t>
      </w:r>
      <w:r>
        <w:t> </w:t>
      </w:r>
      <w:r>
        <w:rPr>
          <w:rStyle w:val="Appelnotedebasdep"/>
        </w:rPr>
        <w:footnoteReference w:id="553"/>
      </w:r>
      <w:r w:rsidRPr="00E8358C">
        <w:t>. On peut voir une certaine exagération ou un manque de mesure dans la décl</w:t>
      </w:r>
      <w:r w:rsidRPr="00E8358C">
        <w:t>a</w:t>
      </w:r>
      <w:r w:rsidRPr="00E8358C">
        <w:t>ration de Joël Ducasse ; il est peut-être influencé par son élan noiriste, ses émotions ou les polémiques partisanes. Plus loin, Ducasse rappo</w:t>
      </w:r>
      <w:r w:rsidRPr="00E8358C">
        <w:t>r</w:t>
      </w:r>
      <w:r w:rsidRPr="00E8358C">
        <w:t xml:space="preserve">te que « les secteurs qui, en 1806, ont comploté le parricide du </w:t>
      </w:r>
      <w:r>
        <w:t xml:space="preserve">[187] </w:t>
      </w:r>
      <w:r w:rsidRPr="00E8358C">
        <w:t>Pont Rouge avec Alexandre Pétion étaient mus par un projet politique foncièrement opposé aux intérêts profonds du pays. Il était plutôt f</w:t>
      </w:r>
      <w:r w:rsidRPr="00E8358C">
        <w:t>a</w:t>
      </w:r>
      <w:r w:rsidRPr="00E8358C">
        <w:t>vorable à leurs clans et aux puissances colonialistes et pré-impérialistes »</w:t>
      </w:r>
      <w:r>
        <w:t> </w:t>
      </w:r>
      <w:r w:rsidRPr="00E8358C">
        <w:rPr>
          <w:rStyle w:val="Appelnotedebasdep"/>
        </w:rPr>
        <w:footnoteReference w:id="554"/>
      </w:r>
      <w:r w:rsidRPr="00E8358C">
        <w:t xml:space="preserve">. Ici, il accuse formellement Alexandre Pétion d’être un traître à la solde des puissances colonialistes. </w:t>
      </w:r>
    </w:p>
    <w:p w:rsidR="004C50DC" w:rsidRPr="00E8358C" w:rsidRDefault="004C50DC" w:rsidP="004C50DC">
      <w:pPr>
        <w:spacing w:before="120" w:after="120"/>
        <w:jc w:val="both"/>
      </w:pPr>
      <w:r w:rsidRPr="00E8358C">
        <w:t>Pour André Lafontant Joseph, « l’acceptation même de la dette de l’indépendance négociée par Pétion et réalisée par Jean-Pierre Boyer constitue en quelque sorte le reniement et l’avilissement d'une des r</w:t>
      </w:r>
      <w:r w:rsidRPr="00E8358C">
        <w:t>é</w:t>
      </w:r>
      <w:r w:rsidRPr="00E8358C">
        <w:t>volutions les plus éclatantes de l'histoire humaine et en conséquence de la contribution de son architecte, Jean-Jacques Dessalines. La r</w:t>
      </w:r>
      <w:r w:rsidRPr="00E8358C">
        <w:t>e</w:t>
      </w:r>
      <w:r w:rsidRPr="00E8358C">
        <w:t xml:space="preserve">connaissance de cette dette marquait la soumission des anciens libres mulâtres à des pères qui après les avoir déboutés ne reconnaissaient leurs droits d’héritiers que contre </w:t>
      </w:r>
      <w:r w:rsidRPr="00E8358C">
        <w:rPr>
          <w:i/>
        </w:rPr>
        <w:t>paiement</w:t>
      </w:r>
      <w:r w:rsidRPr="00E8358C">
        <w:t xml:space="preserve"> d’un tribut »</w:t>
      </w:r>
      <w:r>
        <w:t> </w:t>
      </w:r>
      <w:r w:rsidRPr="00E8358C">
        <w:rPr>
          <w:rStyle w:val="Appelnotedebasdep"/>
        </w:rPr>
        <w:footnoteReference w:id="555"/>
      </w:r>
      <w:r w:rsidRPr="00E8358C">
        <w:t>. Pétion vo</w:t>
      </w:r>
      <w:r w:rsidRPr="00E8358C">
        <w:t>u</w:t>
      </w:r>
      <w:r w:rsidRPr="00E8358C">
        <w:t>lait « s’assurer des bonnes grâces de l’ancienne puissance colonisatr</w:t>
      </w:r>
      <w:r w:rsidRPr="00E8358C">
        <w:t>i</w:t>
      </w:r>
      <w:r w:rsidRPr="00E8358C">
        <w:t>ce pour permettre à son clan de gruger les masses haïtiennes »</w:t>
      </w:r>
      <w:r>
        <w:t> </w:t>
      </w:r>
      <w:r w:rsidRPr="00E8358C">
        <w:rPr>
          <w:rStyle w:val="Appelnotedebasdep"/>
        </w:rPr>
        <w:footnoteReference w:id="556"/>
      </w:r>
      <w:r w:rsidRPr="00E8358C">
        <w:t>. Hi</w:t>
      </w:r>
      <w:r w:rsidRPr="00E8358C">
        <w:t>s</w:t>
      </w:r>
      <w:r w:rsidRPr="00E8358C">
        <w:t>toriquement, cette polémique est significative. Pour ce leader de l’opposition, le gouvernement en place incarne celui d’Alexandre P</w:t>
      </w:r>
      <w:r w:rsidRPr="00E8358C">
        <w:t>é</w:t>
      </w:r>
      <w:r w:rsidRPr="00E8358C">
        <w:t>tion. La mémoire de l’esclavage est utilisée pour régler des diverge</w:t>
      </w:r>
      <w:r w:rsidRPr="00E8358C">
        <w:t>n</w:t>
      </w:r>
      <w:r w:rsidRPr="00E8358C">
        <w:t>ces politiques et des querelles partisanes. À ce carrefour,  peut-on v</w:t>
      </w:r>
      <w:r w:rsidRPr="00E8358C">
        <w:t>a</w:t>
      </w:r>
      <w:r w:rsidRPr="00E8358C">
        <w:t xml:space="preserve">loriser la mémoire de l’esclavage colonial ? Du moins, il faut savoir concilier les différentes mémoires pour atténuer les tensions. </w:t>
      </w:r>
    </w:p>
    <w:p w:rsidR="004C50DC" w:rsidRPr="00E8358C" w:rsidRDefault="004C50DC" w:rsidP="004C50DC">
      <w:pPr>
        <w:spacing w:before="120" w:after="120"/>
        <w:jc w:val="both"/>
      </w:pPr>
      <w:r w:rsidRPr="00E8358C">
        <w:t>L’usage qu’on fait de la mémoire de l’esclavage au sein de la s</w:t>
      </w:r>
      <w:r w:rsidRPr="00E8358C">
        <w:t>o</w:t>
      </w:r>
      <w:r w:rsidRPr="00E8358C">
        <w:t>ciété haïtienne est aussi audible dans les discours lors des commém</w:t>
      </w:r>
      <w:r w:rsidRPr="00E8358C">
        <w:t>o</w:t>
      </w:r>
      <w:r w:rsidRPr="00E8358C">
        <w:t>rations. C’est l’occasion de dire non à l’exploitation, non à l’esclavage et oui à la liberté. La figure du « Blanc », dans la mémoire collective haïtienne, suggère souvent l’esclavage. Il y a toujours dans la con</w:t>
      </w:r>
      <w:r w:rsidRPr="00E8358C">
        <w:t>s</w:t>
      </w:r>
      <w:r w:rsidRPr="00E8358C">
        <w:t xml:space="preserve">cience du peuple la peur du retour à l’ordre colonial esclavagiste. Ce retour inquiète. </w:t>
      </w:r>
    </w:p>
    <w:p w:rsidR="004C50DC" w:rsidRDefault="004C50DC" w:rsidP="004C50DC">
      <w:pPr>
        <w:spacing w:before="120" w:after="120"/>
        <w:jc w:val="both"/>
      </w:pPr>
      <w:bookmarkStart w:id="183" w:name="_Toc406489687"/>
      <w:bookmarkStart w:id="184" w:name="_Toc423347306"/>
      <w:bookmarkStart w:id="185" w:name="_Toc442280485"/>
    </w:p>
    <w:p w:rsidR="004C50DC" w:rsidRPr="00E8358C" w:rsidRDefault="004C50DC" w:rsidP="004C50DC">
      <w:pPr>
        <w:pStyle w:val="a"/>
      </w:pPr>
      <w:r w:rsidRPr="00E8358C">
        <w:t>4.2.1. Position de la presse haïtienne</w:t>
      </w:r>
      <w:bookmarkEnd w:id="183"/>
      <w:bookmarkEnd w:id="184"/>
      <w:bookmarkEnd w:id="185"/>
    </w:p>
    <w:p w:rsidR="004C50DC" w:rsidRDefault="004C50DC" w:rsidP="004C50DC">
      <w:pPr>
        <w:spacing w:before="120" w:after="120"/>
        <w:jc w:val="both"/>
      </w:pPr>
    </w:p>
    <w:p w:rsidR="004C50DC" w:rsidRPr="00E8358C" w:rsidRDefault="004C50DC" w:rsidP="004C50DC">
      <w:pPr>
        <w:spacing w:before="120" w:after="120"/>
        <w:jc w:val="both"/>
      </w:pPr>
      <w:r w:rsidRPr="00E8358C">
        <w:t>Durant la période coloniale française, la presse jouait un rôle i</w:t>
      </w:r>
      <w:r w:rsidRPr="00E8358C">
        <w:t>m</w:t>
      </w:r>
      <w:r w:rsidRPr="00E8358C">
        <w:t>portant dans la perpétuation du système esclavagiste et de l’organisation de la vie sociale. Au début de</w:t>
      </w:r>
      <w:r>
        <w:t xml:space="preserve"> [188]</w:t>
      </w:r>
      <w:r w:rsidRPr="00E8358C">
        <w:t xml:space="preserve"> l’année 1764, Monceaux, colon français, avocat procureur auprès du Conseil sup</w:t>
      </w:r>
      <w:r w:rsidRPr="00E8358C">
        <w:t>é</w:t>
      </w:r>
      <w:r w:rsidRPr="00E8358C">
        <w:t xml:space="preserve">rieur et siège du Cap, fonda le premier journal appelé </w:t>
      </w:r>
      <w:r w:rsidRPr="00E8358C">
        <w:rPr>
          <w:i/>
        </w:rPr>
        <w:t>La Gazette de Saint-Domingue</w:t>
      </w:r>
      <w:r>
        <w:t> </w:t>
      </w:r>
      <w:r>
        <w:rPr>
          <w:rStyle w:val="Appelnotedebasdep"/>
        </w:rPr>
        <w:footnoteReference w:id="557"/>
      </w:r>
      <w:r w:rsidRPr="00E8358C">
        <w:t xml:space="preserve"> qui informait principalement sur les activités co</w:t>
      </w:r>
      <w:r w:rsidRPr="00E8358C">
        <w:t>m</w:t>
      </w:r>
      <w:r w:rsidRPr="00E8358C">
        <w:t>merciales, la vente des esclaves, les avis de recherche contre les e</w:t>
      </w:r>
      <w:r w:rsidRPr="00E8358C">
        <w:t>s</w:t>
      </w:r>
      <w:r w:rsidRPr="00E8358C">
        <w:t>claves marrons. Elle traitait, par la suite, de quelques faits de la vie culturelle et sociale de la colonie. Plus tard, d’autres journaux vie</w:t>
      </w:r>
      <w:r w:rsidRPr="00E8358C">
        <w:t>n</w:t>
      </w:r>
      <w:r w:rsidRPr="00E8358C">
        <w:t xml:space="preserve">dront s’ajouter à </w:t>
      </w:r>
      <w:r w:rsidRPr="00E8358C">
        <w:rPr>
          <w:i/>
        </w:rPr>
        <w:t>La Gazette de Saint-Domingue</w:t>
      </w:r>
      <w:r w:rsidRPr="00E8358C">
        <w:t xml:space="preserve">, comme le </w:t>
      </w:r>
      <w:r w:rsidRPr="00E8358C">
        <w:rPr>
          <w:i/>
        </w:rPr>
        <w:t>Journal général de Saint-Domingue</w:t>
      </w:r>
      <w:r w:rsidRPr="00E8358C">
        <w:t xml:space="preserve">, la </w:t>
      </w:r>
      <w:r w:rsidRPr="00E8358C">
        <w:rPr>
          <w:i/>
        </w:rPr>
        <w:t>Gazette des Cayes</w:t>
      </w:r>
      <w:r w:rsidRPr="00E8358C">
        <w:t xml:space="preserve">,  la </w:t>
      </w:r>
      <w:r w:rsidRPr="00E8358C">
        <w:rPr>
          <w:i/>
        </w:rPr>
        <w:t>Chronique</w:t>
      </w:r>
      <w:r w:rsidRPr="00E8358C">
        <w:t xml:space="preserve"> puis le </w:t>
      </w:r>
      <w:r w:rsidRPr="00E8358C">
        <w:rPr>
          <w:i/>
        </w:rPr>
        <w:t>Courrier de Saint-Marc</w:t>
      </w:r>
      <w:r w:rsidRPr="00E8358C">
        <w:t xml:space="preserve"> dans la dernière décennie du XVIII</w:t>
      </w:r>
      <w:r w:rsidRPr="00E8358C">
        <w:rPr>
          <w:vertAlign w:val="superscript"/>
        </w:rPr>
        <w:t xml:space="preserve">e </w:t>
      </w:r>
      <w:r w:rsidRPr="00E8358C">
        <w:t xml:space="preserve">siècle. </w:t>
      </w:r>
    </w:p>
    <w:p w:rsidR="004C50DC" w:rsidRPr="00E8358C" w:rsidRDefault="004C50DC" w:rsidP="004C50DC">
      <w:pPr>
        <w:spacing w:before="120" w:after="120"/>
        <w:jc w:val="both"/>
      </w:pPr>
      <w:r w:rsidRPr="00E8358C">
        <w:t xml:space="preserve">Jules Solime Milscent, conscient de l’importance de l’information et du savoir dans la lutte pour la conservation de l’Indépendance d’Haïti, fonda </w:t>
      </w:r>
      <w:r w:rsidRPr="00E8358C">
        <w:rPr>
          <w:i/>
        </w:rPr>
        <w:t>l’Abeille haïtienne</w:t>
      </w:r>
      <w:r w:rsidRPr="00E8358C">
        <w:t>, journal politique et littéraire, en 1817</w:t>
      </w:r>
      <w:r>
        <w:t> </w:t>
      </w:r>
      <w:r>
        <w:rPr>
          <w:rStyle w:val="Appelnotedebasdep"/>
        </w:rPr>
        <w:footnoteReference w:id="558"/>
      </w:r>
      <w:r w:rsidRPr="00E8358C">
        <w:t xml:space="preserve">, dans le but de publier des œuvres littéraires traitant de la vie sociale et politique de la République. Ce journal marque la genèse de la presse haïtienne qui a participé au développement du nationalisme en Haïti. Par la suite, d’autres journaux tels que la </w:t>
      </w:r>
      <w:r w:rsidRPr="00E8358C">
        <w:rPr>
          <w:i/>
        </w:rPr>
        <w:t>Gazette d’Haïti</w:t>
      </w:r>
      <w:r w:rsidRPr="00E8358C">
        <w:t xml:space="preserve"> avec Juste Chanlatte, </w:t>
      </w:r>
      <w:r w:rsidRPr="00E8358C">
        <w:rPr>
          <w:i/>
        </w:rPr>
        <w:t>l’Observateur, l’Union, le Républicain, le Man</w:t>
      </w:r>
      <w:r w:rsidRPr="00E8358C">
        <w:rPr>
          <w:i/>
        </w:rPr>
        <w:t>i</w:t>
      </w:r>
      <w:r w:rsidRPr="00E8358C">
        <w:rPr>
          <w:i/>
        </w:rPr>
        <w:t xml:space="preserve">feste, le Patriote, la revue de La Ronde, Le Nouvelliste, Le Matin, la Revue indigène, </w:t>
      </w:r>
      <w:r w:rsidRPr="00E8358C">
        <w:t xml:space="preserve">la revue </w:t>
      </w:r>
      <w:r w:rsidRPr="00E8358C">
        <w:rPr>
          <w:i/>
        </w:rPr>
        <w:t xml:space="preserve">Les Griots, </w:t>
      </w:r>
      <w:r w:rsidRPr="00E8358C">
        <w:t>etc., compléteront la liste. Die</w:t>
      </w:r>
      <w:r w:rsidRPr="00E8358C">
        <w:t>u</w:t>
      </w:r>
      <w:r w:rsidRPr="00E8358C">
        <w:t>donné Fardin souligne qu’avec la création de ces journaux et revues, « l’Émulation, facteur indispensable pour l’évolution de toute littér</w:t>
      </w:r>
      <w:r w:rsidRPr="00E8358C">
        <w:t>a</w:t>
      </w:r>
      <w:r w:rsidRPr="00E8358C">
        <w:t>ture, est créée »</w:t>
      </w:r>
      <w:r>
        <w:t> </w:t>
      </w:r>
      <w:r>
        <w:rPr>
          <w:rStyle w:val="Appelnotedebasdep"/>
        </w:rPr>
        <w:footnoteReference w:id="559"/>
      </w:r>
      <w:r>
        <w:t>.</w:t>
      </w:r>
    </w:p>
    <w:p w:rsidR="004C50DC" w:rsidRPr="00E8358C" w:rsidRDefault="004C50DC" w:rsidP="004C50DC">
      <w:pPr>
        <w:spacing w:before="120" w:after="120"/>
        <w:jc w:val="both"/>
      </w:pPr>
      <w:r w:rsidRPr="00E8358C">
        <w:t>Il est certain que les journaux permettent aux générations conte</w:t>
      </w:r>
      <w:r w:rsidRPr="00E8358C">
        <w:t>m</w:t>
      </w:r>
      <w:r w:rsidRPr="00E8358C">
        <w:t>poraines de s’approprier les faits importants de l’histoire d’Haïti et les pratiques culturelles (contes, devinettes, mythes, proverbes…) rel</w:t>
      </w:r>
      <w:r w:rsidRPr="00E8358C">
        <w:t>e</w:t>
      </w:r>
      <w:r w:rsidRPr="00E8358C">
        <w:t>vant du patrimoine de ce pays, car le rôle principal de la presse est la diffusion des informations. La presse participe à la formation des c</w:t>
      </w:r>
      <w:r w:rsidRPr="00E8358C">
        <w:t>i</w:t>
      </w:r>
      <w:r w:rsidRPr="00E8358C">
        <w:t>toyens et constitue un canal d’expression essentiel à la démocratis</w:t>
      </w:r>
      <w:r w:rsidRPr="00E8358C">
        <w:t>a</w:t>
      </w:r>
      <w:r w:rsidRPr="00E8358C">
        <w:t>tion de la culture en transmettant et en facilitant la mise en valeur des mémoires et des pratiques culturelles qui forment le patrimoine d’une communauté, d’un peuple. Le constat est préoccupant aujourd’hui en</w:t>
      </w:r>
      <w:r>
        <w:t xml:space="preserve"> [189]</w:t>
      </w:r>
      <w:r w:rsidRPr="00E8358C">
        <w:t xml:space="preserve"> Haïti ; la culture, du moins la question du patrimoine culturel, est presque occultée par les médias au profit des actualités et des d</w:t>
      </w:r>
      <w:r w:rsidRPr="00E8358C">
        <w:t>é</w:t>
      </w:r>
      <w:r w:rsidRPr="00E8358C">
        <w:t xml:space="preserve">bats politiques placés sur le devant de la scène de la vie nationale. </w:t>
      </w:r>
    </w:p>
    <w:p w:rsidR="004C50DC" w:rsidRPr="00E8358C" w:rsidRDefault="004C50DC" w:rsidP="004C50DC">
      <w:pPr>
        <w:spacing w:before="120" w:after="120"/>
        <w:jc w:val="both"/>
      </w:pPr>
      <w:r w:rsidRPr="00E8358C">
        <w:t>Le financement des médias provient en majorité de capitaux pr</w:t>
      </w:r>
      <w:r w:rsidRPr="00E8358C">
        <w:t>i</w:t>
      </w:r>
      <w:r w:rsidRPr="00E8358C">
        <w:t>vés. Les intérêts influencent le fonctionnement de la presse haïtienne. Le Conseil national des télécommunications (CONATEL), organisme étatique régulateur, perd le contrôle de la programmation des stations de radio et de télévision. Il n’y a presque pas de débats sur le patr</w:t>
      </w:r>
      <w:r w:rsidRPr="00E8358C">
        <w:t>i</w:t>
      </w:r>
      <w:r w:rsidRPr="00E8358C">
        <w:t>moine culturel. Certaines stations de radio et chaînes de télévision, comme Canal 11, la Radio et la Télévision nationales d’Haïti, ont des émissions consacrées au patrimoine et à la culture haïtienne. Le p</w:t>
      </w:r>
      <w:r w:rsidRPr="00E8358C">
        <w:t>a</w:t>
      </w:r>
      <w:r w:rsidRPr="00E8358C">
        <w:t>trimoine mémoriel de l’esclavage est le plus souvent absent de ces émissions. Canal 11</w:t>
      </w:r>
      <w:r w:rsidRPr="00E8358C">
        <w:rPr>
          <w:i/>
        </w:rPr>
        <w:t>,</w:t>
      </w:r>
      <w:r w:rsidRPr="00E8358C">
        <w:t xml:space="preserve"> par exemple, dans son émission « Haïti chérie », promène ses caméras dans les villes et les zones rurales pour mettre ses téléspectateurs en contact avec le paysage naturel et culturel et sensibiliser les citoyens au développement touristique endogène, cré</w:t>
      </w:r>
      <w:r w:rsidRPr="00E8358C">
        <w:t>a</w:t>
      </w:r>
      <w:r w:rsidRPr="00E8358C">
        <w:t xml:space="preserve">tif, participatif et culturellement valorisant d’Haïti.  </w:t>
      </w:r>
    </w:p>
    <w:p w:rsidR="004C50DC" w:rsidRPr="00E8358C" w:rsidRDefault="004C50DC" w:rsidP="004C50DC">
      <w:pPr>
        <w:spacing w:before="120" w:after="120"/>
        <w:jc w:val="both"/>
      </w:pPr>
      <w:r w:rsidRPr="00E8358C">
        <w:t>Pour ce qui est du passé colonial esclavagiste et de sa transmission, la presse haïtienne diffuse surtout les commémorations de dates ou de lieux. Les quotidiens, les magazines culturels et les rédactions sont aussi impliqués pour faire de ces commémorations des événements médiatiques. Des documentaires historiques, des images d’archives, des textes et des chants de conscientisation et de ralliement sont diff</w:t>
      </w:r>
      <w:r w:rsidRPr="00E8358C">
        <w:t>u</w:t>
      </w:r>
      <w:r w:rsidRPr="00E8358C">
        <w:t>sés. Les sites Internetsont utilisés pour partager les moments les plus forts. Naturellement, en ces occasions, la transmission de la  mémoire héroïque, des pages d’histoire et des valeurs communes au peuple ha</w:t>
      </w:r>
      <w:r w:rsidRPr="00E8358C">
        <w:t>ï</w:t>
      </w:r>
      <w:r w:rsidRPr="00E8358C">
        <w:t xml:space="preserve">tien est accomplie avec une ardeur patriotique. </w:t>
      </w:r>
    </w:p>
    <w:p w:rsidR="004C50DC" w:rsidRPr="00E8358C" w:rsidRDefault="004C50DC" w:rsidP="004C50DC">
      <w:pPr>
        <w:spacing w:before="120" w:after="120"/>
        <w:jc w:val="both"/>
        <w:rPr>
          <w:szCs w:val="22"/>
        </w:rPr>
      </w:pPr>
      <w:r w:rsidRPr="00E8358C">
        <w:t>Spécifiquement, quel rôle joue la presse haïtienne dans la transmi</w:t>
      </w:r>
      <w:r w:rsidRPr="00E8358C">
        <w:t>s</w:t>
      </w:r>
      <w:r w:rsidRPr="00E8358C">
        <w:t>sion des pratiques culturelles en lien avec le passé colonial esclavagi</w:t>
      </w:r>
      <w:r w:rsidRPr="00E8358C">
        <w:t>s</w:t>
      </w:r>
      <w:r w:rsidRPr="00E8358C">
        <w:t>te ? La presse en Haïti s’intéresse peu aux mémoires de l’esclavage en termes de valeurs culturelles et patrimoniales. Les rares fois qu’elles sont évoquées par des leaders ou des groupes de pression dans que</w:t>
      </w:r>
      <w:r w:rsidRPr="00E8358C">
        <w:t>l</w:t>
      </w:r>
      <w:r w:rsidRPr="00E8358C">
        <w:t>ques émissions, c’est pour justifier une position politique ou pour g</w:t>
      </w:r>
      <w:r w:rsidRPr="00E8358C">
        <w:t>a</w:t>
      </w:r>
      <w:r w:rsidRPr="00E8358C">
        <w:t>gner la sympathie des masses populaires. Durant la période 2013-2015 qui a précédé l’organisation des élections</w:t>
      </w:r>
      <w:r>
        <w:t xml:space="preserve"> [190]</w:t>
      </w:r>
      <w:r w:rsidRPr="00E8358C">
        <w:t xml:space="preserve"> législatives et prés</w:t>
      </w:r>
      <w:r w:rsidRPr="00E8358C">
        <w:t>i</w:t>
      </w:r>
      <w:r w:rsidRPr="00E8358C">
        <w:t>dentielles, les slogans « pitit Desalines» (fils de Dessalines) et « pitit Pétion » (Fils de Pétion) ont monopolisé les débats politiques et ravivé les mémoires de l’esclavage dans les sphères médiatiques haïtiennes. Onel, 44 ans, journaliste et écrivain de passage à Montréal nous livre ses impressions sur la question :</w:t>
      </w:r>
    </w:p>
    <w:p w:rsidR="004C50DC" w:rsidRDefault="004C50DC" w:rsidP="004C50DC">
      <w:pPr>
        <w:pStyle w:val="Citation0"/>
      </w:pPr>
    </w:p>
    <w:p w:rsidR="004C50DC" w:rsidRPr="00E8358C" w:rsidRDefault="004C50DC" w:rsidP="004C50DC">
      <w:pPr>
        <w:pStyle w:val="Citation0"/>
      </w:pPr>
      <w:r w:rsidRPr="00E8358C">
        <w:t>Il faut le dire sincèrement que parler de la presse en Haïti, c’est parler des stations de radio, de télévision et des revues ou des jou</w:t>
      </w:r>
      <w:r w:rsidRPr="00E8358C">
        <w:t>r</w:t>
      </w:r>
      <w:r w:rsidRPr="00E8358C">
        <w:t>naux quotidiens. Il n’y a que quelques stations de radio qui jouent concrètement un rôle cap</w:t>
      </w:r>
      <w:r w:rsidRPr="00E8358C">
        <w:t>i</w:t>
      </w:r>
      <w:r w:rsidRPr="00E8358C">
        <w:t>tal dans la transmission des pratiques cult</w:t>
      </w:r>
      <w:r w:rsidRPr="00E8358C">
        <w:t>u</w:t>
      </w:r>
      <w:r w:rsidRPr="00E8358C">
        <w:t>relles haïtiennes. Ces stations font la promotion de la peinture haïtienne, de  la sculpture, des œuvres li</w:t>
      </w:r>
      <w:r w:rsidRPr="00E8358C">
        <w:t>t</w:t>
      </w:r>
      <w:r w:rsidRPr="00E8358C">
        <w:t>téraires et de la musique. Mais pa</w:t>
      </w:r>
      <w:r w:rsidRPr="00E8358C">
        <w:t>r</w:t>
      </w:r>
      <w:r w:rsidRPr="00E8358C">
        <w:t>ler des mémoires de l’esclavage, des habitations coloniales et des fo</w:t>
      </w:r>
      <w:r w:rsidRPr="00E8358C">
        <w:t>r</w:t>
      </w:r>
      <w:r w:rsidRPr="00E8358C">
        <w:t>tifications en termes d’architecture et de mémoire patrimoniale, la presse ne s’y intéresse presque pas. En ce qui a trait aux journaux ha</w:t>
      </w:r>
      <w:r w:rsidRPr="00E8358C">
        <w:t>ï</w:t>
      </w:r>
      <w:r w:rsidRPr="00E8358C">
        <w:t>tiens, c’est plutôt la valorisation de la musique et des œuvres littéraires. Mais en matière de rapport avec le passé colonial escl</w:t>
      </w:r>
      <w:r w:rsidRPr="00E8358C">
        <w:t>a</w:t>
      </w:r>
      <w:r w:rsidRPr="00E8358C">
        <w:t>vagiste, c’est très peu par rapport à ce qu’il fallait faire pour une excellente promotion de ces mémoires en tant que patrimoine.</w:t>
      </w:r>
    </w:p>
    <w:p w:rsidR="004C50DC" w:rsidRDefault="004C50DC" w:rsidP="004C50DC">
      <w:pPr>
        <w:pStyle w:val="Citation0c"/>
      </w:pPr>
      <w:r w:rsidRPr="00E8358C">
        <w:t>(Onel, entrevue, 10 mai 2013)</w:t>
      </w:r>
    </w:p>
    <w:p w:rsidR="004C50DC" w:rsidRPr="00E8358C" w:rsidRDefault="004C50DC" w:rsidP="004C50DC">
      <w:pPr>
        <w:pStyle w:val="Citation0c"/>
      </w:pPr>
    </w:p>
    <w:p w:rsidR="004C50DC" w:rsidRPr="00E8358C" w:rsidRDefault="004C50DC" w:rsidP="004C50DC">
      <w:pPr>
        <w:spacing w:before="120" w:after="120"/>
        <w:jc w:val="both"/>
      </w:pPr>
      <w:r w:rsidRPr="00E8358C">
        <w:t>La presse haïtienne pourrait jouer un rôle déterminant en partic</w:t>
      </w:r>
      <w:r w:rsidRPr="00E8358C">
        <w:t>i</w:t>
      </w:r>
      <w:r w:rsidRPr="00E8358C">
        <w:t>pant à une campagne d’éducation culturelle et historique qui mettrait de l’avant le passé colonial. Il est plus que nécessaire aujourd’hui de définir les lignes directrices de la presse haïtienne souvent très crit</w:t>
      </w:r>
      <w:r w:rsidRPr="00E8358C">
        <w:t>i</w:t>
      </w:r>
      <w:r w:rsidRPr="00E8358C">
        <w:t>quée pour son éloignement des attentes du public. Zamy, 41 ans, jou</w:t>
      </w:r>
      <w:r w:rsidRPr="00E8358C">
        <w:t>r</w:t>
      </w:r>
      <w:r w:rsidRPr="00E8358C">
        <w:t xml:space="preserve">naliste, estime que la sauvegarde et la transmission du patrimoine en Haïti impliquent aussi la participation de la presse. </w:t>
      </w:r>
    </w:p>
    <w:p w:rsidR="004C50DC" w:rsidRDefault="004C50DC" w:rsidP="004C50DC">
      <w:pPr>
        <w:pStyle w:val="Citation0"/>
      </w:pPr>
    </w:p>
    <w:p w:rsidR="004C50DC" w:rsidRPr="00E8358C" w:rsidRDefault="004C50DC" w:rsidP="004C50DC">
      <w:pPr>
        <w:pStyle w:val="Citation0"/>
      </w:pPr>
      <w:r w:rsidRPr="00E8358C">
        <w:t>Aujourd’hui, la presse haïtienne reflète la réalité sociale du pays. Dans le cadre d’une politique culturelle, les autorités doivent encourager les dire</w:t>
      </w:r>
      <w:r w:rsidRPr="00E8358C">
        <w:t>c</w:t>
      </w:r>
      <w:r w:rsidRPr="00E8358C">
        <w:t>teurs d’opinion à insérer dans leur programmation des espaces de temps pour le patrimoine culturel et sa valorisation. À côté des historiens et des littéraires, l’apport de la presse est indispensable à la transmission du p</w:t>
      </w:r>
      <w:r w:rsidRPr="00E8358C">
        <w:t>a</w:t>
      </w:r>
      <w:r w:rsidRPr="00E8358C">
        <w:t>trimoine et particulièrement à la patrimonial</w:t>
      </w:r>
      <w:r w:rsidRPr="00E8358C">
        <w:t>i</w:t>
      </w:r>
      <w:r w:rsidRPr="00E8358C">
        <w:t>sation des mémoires de l’esclavage en Haïti en permettant de saisir les pratiques, les lieux et les mémoires qu’ils transportent. Le rôle éducatif de la presse est donc cr</w:t>
      </w:r>
      <w:r w:rsidRPr="00E8358C">
        <w:t>u</w:t>
      </w:r>
      <w:r w:rsidRPr="00E8358C">
        <w:t xml:space="preserve">cial. </w:t>
      </w:r>
    </w:p>
    <w:p w:rsidR="004C50DC" w:rsidRDefault="004C50DC" w:rsidP="004C50DC">
      <w:pPr>
        <w:pStyle w:val="Citation0c"/>
      </w:pPr>
      <w:r w:rsidRPr="00E8358C">
        <w:t xml:space="preserve">(Zamy, entrevue par Skype, 15 mai 2013) </w:t>
      </w:r>
    </w:p>
    <w:p w:rsidR="004C50DC" w:rsidRPr="00E8358C" w:rsidRDefault="004C50DC" w:rsidP="004C50DC">
      <w:pPr>
        <w:pStyle w:val="Citation0c"/>
      </w:pPr>
    </w:p>
    <w:p w:rsidR="004C50DC" w:rsidRDefault="004C50DC" w:rsidP="004C50DC">
      <w:pPr>
        <w:spacing w:before="120" w:after="120"/>
        <w:jc w:val="both"/>
      </w:pPr>
      <w:r w:rsidRPr="00E8358C">
        <w:t>Le nombre croissant de radios et de chaînes de télévision déno</w:t>
      </w:r>
      <w:r w:rsidRPr="00E8358C">
        <w:t>m</w:t>
      </w:r>
      <w:r w:rsidRPr="00E8358C">
        <w:t>brées à partir des années 1990 serait une source à exploiter dans une telle démarche, car les Haïtiens rêvent encore d’une presse qui pre</w:t>
      </w:r>
      <w:r w:rsidRPr="00E8358C">
        <w:t>n</w:t>
      </w:r>
      <w:r w:rsidRPr="00E8358C">
        <w:t>drait en compte la valorisation et la vulgarisation du patrimoine cult</w:t>
      </w:r>
      <w:r w:rsidRPr="00E8358C">
        <w:t>u</w:t>
      </w:r>
      <w:r w:rsidRPr="00E8358C">
        <w:t>rel d’Haïti comme un volet déterminant dans ses programmations.</w:t>
      </w:r>
    </w:p>
    <w:p w:rsidR="004C50DC" w:rsidRPr="00E8358C" w:rsidRDefault="004C50DC" w:rsidP="004C50DC">
      <w:pPr>
        <w:spacing w:before="120" w:after="120"/>
        <w:jc w:val="both"/>
      </w:pPr>
      <w:r>
        <w:br w:type="page"/>
      </w:r>
    </w:p>
    <w:p w:rsidR="004C50DC" w:rsidRPr="00E8358C" w:rsidRDefault="004C50DC" w:rsidP="004C50DC">
      <w:pPr>
        <w:pStyle w:val="planche"/>
      </w:pPr>
      <w:bookmarkStart w:id="186" w:name="_Toc406489688"/>
      <w:bookmarkStart w:id="187" w:name="_Toc423347307"/>
      <w:bookmarkStart w:id="188" w:name="_Toc442280486"/>
      <w:bookmarkStart w:id="189" w:name="Memoire_chap_IV_3"/>
      <w:r w:rsidRPr="00E8358C">
        <w:t>4.3.</w:t>
      </w:r>
      <w:r>
        <w:t xml:space="preserve"> Représentations de l’esclavage</w:t>
      </w:r>
      <w:r>
        <w:br/>
      </w:r>
      <w:r w:rsidRPr="00E8358C">
        <w:t>dans l’espace p</w:t>
      </w:r>
      <w:r w:rsidRPr="00E8358C">
        <w:t>u</w:t>
      </w:r>
      <w:r w:rsidRPr="00E8358C">
        <w:t>blic haïtien</w:t>
      </w:r>
      <w:bookmarkEnd w:id="186"/>
      <w:bookmarkEnd w:id="187"/>
      <w:bookmarkEnd w:id="188"/>
    </w:p>
    <w:bookmarkEnd w:id="189"/>
    <w:p w:rsidR="004C50DC" w:rsidRPr="00E8358C" w:rsidRDefault="004C50DC" w:rsidP="004C50DC">
      <w:pPr>
        <w:spacing w:before="120" w:after="120"/>
        <w:jc w:val="both"/>
        <w:rPr>
          <w:rFonts w:eastAsia="Calibri"/>
          <w:szCs w:val="22"/>
        </w:rPr>
      </w:pPr>
    </w:p>
    <w:p w:rsidR="004C50DC" w:rsidRDefault="004C50DC" w:rsidP="004C50DC">
      <w:pPr>
        <w:spacing w:before="120" w:after="120"/>
        <w:jc w:val="both"/>
      </w:pPr>
      <w:r>
        <w:t>[191]</w:t>
      </w:r>
    </w:p>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Bien que des dispositions légales aient été prises, la question de la sauvegarde et de la valorisation du patrimoine culturel haïtien soulève encore de nombreuses interrogations. Les constats montrent que la mémoire de l’esclavage dans l’espace public haïtien est presque inv</w:t>
      </w:r>
      <w:r w:rsidRPr="00E8358C">
        <w:t>i</w:t>
      </w:r>
      <w:r w:rsidRPr="00E8358C">
        <w:t>sible malgré les efforts déployés jusqu’ici par certains organismes p</w:t>
      </w:r>
      <w:r w:rsidRPr="00E8358C">
        <w:t>u</w:t>
      </w:r>
      <w:r w:rsidRPr="00E8358C">
        <w:t>blics et privés. Face à ce réel défi, la nécessité de conserver les sites de mémoire devient une urgence.</w:t>
      </w:r>
    </w:p>
    <w:p w:rsidR="004C50DC" w:rsidRDefault="004C50DC" w:rsidP="004C50DC">
      <w:pPr>
        <w:spacing w:before="120" w:after="120"/>
        <w:jc w:val="both"/>
      </w:pPr>
      <w:bookmarkStart w:id="190" w:name="_Toc406489690"/>
      <w:bookmarkStart w:id="191" w:name="_Toc423347308"/>
      <w:bookmarkStart w:id="192" w:name="_Toc442280487"/>
    </w:p>
    <w:p w:rsidR="004C50DC" w:rsidRPr="00E8358C" w:rsidRDefault="004C50DC" w:rsidP="004C50DC">
      <w:pPr>
        <w:pStyle w:val="a"/>
      </w:pPr>
      <w:r w:rsidRPr="00E8358C">
        <w:t xml:space="preserve">4.3.1. La mémoire de l’esclavage </w:t>
      </w:r>
      <w:r>
        <w:br/>
      </w:r>
      <w:r w:rsidRPr="00E8358C">
        <w:t>au Musée du Panthéon national haïtien (MUPANAH)</w:t>
      </w:r>
      <w:bookmarkEnd w:id="190"/>
      <w:bookmarkEnd w:id="191"/>
      <w:bookmarkEnd w:id="192"/>
    </w:p>
    <w:p w:rsidR="004C50DC" w:rsidRDefault="004C50DC" w:rsidP="004C50DC">
      <w:pPr>
        <w:spacing w:before="120" w:after="120"/>
        <w:jc w:val="both"/>
      </w:pPr>
    </w:p>
    <w:p w:rsidR="004C50DC" w:rsidRPr="001137B7" w:rsidRDefault="004C50DC" w:rsidP="004C50DC">
      <w:pPr>
        <w:spacing w:before="120" w:after="120"/>
        <w:jc w:val="both"/>
      </w:pPr>
      <w:r w:rsidRPr="001137B7">
        <w:t>Le Musée du Panthéon national haïtien est un musée historique et artistique créé par le décret du 20 octobre 1982 dans le but de conse</w:t>
      </w:r>
      <w:r w:rsidRPr="001137B7">
        <w:t>r</w:t>
      </w:r>
      <w:r w:rsidRPr="001137B7">
        <w:t>ver et de transmettre le patrimoine historique et culturel, notamment la mémoire des « Pères de la Patrie ». Situé au centre-ville de Port-au-Prince, le musée, dans sa principale salle d’exposition permanente, présente au public des objets qui rappellent le passé colonial esclav</w:t>
      </w:r>
      <w:r w:rsidRPr="001137B7">
        <w:t>a</w:t>
      </w:r>
      <w:r w:rsidRPr="001137B7">
        <w:t>giste. La médiation entre les courants de mémoire comme les courants de victimisation, de revendications, de culpabilité… qui s’entremêlent dans cette société</w:t>
      </w:r>
      <w:r>
        <w:t> </w:t>
      </w:r>
      <w:r>
        <w:rPr>
          <w:rStyle w:val="Appelnotedebasdep"/>
        </w:rPr>
        <w:footnoteReference w:id="560"/>
      </w:r>
      <w:r w:rsidRPr="001137B7">
        <w:t xml:space="preserve"> constitue le principal problème de l’approche p</w:t>
      </w:r>
      <w:r w:rsidRPr="001137B7">
        <w:t>a</w:t>
      </w:r>
      <w:r w:rsidRPr="001137B7">
        <w:t>trimoniale dans cette exposition. Le message ici est clair : dans sa mission, le MUPANAH doit œuvrer pour rappeler l’histoire et tran</w:t>
      </w:r>
      <w:r w:rsidRPr="001137B7">
        <w:t>s</w:t>
      </w:r>
      <w:r w:rsidRPr="001137B7">
        <w:t>mettre la mémoire de l’esclavage. C’est dans ce contexte qu’Estère, 36 ans, employée du Musée du panthéon national haïtien, nous révèle que :</w:t>
      </w:r>
    </w:p>
    <w:p w:rsidR="004C50DC" w:rsidRDefault="004C50DC" w:rsidP="004C50DC">
      <w:pPr>
        <w:pStyle w:val="Citation0"/>
      </w:pPr>
    </w:p>
    <w:p w:rsidR="004C50DC" w:rsidRPr="00E8358C" w:rsidRDefault="004C50DC" w:rsidP="004C50DC">
      <w:pPr>
        <w:pStyle w:val="Citation0"/>
      </w:pPr>
      <w:r w:rsidRPr="00E8358C">
        <w:t>Au MUPANAH, les objets témoins directs de l’esclavage qui peuvent se</w:t>
      </w:r>
      <w:r w:rsidRPr="00E8358C">
        <w:t>r</w:t>
      </w:r>
      <w:r w:rsidRPr="00E8358C">
        <w:t>vir de cadre aujourd’hui à la mémoire du passé colonial escl</w:t>
      </w:r>
      <w:r w:rsidRPr="00E8358C">
        <w:t>a</w:t>
      </w:r>
      <w:r w:rsidRPr="00E8358C">
        <w:t xml:space="preserve">vagiste en Haïti ne sont pas nombreux. On peut citer, entre autres, les fers d’esclaves avec le système de poids, le tambour </w:t>
      </w:r>
      <w:r w:rsidRPr="00E8358C">
        <w:rPr>
          <w:i/>
        </w:rPr>
        <w:t>asòtò</w:t>
      </w:r>
      <w:r w:rsidRPr="00E8358C">
        <w:t>, la cloche, le lambi, instrument de rassemblement des esclaves marrons pour donner le signal de la révo</w:t>
      </w:r>
      <w:r w:rsidRPr="00E8358C">
        <w:t>l</w:t>
      </w:r>
      <w:r w:rsidRPr="00E8358C">
        <w:t xml:space="preserve">te. Dans le cadre d’une série d’activités baptisées </w:t>
      </w:r>
      <w:r w:rsidRPr="00E8358C">
        <w:rPr>
          <w:i/>
        </w:rPr>
        <w:t>devoir de mémoire</w:t>
      </w:r>
      <w:r w:rsidRPr="00E8358C">
        <w:t>, on a réalisé deux expositions s’articulant autour des thèmes :« Chimen libète</w:t>
      </w:r>
      <w:r w:rsidRPr="00E8358C">
        <w:rPr>
          <w:i/>
        </w:rPr>
        <w:t> »</w:t>
      </w:r>
      <w:r w:rsidRPr="00E8358C">
        <w:t xml:space="preserve"> du 20 septembre au 20 octobre 2012 et « D’Ayiti à Haïti : la liberté conquise</w:t>
      </w:r>
      <w:r w:rsidRPr="00E8358C">
        <w:rPr>
          <w:i/>
        </w:rPr>
        <w:t> </w:t>
      </w:r>
      <w:r w:rsidRPr="00E8358C">
        <w:t>» du 12 décembre 2004 au 15 novembre 2005, qui étaient des occasions pour mettre en valeur les mémoires del’esclavage. Les visiteurs étaient contents de prendre connaissance de cette partie de mémoire à la fois douloureuse et h</w:t>
      </w:r>
      <w:r w:rsidRPr="00E8358C">
        <w:t>é</w:t>
      </w:r>
      <w:r w:rsidRPr="00E8358C">
        <w:t xml:space="preserve">roïque du peuple haïtien. </w:t>
      </w:r>
    </w:p>
    <w:p w:rsidR="004C50DC" w:rsidRDefault="004C50DC" w:rsidP="004C50DC">
      <w:pPr>
        <w:pStyle w:val="Citation0c"/>
      </w:pPr>
      <w:r w:rsidRPr="00E8358C">
        <w:t>(Estère, entrevue, 2 septembre 2013)</w:t>
      </w:r>
    </w:p>
    <w:p w:rsidR="004C50DC" w:rsidRPr="00E8358C" w:rsidRDefault="004C50DC" w:rsidP="004C50DC">
      <w:pPr>
        <w:pStyle w:val="Citation0c"/>
      </w:pPr>
    </w:p>
    <w:p w:rsidR="004C50DC" w:rsidRDefault="004C50DC" w:rsidP="004C50DC">
      <w:pPr>
        <w:spacing w:before="120" w:after="120"/>
        <w:jc w:val="both"/>
      </w:pPr>
      <w:r w:rsidRPr="00E8358C">
        <w:t>Il conviendrait désormais que le MUPANAH valorise le patrimo</w:t>
      </w:r>
      <w:r w:rsidRPr="00E8358C">
        <w:t>i</w:t>
      </w:r>
      <w:r w:rsidRPr="00E8358C">
        <w:t>ne mémoriel de</w:t>
      </w:r>
      <w:r>
        <w:t xml:space="preserve"> [192]</w:t>
      </w:r>
      <w:r w:rsidRPr="00E8358C">
        <w:t xml:space="preserve"> l’esclavage. Quel est l’état des lieux a</w:t>
      </w:r>
      <w:r w:rsidRPr="00E8358C">
        <w:t>u</w:t>
      </w:r>
      <w:r w:rsidRPr="00E8358C">
        <w:t>jourd’hui ? Quelle est donc la place de l’esclave dans la trame de l’exposition permanente ? Nous voulons parler de ces individus e</w:t>
      </w:r>
      <w:r w:rsidRPr="00E8358C">
        <w:t>x</w:t>
      </w:r>
      <w:r w:rsidRPr="00E8358C">
        <w:t>ploités, maltra</w:t>
      </w:r>
      <w:r w:rsidRPr="00E8358C">
        <w:t>i</w:t>
      </w:r>
      <w:r w:rsidRPr="00E8358C">
        <w:t>tés, qui ont combattu l’esclavage, qui ont commencé les révoltes sur les habitations, qui ont marro</w:t>
      </w:r>
      <w:r w:rsidRPr="00E8358C">
        <w:t>n</w:t>
      </w:r>
      <w:r w:rsidRPr="00E8358C">
        <w:t>né. Autrement dit, les esclaves anonymes. Comment sont-ils représentés ? Comment la sc</w:t>
      </w:r>
      <w:r w:rsidRPr="00E8358C">
        <w:t>é</w:t>
      </w:r>
      <w:r w:rsidRPr="00E8358C">
        <w:t>nographie concilie-t-elle la souffrance et la gloire attachées à ce pa</w:t>
      </w:r>
      <w:r w:rsidRPr="00E8358C">
        <w:t>s</w:t>
      </w:r>
      <w:r w:rsidRPr="00E8358C">
        <w:t>sé ? Quand on sait que le refus de s’enliser dans une mémoire doulo</w:t>
      </w:r>
      <w:r w:rsidRPr="00E8358C">
        <w:t>u</w:t>
      </w:r>
      <w:r w:rsidRPr="00E8358C">
        <w:t>reuse persiste et que le sentiment patriotique est histo</w:t>
      </w:r>
      <w:r>
        <w:t>riquement cond</w:t>
      </w:r>
      <w:r>
        <w:t>i</w:t>
      </w:r>
      <w:r>
        <w:t>tionné en Haïti.</w:t>
      </w:r>
    </w:p>
    <w:p w:rsidR="004C50DC" w:rsidRPr="00E8358C" w:rsidRDefault="004C50DC" w:rsidP="004C50DC">
      <w:pPr>
        <w:spacing w:before="120" w:after="120"/>
        <w:jc w:val="both"/>
      </w:pPr>
      <w:r>
        <w:br w:type="page"/>
      </w:r>
    </w:p>
    <w:p w:rsidR="004C50DC" w:rsidRDefault="004C50DC" w:rsidP="004C50DC">
      <w:pPr>
        <w:pStyle w:val="b"/>
      </w:pPr>
      <w:bookmarkStart w:id="193" w:name="_Toc406489691"/>
      <w:bookmarkStart w:id="194" w:name="_Toc423347309"/>
      <w:bookmarkStart w:id="195" w:name="_Toc442280488"/>
      <w:r w:rsidRPr="001137B7">
        <w:t>Code noir et cloche</w:t>
      </w:r>
      <w:bookmarkEnd w:id="193"/>
      <w:bookmarkEnd w:id="194"/>
      <w:bookmarkEnd w:id="195"/>
    </w:p>
    <w:p w:rsidR="004C50DC" w:rsidRPr="001137B7" w:rsidRDefault="004C50DC" w:rsidP="004C50DC">
      <w:pPr>
        <w:pStyle w:val="b"/>
      </w:pPr>
    </w:p>
    <w:p w:rsidR="004C50DC" w:rsidRDefault="009B614B" w:rsidP="004C50DC">
      <w:pPr>
        <w:pStyle w:val="fig"/>
      </w:pPr>
      <w:r>
        <w:rPr>
          <w:noProof/>
        </w:rPr>
        <w:drawing>
          <wp:inline distT="0" distB="0" distL="0" distR="0">
            <wp:extent cx="5024120" cy="4421505"/>
            <wp:effectExtent l="25400" t="25400" r="17780" b="10795"/>
            <wp:docPr id="13" name="Image 13" descr="fig_08_l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ig_08_low"/>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4120" cy="442150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1137B7" w:rsidRDefault="004C50DC" w:rsidP="004C50DC">
      <w:pPr>
        <w:pStyle w:val="figst"/>
      </w:pPr>
      <w:bookmarkStart w:id="196" w:name="Memoire_fig_08"/>
      <w:r w:rsidRPr="000A6685">
        <w:t>Figure 8: Manuscrit du Code noir par Gragnon Lacoste (m-26</w:t>
      </w:r>
      <w:r>
        <w:t xml:space="preserve"> </w:t>
      </w:r>
      <w:r w:rsidRPr="000A6685">
        <w:t>G.L 1881)</w:t>
      </w:r>
      <w:r w:rsidR="009B614B" w:rsidRPr="001137B7">
        <w:rPr>
          <w:noProof/>
          <w:lang w:eastAsia="fr-FR"/>
        </w:rPr>
        <mc:AlternateContent>
          <mc:Choice Requires="wps">
            <w:drawing>
              <wp:anchor distT="0" distB="0" distL="114300" distR="114300" simplePos="0" relativeHeight="251659776" behindDoc="0" locked="0" layoutInCell="1" allowOverlap="1">
                <wp:simplePos x="0" y="0"/>
                <wp:positionH relativeFrom="column">
                  <wp:posOffset>1460500</wp:posOffset>
                </wp:positionH>
                <wp:positionV relativeFrom="paragraph">
                  <wp:posOffset>2915920</wp:posOffset>
                </wp:positionV>
                <wp:extent cx="2933700" cy="540385"/>
                <wp:effectExtent l="0" t="0" r="0" b="0"/>
                <wp:wrapSquare wrapText="bothSides"/>
                <wp:docPr id="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33700" cy="540385"/>
                        </a:xfrm>
                        <a:prstGeom prst="rect">
                          <a:avLst/>
                        </a:prstGeom>
                        <a:solidFill>
                          <a:srgbClr val="FFFFFF"/>
                        </a:solidFill>
                        <a:ln>
                          <a:noFill/>
                        </a:ln>
                        <a:extLst>
                          <a:ext uri="{91240B29-F687-4f45-9708-019B960494DF}">
                            <a14:hiddenLine xmlns:a14="http://schemas.microsoft.com/office/drawing/2010/main" xmlns="" w="9525">
                              <a:solidFill>
                                <a:srgbClr val="000000"/>
                              </a:solidFill>
                              <a:miter lim="800000"/>
                              <a:headEnd/>
                              <a:tailEnd/>
                            </a14:hiddenLine>
                          </a:ext>
                        </a:extLst>
                      </wps:spPr>
                      <wps:txbx>
                        <w:txbxContent>
                          <w:p w:rsidR="004C50DC" w:rsidRDefault="004C50DC" w:rsidP="004C50DC">
                            <w:pPr>
                              <w:pStyle w:val="Lgende"/>
                            </w:pPr>
                            <w:bookmarkStart w:id="197" w:name="_Toc421028383"/>
                          </w:p>
                          <w:p w:rsidR="004C50DC" w:rsidRPr="00DA1B0A" w:rsidRDefault="004C50DC" w:rsidP="004C50DC">
                            <w:pPr>
                              <w:pStyle w:val="Lgende"/>
                              <w:jc w:val="center"/>
                              <w:rPr>
                                <w:b w:val="0"/>
                                <w:i/>
                                <w:noProof/>
                                <w:sz w:val="18"/>
                              </w:rPr>
                            </w:pPr>
                            <w:r w:rsidRPr="00DA1B0A">
                              <w:rPr>
                                <w:b w:val="0"/>
                                <w:i/>
                                <w:sz w:val="18"/>
                              </w:rPr>
                              <w:t xml:space="preserve">Figure </w:t>
                            </w:r>
                            <w:r w:rsidRPr="00DA1B0A">
                              <w:rPr>
                                <w:b w:val="0"/>
                                <w:i/>
                                <w:sz w:val="18"/>
                              </w:rPr>
                              <w:fldChar w:fldCharType="begin"/>
                            </w:r>
                            <w:r w:rsidR="00EF1554">
                              <w:rPr>
                                <w:b w:val="0"/>
                                <w:i/>
                                <w:sz w:val="18"/>
                              </w:rPr>
                              <w:instrText>SEQ</w:instrText>
                            </w:r>
                            <w:r w:rsidRPr="00DA1B0A">
                              <w:rPr>
                                <w:b w:val="0"/>
                                <w:i/>
                                <w:sz w:val="18"/>
                              </w:rPr>
                              <w:instrText xml:space="preserve"> Figure \* ARABIC </w:instrText>
                            </w:r>
                            <w:r w:rsidRPr="00DA1B0A">
                              <w:rPr>
                                <w:b w:val="0"/>
                                <w:i/>
                                <w:sz w:val="18"/>
                              </w:rPr>
                              <w:fldChar w:fldCharType="separate"/>
                            </w:r>
                            <w:r>
                              <w:rPr>
                                <w:b w:val="0"/>
                                <w:i/>
                                <w:noProof/>
                                <w:sz w:val="18"/>
                              </w:rPr>
                              <w:t>8</w:t>
                            </w:r>
                            <w:r w:rsidRPr="00DA1B0A">
                              <w:rPr>
                                <w:b w:val="0"/>
                                <w:i/>
                                <w:sz w:val="18"/>
                              </w:rPr>
                              <w:fldChar w:fldCharType="end"/>
                            </w:r>
                            <w:r w:rsidRPr="00DA1B0A">
                              <w:rPr>
                                <w:b w:val="0"/>
                                <w:i/>
                                <w:sz w:val="18"/>
                              </w:rPr>
                              <w:t>: Manuscrit du Code noir par Gragnon Lacoste (m-26 G.L 1881)</w:t>
                            </w:r>
                            <w:bookmarkEnd w:id="19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15pt;margin-top:229.6pt;width:231pt;height:42.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" stroked="f">
                <v:textbox style="mso-fit-shape-to-text:t" inset="0,0,0,0">
                  <w:txbxContent>
                    <w:p w:rsidR="004C50DC" w:rsidRDefault="004C50DC" w:rsidP="004C50DC">
                      <w:pPr>
                        <w:pStyle w:val="Lgende"/>
                      </w:pPr>
                      <w:bookmarkStart w:id="198" w:name="_Toc421028383"/>
                    </w:p>
                    <w:p w:rsidR="004C50DC" w:rsidRPr="00DA1B0A" w:rsidRDefault="004C50DC" w:rsidP="004C50DC">
                      <w:pPr>
                        <w:pStyle w:val="Lgende"/>
                        <w:jc w:val="center"/>
                        <w:rPr>
                          <w:b w:val="0"/>
                          <w:i/>
                          <w:noProof/>
                          <w:sz w:val="18"/>
                        </w:rPr>
                      </w:pPr>
                      <w:r w:rsidRPr="00DA1B0A">
                        <w:rPr>
                          <w:b w:val="0"/>
                          <w:i/>
                          <w:sz w:val="18"/>
                        </w:rPr>
                        <w:t xml:space="preserve">Figure </w:t>
                      </w:r>
                      <w:r w:rsidRPr="00DA1B0A">
                        <w:rPr>
                          <w:b w:val="0"/>
                          <w:i/>
                          <w:sz w:val="18"/>
                        </w:rPr>
                        <w:fldChar w:fldCharType="begin"/>
                      </w:r>
                      <w:r w:rsidR="00EF1554">
                        <w:rPr>
                          <w:b w:val="0"/>
                          <w:i/>
                          <w:sz w:val="18"/>
                        </w:rPr>
                        <w:instrText>SEQ</w:instrText>
                      </w:r>
                      <w:r w:rsidRPr="00DA1B0A">
                        <w:rPr>
                          <w:b w:val="0"/>
                          <w:i/>
                          <w:sz w:val="18"/>
                        </w:rPr>
                        <w:instrText xml:space="preserve"> Figure \* ARABIC </w:instrText>
                      </w:r>
                      <w:r w:rsidRPr="00DA1B0A">
                        <w:rPr>
                          <w:b w:val="0"/>
                          <w:i/>
                          <w:sz w:val="18"/>
                        </w:rPr>
                        <w:fldChar w:fldCharType="separate"/>
                      </w:r>
                      <w:r>
                        <w:rPr>
                          <w:b w:val="0"/>
                          <w:i/>
                          <w:noProof/>
                          <w:sz w:val="18"/>
                        </w:rPr>
                        <w:t>8</w:t>
                      </w:r>
                      <w:r w:rsidRPr="00DA1B0A">
                        <w:rPr>
                          <w:b w:val="0"/>
                          <w:i/>
                          <w:sz w:val="18"/>
                        </w:rPr>
                        <w:fldChar w:fldCharType="end"/>
                      </w:r>
                      <w:r w:rsidRPr="00DA1B0A">
                        <w:rPr>
                          <w:b w:val="0"/>
                          <w:i/>
                          <w:sz w:val="18"/>
                        </w:rPr>
                        <w:t>: Manuscrit du Code noir par Gragnon Lacoste (m-26 G.L 1881)</w:t>
                      </w:r>
                      <w:bookmarkEnd w:id="198"/>
                    </w:p>
                  </w:txbxContent>
                </v:textbox>
                <w10:wrap type="square"/>
              </v:shape>
            </w:pict>
          </mc:Fallback>
        </mc:AlternateContent>
      </w:r>
      <w:r>
        <w:t xml:space="preserve"> </w:t>
      </w:r>
      <w:r w:rsidRPr="001137B7">
        <w:t xml:space="preserve">Source : </w:t>
      </w:r>
      <w:r w:rsidRPr="001137B7">
        <w:rPr>
          <w:bCs/>
        </w:rPr>
        <w:t>Collections Musée du Panthéon national (MUPANAH, Port-au-Prince)</w:t>
      </w:r>
    </w:p>
    <w:bookmarkEnd w:id="196"/>
    <w:p w:rsidR="004C50DC" w:rsidRPr="001137B7" w:rsidRDefault="004C50DC" w:rsidP="004C50DC">
      <w:pPr>
        <w:pStyle w:val="p"/>
      </w:pPr>
      <w:r>
        <w:br w:type="page"/>
      </w:r>
      <w:r w:rsidRPr="001137B7">
        <w:t>[193]</w:t>
      </w:r>
    </w:p>
    <w:p w:rsidR="004C50DC" w:rsidRPr="001137B7" w:rsidRDefault="004C50DC" w:rsidP="004C50DC">
      <w:pPr>
        <w:spacing w:before="120" w:after="120"/>
        <w:jc w:val="both"/>
        <w:rPr>
          <w:szCs w:val="18"/>
        </w:rPr>
      </w:pPr>
    </w:p>
    <w:p w:rsidR="004C50DC" w:rsidRPr="00E8358C" w:rsidRDefault="009B614B" w:rsidP="004C50DC">
      <w:pPr>
        <w:pStyle w:val="fig"/>
        <w:rPr>
          <w:shd w:val="clear" w:color="auto" w:fill="FFFFFF"/>
        </w:rPr>
      </w:pPr>
      <w:r w:rsidRPr="00E8358C">
        <w:rPr>
          <w:noProof/>
          <w:shd w:val="clear" w:color="auto" w:fill="FFFFFF"/>
          <w:lang w:eastAsia="fr-FR"/>
        </w:rPr>
        <w:drawing>
          <wp:inline distT="0" distB="0" distL="0" distR="0">
            <wp:extent cx="3517900" cy="3076575"/>
            <wp:effectExtent l="25400" t="25400" r="12700" b="9525"/>
            <wp:docPr id="14" name="Image 1" descr="http://www.esclavage-memoire.com/files/upload/Haiti%20cloch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http://www.esclavage-memoire.com/files/upload/Haiti%20cloche.jpg"/>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7900" cy="307657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199" w:name="_Toc417146054"/>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1137B7" w:rsidRDefault="004C50DC" w:rsidP="004C50DC">
      <w:pPr>
        <w:pStyle w:val="figst1"/>
      </w:pPr>
      <w:bookmarkStart w:id="200" w:name="Memoire_fig_09"/>
      <w:r w:rsidRPr="00E8358C">
        <w:t xml:space="preserve">Figure </w:t>
      </w:r>
      <w:r w:rsidRPr="00E8358C">
        <w:fldChar w:fldCharType="begin"/>
      </w:r>
      <w:r w:rsidR="00EF1554">
        <w:instrText>SEQ</w:instrText>
      </w:r>
      <w:r w:rsidRPr="00E8358C">
        <w:instrText xml:space="preserve"> Figure \* ARABIC </w:instrText>
      </w:r>
      <w:r w:rsidRPr="00E8358C">
        <w:fldChar w:fldCharType="separate"/>
      </w:r>
      <w:r>
        <w:rPr>
          <w:noProof/>
        </w:rPr>
        <w:t>9</w:t>
      </w:r>
      <w:r w:rsidRPr="00E8358C">
        <w:fldChar w:fldCharType="end"/>
      </w:r>
      <w:r w:rsidRPr="00E8358C">
        <w:t>. « Cloche de la liberté » sonnée lors de l’abolition de l’esclavage dans la colonie de Saint-Domingue, le 29 août 1793.</w:t>
      </w:r>
      <w:bookmarkEnd w:id="199"/>
      <w:r>
        <w:t xml:space="preserve"> </w:t>
      </w:r>
      <w:r w:rsidRPr="001137B7">
        <w:t xml:space="preserve">Source : </w:t>
      </w:r>
      <w:r w:rsidRPr="001137B7">
        <w:rPr>
          <w:bCs/>
        </w:rPr>
        <w:t>Collections Musée du Panthéon national (MUPANAH, Port-au-Prince)</w:t>
      </w:r>
    </w:p>
    <w:bookmarkEnd w:id="200"/>
    <w:p w:rsidR="004C50DC" w:rsidRPr="00E8358C" w:rsidRDefault="004C50DC" w:rsidP="004C50DC">
      <w:pPr>
        <w:spacing w:before="120" w:after="120"/>
        <w:jc w:val="both"/>
      </w:pPr>
    </w:p>
    <w:p w:rsidR="004C50DC" w:rsidRDefault="004C50DC" w:rsidP="004C50DC">
      <w:pPr>
        <w:spacing w:before="120" w:after="120"/>
        <w:jc w:val="both"/>
      </w:pPr>
      <w:r w:rsidRPr="00E8358C">
        <w:t xml:space="preserve">Le Code noir, ou plus exactement </w:t>
      </w:r>
      <w:r w:rsidRPr="00E8358C">
        <w:rPr>
          <w:i/>
        </w:rPr>
        <w:t>l’Édit du Roi concernant la di</w:t>
      </w:r>
      <w:r w:rsidRPr="00E8358C">
        <w:rPr>
          <w:i/>
        </w:rPr>
        <w:t>s</w:t>
      </w:r>
      <w:r w:rsidRPr="00E8358C">
        <w:rPr>
          <w:i/>
        </w:rPr>
        <w:t>cipline de l’Église, l’état et la qualité des Nègres esclaves des îles de l’Amérique</w:t>
      </w:r>
      <w:r w:rsidRPr="00E8358C">
        <w:t xml:space="preserve"> promulgué par Louis XIV en mars 1685, comporte l’ensemble des dispositions réglementant principalement la vie et le travail des esclaves noirs dans les colonies françaises des Amériques. Ce fut le principal instrument juridique du système colonial esclav</w:t>
      </w:r>
      <w:r w:rsidRPr="00E8358C">
        <w:t>a</w:t>
      </w:r>
      <w:r w:rsidRPr="00E8358C">
        <w:t>giste. Quant à la cloche, elle rappelle la présence des esclaves dans les plantations et permet de remonter au temps de la colonisation frança</w:t>
      </w:r>
      <w:r w:rsidRPr="00E8358C">
        <w:t>i</w:t>
      </w:r>
      <w:r w:rsidRPr="00E8358C">
        <w:t>se. Elle fut l’annonciatrice quotidienne de calvaires, de longues sou</w:t>
      </w:r>
      <w:r w:rsidRPr="00E8358C">
        <w:t>f</w:t>
      </w:r>
      <w:r w:rsidRPr="00E8358C">
        <w:t>frances morales et physiques des esclaves. Elle organisait et rythmait la vie au quotidien. Elle servait plus à rythmer les travaux dans les champs de canne à sucre, de coton ou d’indigo, et dans les ateliers, qu’à réclamer le silence ou à préciser les temps de réveil, de pause et de cessation de travail. La cloche était aussi un instrument de libér</w:t>
      </w:r>
      <w:r w:rsidRPr="00E8358C">
        <w:t>a</w:t>
      </w:r>
      <w:r w:rsidRPr="00E8358C">
        <w:t>tion, car c’était elle qui atténuait la douleur en mettant fin à la journée de travail, bien qu’elle fût souvent terminée pour quelques-</w:t>
      </w:r>
      <w:r>
        <w:t>uns et pr</w:t>
      </w:r>
      <w:r>
        <w:t>o</w:t>
      </w:r>
      <w:r>
        <w:t>longée pour d’autres.</w:t>
      </w:r>
    </w:p>
    <w:p w:rsidR="004C50DC" w:rsidRPr="00E8358C" w:rsidRDefault="004C50DC" w:rsidP="004C50DC">
      <w:pPr>
        <w:spacing w:before="120" w:after="120"/>
        <w:jc w:val="both"/>
      </w:pPr>
    </w:p>
    <w:p w:rsidR="004C50DC" w:rsidRDefault="004C50DC" w:rsidP="004C50DC">
      <w:pPr>
        <w:pStyle w:val="b"/>
      </w:pPr>
      <w:bookmarkStart w:id="201" w:name="_Toc406489692"/>
      <w:bookmarkStart w:id="202" w:name="_Toc423347310"/>
      <w:bookmarkStart w:id="203" w:name="_Toc442280489"/>
      <w:r w:rsidRPr="001137B7">
        <w:t>Les fers d’esclaves</w:t>
      </w:r>
      <w:bookmarkEnd w:id="201"/>
      <w:bookmarkEnd w:id="202"/>
      <w:bookmarkEnd w:id="203"/>
    </w:p>
    <w:p w:rsidR="004C50DC" w:rsidRDefault="004C50DC" w:rsidP="004C50DC">
      <w:pPr>
        <w:spacing w:before="120" w:after="120"/>
        <w:jc w:val="both"/>
      </w:pPr>
    </w:p>
    <w:p w:rsidR="004C50DC" w:rsidRDefault="004C50DC" w:rsidP="004C50DC">
      <w:pPr>
        <w:pStyle w:val="p"/>
      </w:pPr>
      <w:r>
        <w:t>[194]</w:t>
      </w:r>
    </w:p>
    <w:p w:rsidR="004C50DC" w:rsidRPr="001137B7"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496310" cy="2969260"/>
            <wp:effectExtent l="25400" t="25400" r="8890" b="15240"/>
            <wp:docPr id="15" name="Picture 2" descr="DSC061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SC06160[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6310" cy="296926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04" w:name="_Toc417146055"/>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bCs/>
          <w:szCs w:val="18"/>
        </w:rPr>
      </w:pPr>
      <w:bookmarkStart w:id="205" w:name="Memoire_fig_10"/>
      <w:r w:rsidRPr="001137B7">
        <w:t xml:space="preserve">Figure </w:t>
      </w:r>
      <w:r w:rsidRPr="001137B7">
        <w:fldChar w:fldCharType="begin"/>
      </w:r>
      <w:r w:rsidR="00EF1554">
        <w:instrText>SEQ</w:instrText>
      </w:r>
      <w:r w:rsidRPr="001137B7">
        <w:instrText xml:space="preserve"> Figure \* ARABIC </w:instrText>
      </w:r>
      <w:r w:rsidRPr="001137B7">
        <w:fldChar w:fldCharType="separate"/>
      </w:r>
      <w:r>
        <w:rPr>
          <w:noProof/>
        </w:rPr>
        <w:t>10</w:t>
      </w:r>
      <w:r w:rsidRPr="001137B7">
        <w:fldChar w:fldCharType="end"/>
      </w:r>
      <w:r w:rsidRPr="001137B7">
        <w:t>: Fers d’esclaves</w:t>
      </w:r>
      <w:bookmarkEnd w:id="204"/>
      <w:r>
        <w:t xml:space="preserve">. </w:t>
      </w:r>
      <w:r w:rsidRPr="00E8358C">
        <w:rPr>
          <w:bCs/>
          <w:szCs w:val="18"/>
        </w:rPr>
        <w:t>Source : Collection Musée du Panthéon national (MUPANAH, Port-au-Prince)</w:t>
      </w:r>
    </w:p>
    <w:bookmarkEnd w:id="205"/>
    <w:p w:rsidR="004C50DC" w:rsidRPr="00E8358C" w:rsidRDefault="004C50DC" w:rsidP="004C50DC">
      <w:pPr>
        <w:spacing w:before="120" w:after="120"/>
        <w:jc w:val="both"/>
      </w:pPr>
    </w:p>
    <w:p w:rsidR="004C50DC" w:rsidRDefault="004C50DC" w:rsidP="004C50DC">
      <w:pPr>
        <w:spacing w:before="120" w:after="120"/>
        <w:jc w:val="both"/>
      </w:pPr>
      <w:r w:rsidRPr="00E8358C">
        <w:t>Vu l’ampleur du système esclavagiste établi dans les colonies d’Amérique, en particulier avec le développement des cultures sucri</w:t>
      </w:r>
      <w:r w:rsidRPr="00E8358C">
        <w:t>è</w:t>
      </w:r>
      <w:r w:rsidRPr="00E8358C">
        <w:t>res, il fallait trouver un moyen de prévenir les révoltes et d’étouffer dans l’œuf toute tentative de rébellion ou de marronnage. Les propri</w:t>
      </w:r>
      <w:r w:rsidRPr="00E8358C">
        <w:t>é</w:t>
      </w:r>
      <w:r w:rsidRPr="00E8358C">
        <w:t>taires de plantations adoptaient alors des mesures pour contraindre les esclaves à rester sur les habitations. Les esclaves étaient quotidienn</w:t>
      </w:r>
      <w:r w:rsidRPr="00E8358C">
        <w:t>e</w:t>
      </w:r>
      <w:r w:rsidRPr="00E8358C">
        <w:t>ment exposés au fouet, aux mutilations et aux supplices corporels sans raison ou sur des prétextes de paresse, de rébellion, de marronnage. Les « fers d’esclaves » étaient des instruments de châtiment pour les esclaves « paresseux » et rebelles. Tout esclave capturé après une te</w:t>
      </w:r>
      <w:r w:rsidRPr="00E8358C">
        <w:t>n</w:t>
      </w:r>
      <w:r w:rsidRPr="00E8358C">
        <w:t xml:space="preserve">tative de fuite était mis aux fers, ces « fers d’esclaves » auxquels on rajoutait un poids de cinquante livres, d’où l’expression de « poids 50 » qui incarne dans la mémoire collective haïtienne une situation difficile, un fardeau de la vie. Malgré les nombreux châtiments, l’esclave refusait de travailler afin de conduire le maître propriétaire à la faillite. Même attaché aux fers, il restait libre dans sa pensée. Il avait la certitude de pouvoir mettre fin un jour à l’absolutisme des maîtres. </w:t>
      </w:r>
    </w:p>
    <w:p w:rsidR="004C50DC" w:rsidRPr="00E8358C" w:rsidRDefault="004C50DC" w:rsidP="004C50DC">
      <w:pPr>
        <w:spacing w:before="120" w:after="120"/>
        <w:jc w:val="both"/>
      </w:pPr>
    </w:p>
    <w:p w:rsidR="004C50DC" w:rsidRDefault="004C50DC" w:rsidP="004C50DC">
      <w:pPr>
        <w:pStyle w:val="b"/>
      </w:pPr>
      <w:bookmarkStart w:id="206" w:name="_Toc406489693"/>
      <w:bookmarkStart w:id="207" w:name="_Toc423347311"/>
      <w:bookmarkStart w:id="208" w:name="_Toc442280490"/>
      <w:r w:rsidRPr="001137B7">
        <w:t>Tambour « Asòtò »</w:t>
      </w:r>
      <w:bookmarkEnd w:id="206"/>
      <w:bookmarkEnd w:id="207"/>
      <w:bookmarkEnd w:id="208"/>
    </w:p>
    <w:p w:rsidR="004C50DC" w:rsidRDefault="004C50DC" w:rsidP="004C50DC">
      <w:pPr>
        <w:spacing w:before="120" w:after="120"/>
        <w:jc w:val="both"/>
      </w:pPr>
    </w:p>
    <w:p w:rsidR="004C50DC" w:rsidRDefault="004C50DC" w:rsidP="004C50DC">
      <w:pPr>
        <w:pStyle w:val="p"/>
      </w:pPr>
      <w:r>
        <w:t>[195]</w:t>
      </w:r>
    </w:p>
    <w:p w:rsidR="004C50DC" w:rsidRPr="001137B7"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2904490" cy="3076575"/>
            <wp:effectExtent l="25400" t="25400" r="16510" b="9525"/>
            <wp:docPr id="16" name="Picture 3" descr="DSC06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SC0616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4490" cy="307657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09" w:name="_Toc417146056"/>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10" w:name="Memoire_fig_11"/>
      <w:r w:rsidRPr="001137B7">
        <w:t xml:space="preserve">Figure </w:t>
      </w:r>
      <w:r w:rsidRPr="001137B7">
        <w:fldChar w:fldCharType="begin"/>
      </w:r>
      <w:r w:rsidR="00EF1554">
        <w:instrText>SEQ</w:instrText>
      </w:r>
      <w:r w:rsidRPr="001137B7">
        <w:instrText xml:space="preserve"> Figure \* ARABIC </w:instrText>
      </w:r>
      <w:r w:rsidRPr="001137B7">
        <w:fldChar w:fldCharType="separate"/>
      </w:r>
      <w:r>
        <w:rPr>
          <w:noProof/>
        </w:rPr>
        <w:t>11</w:t>
      </w:r>
      <w:r w:rsidRPr="001137B7">
        <w:fldChar w:fldCharType="end"/>
      </w:r>
      <w:r w:rsidRPr="001137B7">
        <w:t>: Tambour Asòtò</w:t>
      </w:r>
      <w:bookmarkEnd w:id="209"/>
      <w:r>
        <w:t xml:space="preserve">. </w:t>
      </w:r>
      <w:r w:rsidRPr="00E8358C">
        <w:rPr>
          <w:szCs w:val="18"/>
        </w:rPr>
        <w:t>Source : Collection Musée du Panthéon national (MUPANAH, Port-au-Prince)</w:t>
      </w:r>
    </w:p>
    <w:bookmarkEnd w:id="210"/>
    <w:p w:rsidR="004C50DC" w:rsidRPr="00E8358C" w:rsidRDefault="004C50DC" w:rsidP="004C50DC">
      <w:pPr>
        <w:spacing w:before="120" w:after="120"/>
        <w:jc w:val="both"/>
      </w:pPr>
      <w:r>
        <w:rPr>
          <w:i/>
        </w:rPr>
        <w:br w:type="page"/>
      </w:r>
      <w:r w:rsidRPr="00E8358C">
        <w:rPr>
          <w:u w:color="000000"/>
        </w:rPr>
        <w:t>Dans des conditions matérielles d’exploitation, d’interdiction et d’oppression perpétuelles, les esclaves continuaient à évoquer les dieux de leur religion vodou qui attisaient leur soif de liberté et d’humanité. L</w:t>
      </w:r>
      <w:r w:rsidRPr="00E8358C">
        <w:rPr>
          <w:bCs/>
        </w:rPr>
        <w:t xml:space="preserve">e battement répété du tambour donne l’espoir que le Dieu </w:t>
      </w:r>
      <w:r w:rsidRPr="00E8358C">
        <w:rPr>
          <w:bCs/>
          <w:i/>
        </w:rPr>
        <w:t>Asòtò Micho Tokodun Vodoun</w:t>
      </w:r>
      <w:r w:rsidRPr="00E8358C">
        <w:rPr>
          <w:bCs/>
        </w:rPr>
        <w:t xml:space="preserve"> viendra les libérer du joug de l’esclavage. En ce sens, le t</w:t>
      </w:r>
      <w:r w:rsidRPr="00E8358C">
        <w:t xml:space="preserve">ambour </w:t>
      </w:r>
      <w:r w:rsidRPr="00E8358C">
        <w:rPr>
          <w:i/>
        </w:rPr>
        <w:t xml:space="preserve">Asòtò </w:t>
      </w:r>
      <w:r w:rsidRPr="00E8358C">
        <w:t xml:space="preserve">a été le principal instrument du marronnage. </w:t>
      </w:r>
      <w:r w:rsidRPr="00E8358C">
        <w:rPr>
          <w:bCs/>
        </w:rPr>
        <w:t xml:space="preserve">Souvent, sur un </w:t>
      </w:r>
      <w:r w:rsidRPr="00E8358C">
        <w:t>rythme entraînant, les esclaves prat</w:t>
      </w:r>
      <w:r w:rsidRPr="00E8358C">
        <w:t>i</w:t>
      </w:r>
      <w:r w:rsidRPr="00E8358C">
        <w:t xml:space="preserve">quaient les rites rappelant la terre africaine – </w:t>
      </w:r>
      <w:r w:rsidRPr="00E8358C">
        <w:rPr>
          <w:i/>
        </w:rPr>
        <w:t xml:space="preserve">congo, yanvalou, nago, petro, banda… </w:t>
      </w:r>
      <w:r w:rsidRPr="00E8358C">
        <w:t xml:space="preserve">–etorganisaient les sociétés secrètes – </w:t>
      </w:r>
      <w:r w:rsidRPr="00E8358C">
        <w:rPr>
          <w:i/>
        </w:rPr>
        <w:t>chanpwèl, b</w:t>
      </w:r>
      <w:r w:rsidRPr="00E8358C">
        <w:rPr>
          <w:i/>
        </w:rPr>
        <w:t>i</w:t>
      </w:r>
      <w:r w:rsidRPr="00E8358C">
        <w:rPr>
          <w:i/>
        </w:rPr>
        <w:t>zango, makaya</w:t>
      </w:r>
      <w:r>
        <w:t> </w:t>
      </w:r>
      <w:r>
        <w:rPr>
          <w:rStyle w:val="Appelnotedebasdep"/>
        </w:rPr>
        <w:footnoteReference w:id="561"/>
      </w:r>
      <w:r w:rsidRPr="00E8358C">
        <w:t xml:space="preserve"> – qui se perpétuent encore en Haïti. Dans son ouvr</w:t>
      </w:r>
      <w:r w:rsidRPr="00E8358C">
        <w:t>a</w:t>
      </w:r>
      <w:r w:rsidRPr="00E8358C">
        <w:t xml:space="preserve">ge, </w:t>
      </w:r>
      <w:r w:rsidRPr="00E8358C">
        <w:rPr>
          <w:i/>
        </w:rPr>
        <w:t>Le sacrifice du tambour Assoto(r)</w:t>
      </w:r>
      <w:r w:rsidRPr="00E8358C">
        <w:t>, Jacques Roumain écrit :</w:t>
      </w:r>
    </w:p>
    <w:p w:rsidR="004C50DC" w:rsidRDefault="004C50DC" w:rsidP="004C50DC">
      <w:pPr>
        <w:pStyle w:val="Citation0"/>
      </w:pPr>
    </w:p>
    <w:p w:rsidR="004C50DC" w:rsidRDefault="004C50DC" w:rsidP="004C50DC">
      <w:pPr>
        <w:pStyle w:val="Citation0"/>
      </w:pPr>
      <w:r w:rsidRPr="00E8358C">
        <w:t>J’ensevelis les morts dans mon ventre : cris, tambours, danse, danse, da</w:t>
      </w:r>
      <w:r w:rsidRPr="00E8358C">
        <w:t>n</w:t>
      </w:r>
      <w:r w:rsidRPr="00E8358C">
        <w:t>se, danse ! Qui s’appliquent remarquablement aux Services-Loa du va</w:t>
      </w:r>
      <w:r w:rsidRPr="00E8358C">
        <w:t>u</w:t>
      </w:r>
      <w:r w:rsidRPr="00E8358C">
        <w:t>dou, où les tambours sont les instruments rituels indispe</w:t>
      </w:r>
      <w:r w:rsidRPr="00E8358C">
        <w:t>n</w:t>
      </w:r>
      <w:r w:rsidRPr="00E8358C">
        <w:t>sables du Culte des ancêtres</w:t>
      </w:r>
      <w:r>
        <w:t> </w:t>
      </w:r>
      <w:r>
        <w:rPr>
          <w:rStyle w:val="Appelnotedebasdep"/>
        </w:rPr>
        <w:footnoteReference w:id="562"/>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Dans ces vers, Jacques Roumain, en effet, a fait le lien entre les vers de Rimbaud et les cérémonies vaudou</w:t>
      </w:r>
      <w:r>
        <w:t> </w:t>
      </w:r>
      <w:r>
        <w:rPr>
          <w:rStyle w:val="Appelnotedebasdep"/>
        </w:rPr>
        <w:footnoteReference w:id="563"/>
      </w:r>
      <w:r w:rsidRPr="00E8358C">
        <w:t xml:space="preserve">. </w:t>
      </w:r>
    </w:p>
    <w:p w:rsidR="004C50DC" w:rsidRDefault="004C50DC" w:rsidP="004C50DC">
      <w:pPr>
        <w:spacing w:before="120" w:after="120"/>
        <w:jc w:val="both"/>
      </w:pPr>
      <w:r>
        <w:t>[196]</w:t>
      </w:r>
    </w:p>
    <w:p w:rsidR="004C50DC" w:rsidRPr="00E8358C" w:rsidRDefault="004C50DC" w:rsidP="004C50DC">
      <w:pPr>
        <w:spacing w:before="120" w:after="120"/>
        <w:jc w:val="both"/>
      </w:pPr>
      <w:r w:rsidRPr="00E8358C">
        <w:t>La figure du témoin est-elle absente de l’exposition ? Dans ce beau décor, les témoignages de contemporains de la colonisation, exhumés et replacés dans leur contexte, auraient permis de transmettre des connaissances sur le développement de l’esclavage à Saint-Domingue. Ce ne serait pas des interprétations. Malheureusement, il manque ces témoignages d’esclaves ou d’esclavagistes. Au départ, les conserv</w:t>
      </w:r>
      <w:r w:rsidRPr="00E8358C">
        <w:t>a</w:t>
      </w:r>
      <w:r w:rsidRPr="00E8358C">
        <w:t>teurs semblent avoir voulu créer une exposition à la fois didactique et pédagogique. Le public doit avoir l’impression de naviguer entre di</w:t>
      </w:r>
      <w:r w:rsidRPr="00E8358C">
        <w:t>f</w:t>
      </w:r>
      <w:r w:rsidRPr="00E8358C">
        <w:t xml:space="preserve">férents espaces tout en construisant ses propres regards, ses propres impressions. N’est-il pas vrai que l’iconographie et les objets sont aussi des sources de construction de discours ? </w:t>
      </w:r>
    </w:p>
    <w:p w:rsidR="004C50DC" w:rsidRPr="00E8358C" w:rsidRDefault="004C50DC" w:rsidP="004C50DC">
      <w:pPr>
        <w:spacing w:before="120" w:after="120"/>
        <w:jc w:val="both"/>
      </w:pPr>
      <w:r w:rsidRPr="00E8358C">
        <w:t>Dès l’entrée de la salle principale, le visiteur fait face à l’arrivée des Espagnols présentée par des gravures et des objets d’époque. Une gravure qui présente l’exploitation des Amérindiens (Taïnos) est pl</w:t>
      </w:r>
      <w:r w:rsidRPr="00E8358C">
        <w:t>a</w:t>
      </w:r>
      <w:r w:rsidRPr="00E8358C">
        <w:t>cée juste avant celle qui décrit la déportation des captifs africains dans la colonie de Saint-Domingue. Le visiteur se retrouve par la suite dans la colonie de Saint-Domingue et l’organisation de l’esclavage des Noirs, les nombreuses luttes des esclaves et enfin l’indépendance d’Haïti suivie de la période nationale. Cette exposition d’histoire et de mémoire peut aider à briser le silence sur le passé colonial esclavagi</w:t>
      </w:r>
      <w:r w:rsidRPr="00E8358C">
        <w:t>s</w:t>
      </w:r>
      <w:r w:rsidRPr="00E8358C">
        <w:t>te. Elle peut aider aussi à combattre l’ensemble des préjugés à l’égard des esclaves. Elle convie également les chercheurs à un retour aux sources, aux archives, aux documents, pour prendre leurs distances avec toute interprétation intéressée que chacun peut en faire. Dans ce</w:t>
      </w:r>
      <w:r w:rsidRPr="00E8358C">
        <w:t>t</w:t>
      </w:r>
      <w:r w:rsidRPr="00E8358C">
        <w:t>te veine, Christophe, 42 ans, enseignant au primaire qui accompagne des écoliers pour leur faire visiter l’exposition permanente, nous livre ses impressions à la sortie.</w:t>
      </w:r>
    </w:p>
    <w:p w:rsidR="004C50DC" w:rsidRDefault="004C50DC" w:rsidP="004C50DC">
      <w:pPr>
        <w:pStyle w:val="Citation0"/>
      </w:pPr>
    </w:p>
    <w:p w:rsidR="004C50DC" w:rsidRPr="00E8358C" w:rsidRDefault="004C50DC" w:rsidP="004C50DC">
      <w:pPr>
        <w:pStyle w:val="Citation0"/>
      </w:pPr>
      <w:r w:rsidRPr="00E8358C">
        <w:t>J’accompagne régulièrement mes élèves pour leur faire visiter l’exposition. Ils sont toujours motivés à venir ici. Après la visite, je leur demande de raconter en quelques lignes ce qu’ils ont pu retenir et quels objets les ont le plus marqués. Parmi les réponses, on peut gén</w:t>
      </w:r>
      <w:r w:rsidRPr="00E8358C">
        <w:t>é</w:t>
      </w:r>
      <w:r w:rsidRPr="00E8358C">
        <w:t>ralement lire : les chaînes, la couronne de Soulouque, la cloche et les fers d’esclave. Je vois qu’ils n’arrivent pas à faire la différence entre la période coloniale et la période nationale. Il faut que les responsables pensent à séparer la sa</w:t>
      </w:r>
      <w:r w:rsidRPr="00E8358C">
        <w:t>l</w:t>
      </w:r>
      <w:r w:rsidRPr="00E8358C">
        <w:t>le ou à trouver un moyen pour que les él</w:t>
      </w:r>
      <w:r w:rsidRPr="00E8358C">
        <w:t>è</w:t>
      </w:r>
      <w:r w:rsidRPr="00E8358C">
        <w:t>ves puissent facilement suivre le parcours. Bien qu’il n’y ait pas un terme à retenir, je trouve que la repr</w:t>
      </w:r>
      <w:r w:rsidRPr="00E8358C">
        <w:t>é</w:t>
      </w:r>
      <w:r w:rsidRPr="00E8358C">
        <w:t>sentation de la période coloniale esclavagiste est un peu réductrice. On ne saurait présenter une période qui marque la vie d’un peuple en quelques objets. Par exemple, les plantations sont peu représentées à travers seul</w:t>
      </w:r>
      <w:r w:rsidRPr="00E8358C">
        <w:t>e</w:t>
      </w:r>
      <w:r w:rsidRPr="00E8358C">
        <w:t>ment</w:t>
      </w:r>
      <w:r>
        <w:t xml:space="preserve"> [197]</w:t>
      </w:r>
      <w:r w:rsidRPr="00E8358C">
        <w:t xml:space="preserve"> des fers, des chaînes, une cloche ou un tambour. La vie rel</w:t>
      </w:r>
      <w:r w:rsidRPr="00E8358C">
        <w:t>i</w:t>
      </w:r>
      <w:r w:rsidRPr="00E8358C">
        <w:t>gieuse dans son e</w:t>
      </w:r>
      <w:r w:rsidRPr="00E8358C">
        <w:t>n</w:t>
      </w:r>
      <w:r w:rsidRPr="00E8358C">
        <w:t>semble n’est pas prise en compte ou peu représentée. Elle apparaît à peine quand on arrive au tambour « Asòtò ». L’aspect de la résistance des esclaves est presque absent. Les gravures et les documents exp</w:t>
      </w:r>
      <w:r w:rsidRPr="00E8358C">
        <w:t>o</w:t>
      </w:r>
      <w:r w:rsidRPr="00E8358C">
        <w:t xml:space="preserve">sés soutiennent peu un tel message. Un guide m’avait dit un jour qu’il y a d’autres pièces dans les réserves. Je pense que c’est le moment de les sortir pour que le public puisse prendre connaissance. Je ne sais pas si mes attentes sont aussi les mêmes pour tout visiteur. Après tout, j’apprécie cet effort qui consiste à conserver et à transmettre l’histoire du pays.  </w:t>
      </w:r>
    </w:p>
    <w:p w:rsidR="004C50DC" w:rsidRDefault="004C50DC" w:rsidP="004C50DC">
      <w:pPr>
        <w:pStyle w:val="Citation0c"/>
      </w:pPr>
      <w:r w:rsidRPr="00E8358C">
        <w:t>(Christophe, entrevue, 25 octobre 2013)</w:t>
      </w:r>
    </w:p>
    <w:p w:rsidR="004C50DC" w:rsidRPr="00E8358C" w:rsidRDefault="004C50DC" w:rsidP="004C50DC">
      <w:pPr>
        <w:pStyle w:val="Citation0c"/>
      </w:pPr>
    </w:p>
    <w:p w:rsidR="004C50DC" w:rsidRDefault="004C50DC" w:rsidP="004C50DC">
      <w:pPr>
        <w:spacing w:before="120" w:after="120"/>
        <w:jc w:val="both"/>
      </w:pPr>
      <w:r w:rsidRPr="00E8358C">
        <w:t>La pauvreté des éléments exposés ou la pauvreté de la représent</w:t>
      </w:r>
      <w:r w:rsidRPr="00E8358C">
        <w:t>a</w:t>
      </w:r>
      <w:r w:rsidRPr="00E8358C">
        <w:t>tion de l’époque coloniale fait que certains visiteurs, à la sortie de ce</w:t>
      </w:r>
      <w:r w:rsidRPr="00E8358C">
        <w:t>t</w:t>
      </w:r>
      <w:r w:rsidRPr="00E8358C">
        <w:t>te exposition permanente, « restent sur leur faim »</w:t>
      </w:r>
      <w:r>
        <w:t> </w:t>
      </w:r>
      <w:r>
        <w:rPr>
          <w:rStyle w:val="Appelnotedebasdep"/>
        </w:rPr>
        <w:footnoteReference w:id="564"/>
      </w:r>
      <w:r w:rsidRPr="00E8358C">
        <w:t>. Effectivement, la survalorisation de la période nationale joue au détriment du contenu sur l’esclavage.  Comment présenter de manière efficace les objets et les discours pour satisfaire ces deux périodes ? Les commissaires de cette exposition doivent travailler davantage la scénographie et établir la transition entre les deux périodes. Ils peuvent aussi solliciter des prêts auprès d’autres musées partenaires pour compléter leur colle</w:t>
      </w:r>
      <w:r w:rsidRPr="00E8358C">
        <w:t>c</w:t>
      </w:r>
      <w:r w:rsidRPr="00E8358C">
        <w:t xml:space="preserve">tion et offrir un contenu plus complet. </w:t>
      </w:r>
    </w:p>
    <w:p w:rsidR="004C50DC" w:rsidRPr="00E8358C" w:rsidRDefault="004C50DC" w:rsidP="004C50DC">
      <w:pPr>
        <w:spacing w:before="120" w:after="120"/>
        <w:jc w:val="both"/>
      </w:pPr>
    </w:p>
    <w:p w:rsidR="004C50DC" w:rsidRPr="001137B7" w:rsidRDefault="004C50DC" w:rsidP="004C50DC">
      <w:pPr>
        <w:pStyle w:val="b"/>
      </w:pPr>
      <w:bookmarkStart w:id="211" w:name="_Toc423347312"/>
      <w:bookmarkStart w:id="212" w:name="_Toc442280491"/>
      <w:r w:rsidRPr="001137B7">
        <w:t>Exposition « D’Ayiti à Haïti,</w:t>
      </w:r>
      <w:r>
        <w:br/>
      </w:r>
      <w:r w:rsidRPr="001137B7">
        <w:t>la Liberté conquise</w:t>
      </w:r>
      <w:bookmarkEnd w:id="211"/>
      <w:bookmarkEnd w:id="212"/>
      <w:r w:rsidRPr="001137B7">
        <w:t> » </w:t>
      </w:r>
    </w:p>
    <w:p w:rsidR="004C50DC" w:rsidRDefault="004C50DC" w:rsidP="004C50DC">
      <w:pPr>
        <w:spacing w:before="120" w:after="120"/>
        <w:jc w:val="both"/>
      </w:pPr>
    </w:p>
    <w:p w:rsidR="004C50DC" w:rsidRDefault="004C50DC" w:rsidP="004C50DC">
      <w:pPr>
        <w:spacing w:before="120" w:after="120"/>
        <w:jc w:val="both"/>
      </w:pPr>
      <w:r w:rsidRPr="00E8358C">
        <w:t>L’exposition « D’Ayiti à Haïti, la Liberté conquise » relate l’histoire d’Haïti et des Taïnos jusqu’à l’Indépendance. Elle a été inaugurée le12 décembre 2004, pour marquer le Bicentenaire de l’Indépendance du pays par le Musée du Panthéon national haïtien, sous la direction de la conservatrice Marie-Lucie Vendryes. L’exposition est réalisée en créole et en français. Elle fait une synth</w:t>
      </w:r>
      <w:r w:rsidRPr="00E8358C">
        <w:t>è</w:t>
      </w:r>
      <w:r w:rsidRPr="00E8358C">
        <w:t>se des faits et des événements constituant la genèse d’Ayiti, le paradis des Indiens Taïnos, jusqu’à la colonisation française de Saint-Domingue. Elle traite aussi de l’occupation espagnole. L’accent est mis aussi sur les luttes qui ont conduit à la création de la première r</w:t>
      </w:r>
      <w:r w:rsidRPr="00E8358C">
        <w:t>é</w:t>
      </w:r>
      <w:r w:rsidRPr="00E8358C">
        <w:t>publique noire, libre et indépendante : « Haïti »</w:t>
      </w:r>
      <w:r>
        <w:t> </w:t>
      </w:r>
      <w:r>
        <w:rPr>
          <w:rStyle w:val="Appelnotedebasdep"/>
        </w:rPr>
        <w:footnoteReference w:id="565"/>
      </w:r>
      <w:r w:rsidRPr="00E8358C">
        <w:t>.</w:t>
      </w:r>
    </w:p>
    <w:p w:rsidR="004C50DC" w:rsidRDefault="004C50DC" w:rsidP="004C50DC">
      <w:pPr>
        <w:spacing w:before="120" w:after="120"/>
        <w:jc w:val="both"/>
      </w:pPr>
      <w:r>
        <w:t>[198]</w:t>
      </w:r>
    </w:p>
    <w:p w:rsidR="004C50DC" w:rsidRPr="00E8358C" w:rsidRDefault="004C50DC" w:rsidP="004C50DC">
      <w:pPr>
        <w:spacing w:before="120" w:after="120"/>
        <w:jc w:val="both"/>
      </w:pPr>
    </w:p>
    <w:p w:rsidR="004C50DC" w:rsidRPr="001137B7" w:rsidRDefault="004C50DC" w:rsidP="004C50DC">
      <w:pPr>
        <w:pStyle w:val="b"/>
      </w:pPr>
      <w:bookmarkStart w:id="213" w:name="_Toc423347313"/>
      <w:bookmarkStart w:id="214" w:name="_Toc442280492"/>
      <w:r>
        <w:t>Exposition « Chimen libète »</w:t>
      </w:r>
      <w:r>
        <w:br/>
      </w:r>
      <w:r w:rsidRPr="001137B7">
        <w:t>(Chemin de la liberté)</w:t>
      </w:r>
      <w:bookmarkEnd w:id="213"/>
      <w:bookmarkEnd w:id="214"/>
    </w:p>
    <w:p w:rsidR="004C50DC" w:rsidRDefault="004C50DC" w:rsidP="004C50DC">
      <w:pPr>
        <w:spacing w:before="120" w:after="120"/>
        <w:jc w:val="both"/>
      </w:pPr>
    </w:p>
    <w:p w:rsidR="004C50DC" w:rsidRPr="00E8358C" w:rsidRDefault="004C50DC" w:rsidP="004C50DC">
      <w:pPr>
        <w:spacing w:before="120" w:after="120"/>
        <w:jc w:val="both"/>
      </w:pPr>
      <w:r w:rsidRPr="00E8358C">
        <w:t>Le 22 septembre 2012 fut inaugurée l’exposition « Chimen Lib</w:t>
      </w:r>
      <w:r w:rsidRPr="00E8358C">
        <w:t>è</w:t>
      </w:r>
      <w:r w:rsidRPr="00E8358C">
        <w:t>te » dans le cadre de la journée nationale du patrimoine en Haïti. Cette exposition se veut un rappel « aux Haïtiens qu’une autre page d’histoire attend d’être rédigée. La liberté si chèrement conquise ne peut avoir son vrai sens si les générations actuelles, héritières de ce legs, n’arrivent pas à se libérer de leurs chaînes »</w:t>
      </w:r>
      <w:r>
        <w:t> </w:t>
      </w:r>
      <w:r w:rsidRPr="00E8358C">
        <w:rPr>
          <w:rStyle w:val="Appelnotedebasdep"/>
        </w:rPr>
        <w:footnoteReference w:id="566"/>
      </w:r>
      <w:r w:rsidRPr="00E8358C">
        <w:t>. Selon Michèle Gardère Frisch, la commissaire de l’exposition, « le parcours musé</w:t>
      </w:r>
      <w:r w:rsidRPr="00E8358C">
        <w:t>o</w:t>
      </w:r>
      <w:r w:rsidRPr="00E8358C">
        <w:t>graphique proposé par la trame narrative conduit le visiteur dans l’ambiance de la marche vers la liberté »</w:t>
      </w:r>
      <w:r>
        <w:t> </w:t>
      </w:r>
      <w:r>
        <w:rPr>
          <w:rStyle w:val="Appelnotedebasdep"/>
        </w:rPr>
        <w:footnoteReference w:id="567"/>
      </w:r>
      <w:r w:rsidRPr="00E8358C">
        <w:t>. D’entrée de jeu, l’exposition retrace le contexte historique ayant favorisé l’expansion de la Traite négrière et le développement de l’esclavage en Amérique. Les conditions inhumaines des esclaves sont présentées. Une repr</w:t>
      </w:r>
      <w:r w:rsidRPr="00E8358C">
        <w:t>o</w:t>
      </w:r>
      <w:r w:rsidRPr="00E8358C">
        <w:t>duction d’une caravane de captifs et d’un bateau négrier placés au centre de l’exposition permet d’avoir un regard sur les sévices lors de la traversée de l’Atlantique</w:t>
      </w:r>
      <w:r>
        <w:t> </w:t>
      </w:r>
      <w:r>
        <w:rPr>
          <w:rStyle w:val="Appelnotedebasdep"/>
        </w:rPr>
        <w:footnoteReference w:id="568"/>
      </w:r>
      <w:r w:rsidRPr="00E8358C">
        <w:t>. Le Code noir est aussi exposé. Le vis</w:t>
      </w:r>
      <w:r w:rsidRPr="00E8358C">
        <w:t>i</w:t>
      </w:r>
      <w:r w:rsidRPr="00E8358C">
        <w:t xml:space="preserve">teur, à la sortie de cette exposition, obtient un ensemble d’informations qui le situent dans une mémoire souvent oubliée du passé colonial. </w:t>
      </w:r>
    </w:p>
    <w:p w:rsidR="004C50DC" w:rsidRPr="00E8358C" w:rsidRDefault="004C50DC" w:rsidP="004C50DC">
      <w:pPr>
        <w:spacing w:before="120" w:after="120"/>
        <w:jc w:val="both"/>
      </w:pPr>
      <w:r w:rsidRPr="00E8358C">
        <w:t>Les efforts des commissaires et les collections d’objets et de grav</w:t>
      </w:r>
      <w:r w:rsidRPr="00E8358C">
        <w:t>u</w:t>
      </w:r>
      <w:r w:rsidRPr="00E8358C">
        <w:t>res dont dispose le MUPANAH n’ont pas évité au message qu’il a voulu transmettre dans les trois expositions  de « se trouver pris dans la texture d’un langage muséographique classique qui forme comme un obstacle à une approche définitivement orientée vers la mise au jour des réalités sensibles de l’esclavage »</w:t>
      </w:r>
      <w:r w:rsidRPr="00E8358C">
        <w:rPr>
          <w:rStyle w:val="Appelnotedebasdep"/>
        </w:rPr>
        <w:footnoteReference w:id="569"/>
      </w:r>
      <w:r w:rsidRPr="00E8358C">
        <w:t>. Comme tout autre m</w:t>
      </w:r>
      <w:r w:rsidRPr="00E8358C">
        <w:t>u</w:t>
      </w:r>
      <w:r w:rsidRPr="00E8358C">
        <w:t>sée, le MUPANAH pense, suivant l’expression de Dominique Poulot, « pouvoir contribuer à l’émergence d’un intérêt commun au sein de l’espace public »</w:t>
      </w:r>
      <w:r>
        <w:t> </w:t>
      </w:r>
      <w:r>
        <w:rPr>
          <w:rStyle w:val="Appelnotedebasdep"/>
        </w:rPr>
        <w:footnoteReference w:id="570"/>
      </w:r>
      <w:r w:rsidRPr="00E8358C">
        <w:t xml:space="preserve"> dans son approche muséale de l’esclavage. Donc il « exerce de fait une hégémonie en termes de collections comme de réflexion collective à propos du patrimoine […] »</w:t>
      </w:r>
      <w:r>
        <w:t> </w:t>
      </w:r>
      <w:r>
        <w:rPr>
          <w:rStyle w:val="Appelnotedebasdep"/>
        </w:rPr>
        <w:footnoteReference w:id="571"/>
      </w:r>
      <w:r w:rsidRPr="00E8358C">
        <w:t xml:space="preserve">. </w:t>
      </w:r>
    </w:p>
    <w:p w:rsidR="004C50DC" w:rsidRDefault="004C50DC" w:rsidP="004C50DC">
      <w:pPr>
        <w:spacing w:before="120" w:after="120"/>
        <w:jc w:val="both"/>
      </w:pPr>
      <w:bookmarkStart w:id="215" w:name="_Toc406489694"/>
      <w:bookmarkStart w:id="216" w:name="_Toc423347314"/>
      <w:bookmarkStart w:id="217" w:name="_Toc442280493"/>
      <w:r>
        <w:t>[199]</w:t>
      </w:r>
    </w:p>
    <w:p w:rsidR="004C50DC" w:rsidRDefault="004C50DC" w:rsidP="004C50DC">
      <w:pPr>
        <w:spacing w:before="120" w:after="120"/>
        <w:jc w:val="both"/>
      </w:pPr>
    </w:p>
    <w:p w:rsidR="004C50DC" w:rsidRPr="00E8358C" w:rsidRDefault="004C50DC" w:rsidP="004C50DC">
      <w:pPr>
        <w:pStyle w:val="a"/>
      </w:pPr>
      <w:r w:rsidRPr="00E8358C">
        <w:t>4.3.2. Le Bureau national d’ethnologie</w:t>
      </w:r>
      <w:r>
        <w:br/>
      </w:r>
      <w:r w:rsidRPr="00E8358C">
        <w:t>et la mémoire de l’esclavage</w:t>
      </w:r>
      <w:bookmarkEnd w:id="215"/>
      <w:bookmarkEnd w:id="216"/>
      <w:bookmarkEnd w:id="217"/>
    </w:p>
    <w:p w:rsidR="004C50DC" w:rsidRPr="00792DC7" w:rsidRDefault="004C50DC" w:rsidP="004C50DC">
      <w:pPr>
        <w:spacing w:before="120" w:after="120"/>
        <w:jc w:val="both"/>
      </w:pPr>
    </w:p>
    <w:p w:rsidR="004C50DC" w:rsidRPr="00792DC7" w:rsidRDefault="004C50DC" w:rsidP="004C50DC">
      <w:pPr>
        <w:spacing w:before="120" w:after="120"/>
        <w:jc w:val="both"/>
      </w:pPr>
      <w:r w:rsidRPr="00792DC7">
        <w:t>Depuis sa création à la suite du décret-loi du 10 novembre 1941, le Bureau national d’ethnologie (BNE) s’efforce de remplir sa mission renforcée par le décret du 15 octobre 1984. Ayant le statut d’établissement de recherche, de vulgarisation et de sauvegarde du patrimoine, ce bureau œuvre notamment à inventorier des pratiques culturelles oubliées ou menacées de disparition et à réaliser des pro</w:t>
      </w:r>
      <w:r w:rsidRPr="00792DC7">
        <w:t>s</w:t>
      </w:r>
      <w:r w:rsidRPr="00792DC7">
        <w:t xml:space="preserve">pections archéologiques pour collecter des objets témoins enfouis afin de les rendre accessibles au public haïtien. Cette institution contribue donc à la patrimonialisation des éléments de la mémoire collective du peuple haïtien en général. </w:t>
      </w:r>
    </w:p>
    <w:p w:rsidR="004C50DC" w:rsidRPr="00792DC7" w:rsidRDefault="004C50DC" w:rsidP="004C50DC">
      <w:pPr>
        <w:spacing w:before="120" w:after="120"/>
        <w:jc w:val="both"/>
      </w:pPr>
      <w:r w:rsidRPr="00792DC7">
        <w:t>Dans l’unique salle d’exposition située à l’entrée du BNE, des o</w:t>
      </w:r>
      <w:r w:rsidRPr="00792DC7">
        <w:t>b</w:t>
      </w:r>
      <w:r w:rsidRPr="00792DC7">
        <w:t>jets de culte vodouesque et des objets amérindiens transportent le vis</w:t>
      </w:r>
      <w:r w:rsidRPr="00792DC7">
        <w:t>i</w:t>
      </w:r>
      <w:r w:rsidRPr="00792DC7">
        <w:t>teur dans un passé qui prend en compte l’esclavage en Haïti. D’autres éléments de l’ethnographie haïtienne sur les savoirs artistiques, la m</w:t>
      </w:r>
      <w:r w:rsidRPr="00792DC7">
        <w:t>u</w:t>
      </w:r>
      <w:r w:rsidRPr="00792DC7">
        <w:t>sique et la danse en rapport avec le passé colonial complètent aussi l’exposition. La présence des éléments de rituels vodou est le signe d’une appropriation ethnographique de cette religion, née sur les pla</w:t>
      </w:r>
      <w:r w:rsidRPr="00792DC7">
        <w:t>n</w:t>
      </w:r>
      <w:r w:rsidRPr="00792DC7">
        <w:t>tations pour apaiser les âmes et atténuer les douleurs des esclaves en les reliant à l’Afrique originelle. Les quelques objets amérindiens sont pratiquement noyés dans l’ensemble de la collection d’objets vodou exposés, ce qui donne l’impression de visiter une exposition sur le vodou. Ce choix de concentrer les recherches sur le vodou est à l’origine même de la création du Bureau national d’ethnologie, car le contexte de création de cette institution constituait une réponse à la persécution du vodou qui avait été si longtemps critiqué et accusé par des chrétiens catholiques et protestants d’être responsable de tous les maux d’Haïti. Le BNE s’est donné pour objectif d’identifier et de ra</w:t>
      </w:r>
      <w:r w:rsidRPr="00792DC7">
        <w:t>s</w:t>
      </w:r>
      <w:r w:rsidRPr="00792DC7">
        <w:t>sembler les « objets-témoins » du culte affecté par la campagne ant</w:t>
      </w:r>
      <w:r w:rsidRPr="00792DC7">
        <w:t>i</w:t>
      </w:r>
      <w:r w:rsidRPr="00792DC7">
        <w:t>supe</w:t>
      </w:r>
      <w:r>
        <w:t>rstitieuse.</w:t>
      </w:r>
    </w:p>
    <w:p w:rsidR="004C50DC" w:rsidRPr="00792DC7" w:rsidRDefault="004C50DC" w:rsidP="004C50DC">
      <w:pPr>
        <w:spacing w:before="120" w:after="120"/>
        <w:jc w:val="both"/>
      </w:pPr>
      <w:r w:rsidRPr="00792DC7">
        <w:t xml:space="preserve">Si le Bureau national d’ethnologie travaille à conserver les objets et la tradition vodou, il n’en demeure pas moins vrai que, depuis une décennie, le travail qu’il fournit n’est pas à la hauteur de sa mission reconnue légalement. La revue d’ethnologie, organe scientifique du bureau, n’est plus publiée régulièrement. Voici comment Claudy, 56 ans, employé du BNE, décrit l’état d’inertie dans lequel se trouve le bureau : </w:t>
      </w:r>
    </w:p>
    <w:p w:rsidR="004C50DC" w:rsidRDefault="004C50DC" w:rsidP="004C50DC">
      <w:pPr>
        <w:spacing w:before="120" w:after="120"/>
        <w:jc w:val="both"/>
        <w:rPr>
          <w:szCs w:val="22"/>
        </w:rPr>
      </w:pPr>
      <w:r>
        <w:rPr>
          <w:szCs w:val="22"/>
        </w:rPr>
        <w:t>[200]</w:t>
      </w:r>
    </w:p>
    <w:p w:rsidR="004C50DC" w:rsidRDefault="004C50DC" w:rsidP="004C50DC">
      <w:pPr>
        <w:pStyle w:val="Citation0"/>
      </w:pPr>
    </w:p>
    <w:p w:rsidR="004C50DC" w:rsidRPr="00E8358C" w:rsidRDefault="004C50DC" w:rsidP="004C50DC">
      <w:pPr>
        <w:pStyle w:val="Citation0"/>
      </w:pPr>
      <w:r w:rsidRPr="00E8358C">
        <w:t>Je travaille ici depuis plus de dix ans. À vous dire vrai, la majorité des d</w:t>
      </w:r>
      <w:r w:rsidRPr="00E8358C">
        <w:t>i</w:t>
      </w:r>
      <w:r w:rsidRPr="00E8358C">
        <w:t>recteurs passés à la tête du BNE résument le travail du bureau à la réalis</w:t>
      </w:r>
      <w:r w:rsidRPr="00E8358C">
        <w:t>a</w:t>
      </w:r>
      <w:r w:rsidRPr="00E8358C">
        <w:t>tion des manifestations vodouesques (cérémonie, danse). Si l’on peut pa</w:t>
      </w:r>
      <w:r w:rsidRPr="00E8358C">
        <w:t>r</w:t>
      </w:r>
      <w:r w:rsidRPr="00E8358C">
        <w:t>ler de mémoire de l’esclavage ici, il faut voir le vodou comme religion des esclaves et les quelques pièces rappelant les Am</w:t>
      </w:r>
      <w:r w:rsidRPr="00E8358C">
        <w:t>é</w:t>
      </w:r>
      <w:r w:rsidRPr="00E8358C">
        <w:t>rindiens, les Taïnos. Les responsables ne font pas assez d’efforts pour valoriser réellement cette mémoire. Il faut élaborer un plan d’inventorisation des objets et des prat</w:t>
      </w:r>
      <w:r w:rsidRPr="00E8358C">
        <w:t>i</w:t>
      </w:r>
      <w:r w:rsidRPr="00E8358C">
        <w:t>ques mémorielles en lien avec le passé colonial dans le cadre d’une polit</w:t>
      </w:r>
      <w:r w:rsidRPr="00E8358C">
        <w:t>i</w:t>
      </w:r>
      <w:r w:rsidRPr="00E8358C">
        <w:t>que de patrimonialisation et de valorisation par l’État. Le BNE est la pri</w:t>
      </w:r>
      <w:r w:rsidRPr="00E8358C">
        <w:t>n</w:t>
      </w:r>
      <w:r w:rsidRPr="00E8358C">
        <w:t>cipale institution à qui la Loi haïtienne attribue cette mission. Il doit être à l’avant-garde de l’opérationnalisation ou de la matérialisation d’une telle politique.</w:t>
      </w:r>
    </w:p>
    <w:p w:rsidR="004C50DC" w:rsidRDefault="004C50DC" w:rsidP="004C50DC">
      <w:pPr>
        <w:pStyle w:val="Citation0c"/>
      </w:pPr>
      <w:r w:rsidRPr="00E8358C">
        <w:t>(Claudy, entrevue, 26 avril 2013)</w:t>
      </w:r>
    </w:p>
    <w:p w:rsidR="004C50DC" w:rsidRPr="00E8358C" w:rsidRDefault="004C50DC" w:rsidP="004C50DC">
      <w:pPr>
        <w:pStyle w:val="Citation0c"/>
      </w:pPr>
    </w:p>
    <w:p w:rsidR="004C50DC" w:rsidRPr="00792DC7" w:rsidRDefault="004C50DC" w:rsidP="004C50DC">
      <w:pPr>
        <w:spacing w:before="120" w:after="120"/>
        <w:jc w:val="both"/>
        <w:rPr>
          <w:szCs w:val="22"/>
        </w:rPr>
      </w:pPr>
      <w:r w:rsidRPr="00792DC7">
        <w:rPr>
          <w:szCs w:val="22"/>
        </w:rPr>
        <w:t>Par le passé, « il y avait un modèle de tambour marengwen exposé au BNE qu’on ne voit plus », nous raconte un autre employé</w:t>
      </w:r>
      <w:r>
        <w:rPr>
          <w:szCs w:val="22"/>
        </w:rPr>
        <w:t> </w:t>
      </w:r>
      <w:r>
        <w:rPr>
          <w:rStyle w:val="Appelnotedebasdep"/>
          <w:szCs w:val="22"/>
        </w:rPr>
        <w:footnoteReference w:id="572"/>
      </w:r>
      <w:r w:rsidRPr="00792DC7">
        <w:rPr>
          <w:szCs w:val="22"/>
        </w:rPr>
        <w:t>. Pe</w:t>
      </w:r>
      <w:r w:rsidRPr="00792DC7">
        <w:rPr>
          <w:szCs w:val="22"/>
        </w:rPr>
        <w:t>r</w:t>
      </w:r>
      <w:r w:rsidRPr="00792DC7">
        <w:rPr>
          <w:szCs w:val="22"/>
        </w:rPr>
        <w:t>sonne ne sait qui l’a retiré de la collection. Il faut ajouter d’autres o</w:t>
      </w:r>
      <w:r w:rsidRPr="00792DC7">
        <w:rPr>
          <w:szCs w:val="22"/>
        </w:rPr>
        <w:t>b</w:t>
      </w:r>
      <w:r w:rsidRPr="00792DC7">
        <w:rPr>
          <w:szCs w:val="22"/>
        </w:rPr>
        <w:t>jets dans l’exposition permanente pour compléter le fil mémoriel du passé colonial en Haïti et le rendre plus accessible à tous. Les co</w:t>
      </w:r>
      <w:r w:rsidRPr="00792DC7">
        <w:rPr>
          <w:szCs w:val="22"/>
        </w:rPr>
        <w:t>m</w:t>
      </w:r>
      <w:r w:rsidRPr="00792DC7">
        <w:rPr>
          <w:szCs w:val="22"/>
        </w:rPr>
        <w:t xml:space="preserve">munautés estudiantines et la population en général pourront bénéficier de cette démarche pour mieux cerner et comprendre le processus de sa patrimonialisation. </w:t>
      </w:r>
    </w:p>
    <w:p w:rsidR="004C50DC" w:rsidRPr="00792DC7" w:rsidRDefault="004C50DC" w:rsidP="004C50DC">
      <w:pPr>
        <w:spacing w:before="120" w:after="120"/>
        <w:jc w:val="both"/>
        <w:rPr>
          <w:szCs w:val="22"/>
        </w:rPr>
      </w:pPr>
      <w:bookmarkStart w:id="218" w:name="_Toc406489695"/>
      <w:bookmarkStart w:id="219" w:name="_Toc423347315"/>
      <w:bookmarkStart w:id="220" w:name="_Toc442280494"/>
    </w:p>
    <w:p w:rsidR="004C50DC" w:rsidRDefault="004C50DC" w:rsidP="004C50DC">
      <w:pPr>
        <w:pStyle w:val="a"/>
      </w:pPr>
      <w:r w:rsidRPr="00E8358C">
        <w:t>4.3.3. Tambour marengwen</w:t>
      </w:r>
      <w:r>
        <w:t> :</w:t>
      </w:r>
      <w:r>
        <w:br/>
      </w:r>
      <w:r w:rsidRPr="00E8358C">
        <w:t>entre instrument de musique et sy</w:t>
      </w:r>
      <w:r w:rsidRPr="00E8358C">
        <w:t>m</w:t>
      </w:r>
      <w:r w:rsidRPr="00E8358C">
        <w:t>bole de rébellion</w:t>
      </w:r>
      <w:bookmarkEnd w:id="218"/>
      <w:bookmarkEnd w:id="219"/>
      <w:bookmarkEnd w:id="220"/>
    </w:p>
    <w:p w:rsidR="004C50DC" w:rsidRPr="00E8358C" w:rsidRDefault="004C50DC" w:rsidP="004C50DC">
      <w:pPr>
        <w:spacing w:before="120" w:after="120"/>
        <w:jc w:val="both"/>
      </w:pPr>
    </w:p>
    <w:p w:rsidR="004C50DC" w:rsidRDefault="004C50DC" w:rsidP="004C50DC">
      <w:pPr>
        <w:spacing w:before="120" w:after="120"/>
        <w:jc w:val="both"/>
      </w:pPr>
      <w:r w:rsidRPr="00E8358C">
        <w:t xml:space="preserve">Le tambour constitue le principal instrument musical utilisé par les esclaves à Saint-Domingue lors de leurs rencontres sur les plantations. Il a charrié leurs souffrances et leur a servi d’instrument de ralliement et de canal pour invoquer les </w:t>
      </w:r>
      <w:r w:rsidRPr="00E8358C">
        <w:rPr>
          <w:i/>
        </w:rPr>
        <w:t>lwa</w:t>
      </w:r>
      <w:r w:rsidRPr="00E8358C">
        <w:t xml:space="preserve">. </w:t>
      </w:r>
      <w:r w:rsidRPr="00E8358C">
        <w:rPr>
          <w:bCs/>
        </w:rPr>
        <w:t>C’est aussi un outil de communic</w:t>
      </w:r>
      <w:r w:rsidRPr="00E8358C">
        <w:rPr>
          <w:bCs/>
        </w:rPr>
        <w:t>a</w:t>
      </w:r>
      <w:r w:rsidRPr="00E8358C">
        <w:rPr>
          <w:bCs/>
        </w:rPr>
        <w:t xml:space="preserve">tion et de mobilisation. </w:t>
      </w:r>
      <w:r w:rsidRPr="00E8358C">
        <w:t>Interdiction avait été faite aux esclaves, su</w:t>
      </w:r>
      <w:r w:rsidRPr="00E8358C">
        <w:t>i</w:t>
      </w:r>
      <w:r w:rsidRPr="00E8358C">
        <w:t xml:space="preserve">vant le Code noir (1685), d’utiliser des tambours dans la colonie de peur qu’ils ne les incitent à la révolte. </w:t>
      </w:r>
      <w:r w:rsidRPr="00E8358C">
        <w:rPr>
          <w:bCs/>
        </w:rPr>
        <w:t>Pour contourner cette interdi</w:t>
      </w:r>
      <w:r w:rsidRPr="00E8358C">
        <w:rPr>
          <w:bCs/>
        </w:rPr>
        <w:t>c</w:t>
      </w:r>
      <w:r w:rsidRPr="00E8358C">
        <w:rPr>
          <w:bCs/>
        </w:rPr>
        <w:t xml:space="preserve">tion, les esclaves ont recouru au tambour appelé </w:t>
      </w:r>
      <w:r w:rsidRPr="00E8358C">
        <w:rPr>
          <w:bCs/>
          <w:i/>
        </w:rPr>
        <w:t>tanbou marengwen</w:t>
      </w:r>
      <w:r w:rsidRPr="00E8358C">
        <w:rPr>
          <w:bCs/>
        </w:rPr>
        <w:t xml:space="preserve"> ou </w:t>
      </w:r>
      <w:r w:rsidRPr="00E8358C">
        <w:rPr>
          <w:bCs/>
          <w:i/>
        </w:rPr>
        <w:t>marengwen pinga zombi</w:t>
      </w:r>
      <w:r>
        <w:rPr>
          <w:bCs/>
        </w:rPr>
        <w:t> </w:t>
      </w:r>
      <w:r>
        <w:rPr>
          <w:rStyle w:val="Appelnotedebasdep"/>
          <w:bCs/>
        </w:rPr>
        <w:footnoteReference w:id="573"/>
      </w:r>
      <w:r w:rsidRPr="00E8358C">
        <w:rPr>
          <w:bCs/>
          <w:i/>
        </w:rPr>
        <w:t>,</w:t>
      </w:r>
      <w:r w:rsidRPr="00E8358C">
        <w:rPr>
          <w:bCs/>
        </w:rPr>
        <w:t xml:space="preserve"> qui est un arc musical dont la partie principale se trouve sous terre pour remplacer le tambour de forme conique.</w:t>
      </w:r>
      <w:r w:rsidRPr="00E8358C">
        <w:t xml:space="preserve"> C’est un instrument musical qui renforce davantage les liens culturels entre Haïti et Afrique. Il est</w:t>
      </w:r>
      <w:r>
        <w:t xml:space="preserve"> [201]</w:t>
      </w:r>
      <w:r w:rsidRPr="00E8358C">
        <w:t xml:space="preserve"> connu à Fouta-Djalon en Guinée (ou Guinée Conakry) et en Afrique Centrale sous le nom « d’arc-en-terre ». En Afrique, il est dédié aux esprits de la terre app</w:t>
      </w:r>
      <w:r w:rsidRPr="00E8358C">
        <w:t>e</w:t>
      </w:r>
      <w:r w:rsidRPr="00E8358C">
        <w:t>lés Ziwanda Wanda</w:t>
      </w:r>
      <w:r>
        <w:t> </w:t>
      </w:r>
      <w:r>
        <w:rPr>
          <w:rStyle w:val="Appelnotedebasdep"/>
        </w:rPr>
        <w:footnoteReference w:id="574"/>
      </w:r>
      <w:r w:rsidRPr="00E8358C">
        <w:t xml:space="preserve">. Le savoir-faire a été transmis dans la colonie dominguoise et </w:t>
      </w:r>
      <w:r w:rsidRPr="00E8358C">
        <w:rPr>
          <w:bCs/>
        </w:rPr>
        <w:t xml:space="preserve">réadapté pour devenir </w:t>
      </w:r>
      <w:r w:rsidRPr="00E8358C">
        <w:t>aussi un canal pour que les e</w:t>
      </w:r>
      <w:r w:rsidRPr="00E8358C">
        <w:t>s</w:t>
      </w:r>
      <w:r w:rsidRPr="00E8358C">
        <w:t xml:space="preserve">claves puissent s’adresser aux esprits de la terre. </w:t>
      </w:r>
    </w:p>
    <w:p w:rsidR="004C50DC" w:rsidRPr="00E8358C" w:rsidRDefault="004C50DC" w:rsidP="004C50DC">
      <w:pPr>
        <w:pStyle w:val="fig"/>
      </w:pPr>
      <w:r>
        <w:br w:type="page"/>
      </w:r>
      <w:r w:rsidR="009B614B" w:rsidRPr="00E8358C">
        <w:rPr>
          <w:noProof/>
          <w:lang w:eastAsia="fr-FR"/>
        </w:rPr>
        <w:drawing>
          <wp:inline distT="0" distB="0" distL="0" distR="0">
            <wp:extent cx="3302635" cy="2538730"/>
            <wp:effectExtent l="25400" t="25400" r="12065" b="13970"/>
            <wp:docPr id="17" name="Image 18" descr="IMG_3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descr="IMG_313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2635" cy="253873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21" w:name="_Toc417146057"/>
      <w:bookmarkStart w:id="222" w:name="Memoire_fig_12"/>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442344">
        <w:t xml:space="preserve">Figure </w:t>
      </w:r>
      <w:r w:rsidRPr="00442344">
        <w:fldChar w:fldCharType="begin"/>
      </w:r>
      <w:r w:rsidR="00EF1554">
        <w:instrText>SEQ</w:instrText>
      </w:r>
      <w:r w:rsidRPr="00442344">
        <w:instrText xml:space="preserve"> Figure \* ARABIC </w:instrText>
      </w:r>
      <w:r w:rsidRPr="00442344">
        <w:fldChar w:fldCharType="separate"/>
      </w:r>
      <w:r>
        <w:rPr>
          <w:noProof/>
        </w:rPr>
        <w:t>12</w:t>
      </w:r>
      <w:r w:rsidRPr="00442344">
        <w:fldChar w:fldCharType="end"/>
      </w:r>
      <w:r w:rsidRPr="00442344">
        <w:t>: Tambour Marengwen</w:t>
      </w:r>
      <w:bookmarkEnd w:id="221"/>
      <w:r>
        <w:t xml:space="preserve">. </w:t>
      </w:r>
      <w:r w:rsidRPr="00E8358C">
        <w:rPr>
          <w:szCs w:val="18"/>
        </w:rPr>
        <w:t>Château Blond, Boulevard 15 octobre (Commune de Tabarre, Plaine du Cul-de-sac) lors d’une entrevue avec M. Rémy Cépoudy.</w:t>
      </w:r>
      <w:r>
        <w:rPr>
          <w:szCs w:val="18"/>
        </w:rPr>
        <w:t xml:space="preserve"> </w:t>
      </w:r>
      <w:r w:rsidRPr="00E8358C">
        <w:rPr>
          <w:szCs w:val="18"/>
        </w:rPr>
        <w:t>Photographie : Jean-Ronald Augustin, juillet 2008</w:t>
      </w:r>
    </w:p>
    <w:bookmarkEnd w:id="222"/>
    <w:p w:rsidR="004C50DC" w:rsidRDefault="004C50DC" w:rsidP="004C50DC">
      <w:pPr>
        <w:spacing w:before="120" w:after="120"/>
        <w:jc w:val="both"/>
      </w:pPr>
    </w:p>
    <w:p w:rsidR="004C50DC" w:rsidRPr="00E8358C" w:rsidRDefault="004C50DC" w:rsidP="004C50DC">
      <w:pPr>
        <w:spacing w:before="120" w:after="120"/>
        <w:jc w:val="both"/>
        <w:rPr>
          <w:bCs/>
          <w:i/>
        </w:rPr>
      </w:pPr>
      <w:r w:rsidRPr="00E8358C">
        <w:t>On l’appelle « tambour » pour sa membrane et le son de tambour de forme conique qu’il produit, et « maringouin » en référence aux moustiques (</w:t>
      </w:r>
      <w:r w:rsidRPr="00E8358C">
        <w:rPr>
          <w:i/>
        </w:rPr>
        <w:t>marengwen</w:t>
      </w:r>
      <w:r w:rsidRPr="00E8358C">
        <w:t>) qui piquent les esclaves dans les plantations et au fait que ceux-ci sont repoussés quand on en joue, suivant une croyance populaire. L’appellation de « </w:t>
      </w:r>
      <w:r w:rsidRPr="00E8358C">
        <w:rPr>
          <w:i/>
        </w:rPr>
        <w:t>maringouin pinga zombi</w:t>
      </w:r>
      <w:r w:rsidRPr="00E8358C">
        <w:t xml:space="preserve"> » s’explique par sa participation aux rituels d’invocations des </w:t>
      </w:r>
      <w:r w:rsidRPr="00E8358C">
        <w:rPr>
          <w:i/>
        </w:rPr>
        <w:t>lwa</w:t>
      </w:r>
      <w:r w:rsidRPr="00E8358C">
        <w:t xml:space="preserve"> d</w:t>
      </w:r>
      <w:r w:rsidRPr="00E8358C">
        <w:t>u</w:t>
      </w:r>
      <w:r w:rsidRPr="00E8358C">
        <w:t xml:space="preserve">rant la période des </w:t>
      </w:r>
      <w:r w:rsidRPr="00E8358C">
        <w:rPr>
          <w:i/>
        </w:rPr>
        <w:t>Guédés</w:t>
      </w:r>
      <w:r w:rsidRPr="00E8358C">
        <w:t xml:space="preserve"> (octobre-novembre de chaque année) en Haïti. Le folklore fait ainsi de ce tambour l’instrument des revenants (zombies) et des esprits des cimetières à cause du caractère nasal du son</w:t>
      </w:r>
      <w:r>
        <w:t> </w:t>
      </w:r>
      <w:r>
        <w:rPr>
          <w:rStyle w:val="Appelnotedebasdep"/>
        </w:rPr>
        <w:footnoteReference w:id="575"/>
      </w:r>
      <w:r w:rsidRPr="00E8358C">
        <w:t xml:space="preserve">. En tant qu’élément du patrimoine culturel haïtien, le </w:t>
      </w:r>
      <w:r w:rsidRPr="00E8358C">
        <w:rPr>
          <w:i/>
        </w:rPr>
        <w:t>tanbou marengwen</w:t>
      </w:r>
      <w:r w:rsidRPr="00E8358C">
        <w:t xml:space="preserve"> est sacralisé. N’est-il pas vrai que </w:t>
      </w:r>
      <w:r w:rsidRPr="00E8358C">
        <w:rPr>
          <w:bCs/>
        </w:rPr>
        <w:t>l’attribution d’une or</w:t>
      </w:r>
      <w:r w:rsidRPr="00E8358C">
        <w:rPr>
          <w:bCs/>
        </w:rPr>
        <w:t>i</w:t>
      </w:r>
      <w:r w:rsidRPr="00E8358C">
        <w:rPr>
          <w:bCs/>
        </w:rPr>
        <w:t>gine mythique à un patrimoine lui confère une « solidité », une « propriété sacrée » et le sens d’un « vrai patrimoine »</w:t>
      </w:r>
      <w:r>
        <w:rPr>
          <w:bCs/>
        </w:rPr>
        <w:t> </w:t>
      </w:r>
      <w:r>
        <w:rPr>
          <w:rStyle w:val="Appelnotedebasdep"/>
          <w:bCs/>
        </w:rPr>
        <w:footnoteReference w:id="576"/>
      </w:r>
      <w:r w:rsidRPr="00E8358C">
        <w:rPr>
          <w:bCs/>
        </w:rPr>
        <w:t xml:space="preserve"> ? Dans le </w:t>
      </w:r>
      <w:r>
        <w:rPr>
          <w:bCs/>
        </w:rPr>
        <w:t xml:space="preserve">[202] </w:t>
      </w:r>
      <w:r w:rsidRPr="00E8358C">
        <w:rPr>
          <w:bCs/>
        </w:rPr>
        <w:t xml:space="preserve">contexte colonial, le nom de </w:t>
      </w:r>
      <w:r w:rsidRPr="00E8358C">
        <w:rPr>
          <w:i/>
        </w:rPr>
        <w:t xml:space="preserve">pinga zombi </w:t>
      </w:r>
      <w:r w:rsidRPr="00E8358C">
        <w:t>fait référence à l’état de zombific</w:t>
      </w:r>
      <w:r w:rsidRPr="00E8358C">
        <w:t>a</w:t>
      </w:r>
      <w:r w:rsidRPr="00E8358C">
        <w:t xml:space="preserve">tion des esclaves dans la colonie. Aujourd’hui, il est de moins en moins utilisé dans les bandes de </w:t>
      </w:r>
      <w:r w:rsidRPr="00E8358C">
        <w:rPr>
          <w:i/>
        </w:rPr>
        <w:t>rara</w:t>
      </w:r>
      <w:r w:rsidRPr="00E8358C">
        <w:t>, les cérémonies vodou et les danses sacrées et profanes. P</w:t>
      </w:r>
      <w:r w:rsidRPr="00E8358C">
        <w:rPr>
          <w:bCs/>
        </w:rPr>
        <w:t xml:space="preserve">eu de gens dans les milieux urbains et ruraux continuent à pratiquer et à fabriquer le tambour </w:t>
      </w:r>
      <w:r w:rsidRPr="00E8358C">
        <w:rPr>
          <w:bCs/>
          <w:i/>
        </w:rPr>
        <w:t>maren</w:t>
      </w:r>
      <w:r w:rsidRPr="00E8358C">
        <w:rPr>
          <w:bCs/>
          <w:i/>
        </w:rPr>
        <w:t>g</w:t>
      </w:r>
      <w:r w:rsidRPr="00E8358C">
        <w:rPr>
          <w:bCs/>
          <w:i/>
        </w:rPr>
        <w:t>wen</w:t>
      </w:r>
      <w:r>
        <w:rPr>
          <w:bCs/>
        </w:rPr>
        <w:t> </w:t>
      </w:r>
      <w:r>
        <w:rPr>
          <w:rStyle w:val="Appelnotedebasdep"/>
          <w:bCs/>
        </w:rPr>
        <w:footnoteReference w:id="577"/>
      </w:r>
      <w:r>
        <w:rPr>
          <w:bCs/>
          <w:i/>
        </w:rPr>
        <w:t>.</w:t>
      </w:r>
    </w:p>
    <w:p w:rsidR="004C50DC" w:rsidRPr="00E8358C" w:rsidRDefault="004C50DC" w:rsidP="004C50DC">
      <w:pPr>
        <w:spacing w:before="120" w:after="120"/>
        <w:jc w:val="both"/>
      </w:pPr>
    </w:p>
    <w:p w:rsidR="004C50DC" w:rsidRPr="00E8358C" w:rsidRDefault="004C50DC" w:rsidP="004C50DC">
      <w:pPr>
        <w:pStyle w:val="a"/>
      </w:pPr>
      <w:bookmarkStart w:id="223" w:name="_Toc406489696"/>
      <w:bookmarkStart w:id="224" w:name="_Toc423347316"/>
      <w:bookmarkStart w:id="225" w:name="_Toc442280495"/>
      <w:r>
        <w:t>4.3.4. Le Marron inconnu,</w:t>
      </w:r>
      <w:r>
        <w:br/>
      </w:r>
      <w:r w:rsidRPr="00E8358C">
        <w:t>symbole populaire de la liberté au Champ-de-Mars</w:t>
      </w:r>
      <w:bookmarkEnd w:id="223"/>
      <w:bookmarkEnd w:id="224"/>
      <w:bookmarkEnd w:id="225"/>
    </w:p>
    <w:p w:rsidR="004C50DC" w:rsidRPr="00E8358C" w:rsidRDefault="004C50DC" w:rsidP="004C50DC">
      <w:pPr>
        <w:spacing w:before="120" w:after="120"/>
        <w:jc w:val="both"/>
        <w:rPr>
          <w:b/>
          <w:bCs/>
        </w:rPr>
      </w:pPr>
    </w:p>
    <w:p w:rsidR="004C50DC" w:rsidRPr="00E8358C" w:rsidRDefault="009B614B" w:rsidP="004C50DC">
      <w:pPr>
        <w:pStyle w:val="fig1"/>
      </w:pPr>
      <w:r w:rsidRPr="00E8358C">
        <w:rPr>
          <w:noProof/>
        </w:rPr>
        <w:drawing>
          <wp:inline distT="0" distB="0" distL="0" distR="0">
            <wp:extent cx="2667635" cy="2065655"/>
            <wp:effectExtent l="25400" t="25400" r="12065" b="17145"/>
            <wp:docPr id="18" name="Image 179" descr="C:\Users\INDIRA\Documents\Alexis photos\IMG_91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9" descr="C:\Users\INDIRA\Documents\Alexis photos\IMG_9142.JPG"/>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635" cy="2065655"/>
                    </a:xfrm>
                    <a:prstGeom prst="rect">
                      <a:avLst/>
                    </a:prstGeom>
                    <a:noFill/>
                    <a:ln w="19050" cmpd="sng">
                      <a:solidFill>
                        <a:srgbClr val="000000"/>
                      </a:solidFill>
                      <a:miter lim="800000"/>
                      <a:headEnd/>
                      <a:tailEnd/>
                    </a:ln>
                    <a:effectLst/>
                  </pic:spPr>
                </pic:pic>
              </a:graphicData>
            </a:graphic>
          </wp:inline>
        </w:drawing>
      </w:r>
      <w:r w:rsidR="004C50DC">
        <w:t xml:space="preserve">   </w:t>
      </w:r>
      <w:r w:rsidRPr="00E8358C">
        <w:rPr>
          <w:noProof/>
        </w:rPr>
        <w:drawing>
          <wp:inline distT="0" distB="0" distL="0" distR="0">
            <wp:extent cx="2797175" cy="2033270"/>
            <wp:effectExtent l="25400" t="25400" r="9525" b="11430"/>
            <wp:docPr id="19" name="Image 20" descr="IMG_4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descr="IMG_408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7175" cy="203327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26" w:name="_Toc417146058"/>
      <w:bookmarkStart w:id="227" w:name="Memoire_fig_13"/>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442344">
        <w:t xml:space="preserve">Figure </w:t>
      </w:r>
      <w:r w:rsidRPr="00442344">
        <w:fldChar w:fldCharType="begin"/>
      </w:r>
      <w:r w:rsidR="00EF1554">
        <w:instrText>SEQ</w:instrText>
      </w:r>
      <w:r w:rsidRPr="00442344">
        <w:instrText xml:space="preserve"> Figure \* ARABIC </w:instrText>
      </w:r>
      <w:r w:rsidRPr="00442344">
        <w:fldChar w:fldCharType="separate"/>
      </w:r>
      <w:r>
        <w:rPr>
          <w:noProof/>
        </w:rPr>
        <w:t>13</w:t>
      </w:r>
      <w:r w:rsidRPr="00442344">
        <w:fldChar w:fldCharType="end"/>
      </w:r>
      <w:r w:rsidRPr="00442344">
        <w:t>: Le Marron inconnu. Champ de Mars (Port-au-Prince, Haïti)</w:t>
      </w:r>
      <w:bookmarkEnd w:id="226"/>
      <w:r>
        <w:t xml:space="preserve">. </w:t>
      </w:r>
      <w:r w:rsidRPr="00E8358C">
        <w:rPr>
          <w:szCs w:val="18"/>
        </w:rPr>
        <w:t>Ph</w:t>
      </w:r>
      <w:r w:rsidRPr="00E8358C">
        <w:rPr>
          <w:szCs w:val="18"/>
        </w:rPr>
        <w:t>o</w:t>
      </w:r>
      <w:r w:rsidRPr="00E8358C">
        <w:rPr>
          <w:szCs w:val="18"/>
        </w:rPr>
        <w:t>tographies : Alexis Guetchine et Jean Ronald Augustin, mars 2019 et jui</w:t>
      </w:r>
      <w:r w:rsidRPr="00E8358C">
        <w:rPr>
          <w:szCs w:val="18"/>
        </w:rPr>
        <w:t>l</w:t>
      </w:r>
      <w:r w:rsidRPr="00E8358C">
        <w:rPr>
          <w:szCs w:val="18"/>
        </w:rPr>
        <w:t>let 2014</w:t>
      </w:r>
    </w:p>
    <w:bookmarkEnd w:id="227"/>
    <w:p w:rsidR="004C50DC" w:rsidRPr="00E8358C" w:rsidRDefault="004C50DC" w:rsidP="004C50DC">
      <w:pPr>
        <w:spacing w:before="120" w:after="120"/>
        <w:jc w:val="both"/>
      </w:pPr>
    </w:p>
    <w:p w:rsidR="004C50DC" w:rsidRPr="00E8358C" w:rsidRDefault="004C50DC" w:rsidP="004C50DC">
      <w:pPr>
        <w:spacing w:before="120" w:after="120"/>
        <w:jc w:val="both"/>
      </w:pPr>
      <w:r w:rsidRPr="00E8358C">
        <w:t>Face à la monstruosité du système esclavagiste, l’esclave répondait par le suicide, l’avortement, l’infanticide, l’empoisonnement des rivi</w:t>
      </w:r>
      <w:r w:rsidRPr="00E8358C">
        <w:t>è</w:t>
      </w:r>
      <w:r w:rsidRPr="00E8358C">
        <w:t>res, les rébellions… mais le marronnage fut la principale forme de lutte. Les esclaves marrons s’organisaient en de véritables communa</w:t>
      </w:r>
      <w:r w:rsidRPr="00E8358C">
        <w:t>u</w:t>
      </w:r>
      <w:r w:rsidRPr="00E8358C">
        <w:t>tés clandestines, sauvegardaient et transmettaient leur culture africa</w:t>
      </w:r>
      <w:r w:rsidRPr="00E8358C">
        <w:t>i</w:t>
      </w:r>
      <w:r w:rsidRPr="00E8358C">
        <w:t>ne. Ils pratiquaient une agriculture de grappillage qui est encore très répandue dans le milieu rural haïtien, et cultivaient de la patate douce, de l’igname, du manioc et des légumes pour leur subsistance. L’esclave marron ou le « nègre marron » illustre donc le fugitif. Ma</w:t>
      </w:r>
      <w:r w:rsidRPr="00E8358C">
        <w:t>r</w:t>
      </w:r>
      <w:r w:rsidRPr="00E8358C">
        <w:t>cel Dorigny a fait remarquer que le marron, en fuyant l’esclavage, était plutôt séparatiste dans le cadre colonial</w:t>
      </w:r>
      <w:r>
        <w:t> </w:t>
      </w:r>
      <w:r>
        <w:rPr>
          <w:rStyle w:val="Appelnotedebasdep"/>
        </w:rPr>
        <w:footnoteReference w:id="578"/>
      </w:r>
      <w:r w:rsidRPr="00E8358C">
        <w:t xml:space="preserve">. </w:t>
      </w:r>
    </w:p>
    <w:p w:rsidR="004C50DC" w:rsidRPr="00E8358C" w:rsidRDefault="004C50DC" w:rsidP="004C50DC">
      <w:pPr>
        <w:spacing w:before="120" w:after="120"/>
        <w:jc w:val="both"/>
      </w:pPr>
      <w:r w:rsidRPr="00E8358C">
        <w:t xml:space="preserve">La statue du </w:t>
      </w:r>
      <w:r w:rsidRPr="00E8358C">
        <w:rPr>
          <w:i/>
        </w:rPr>
        <w:t xml:space="preserve">Marron inconnu (Nèg mawon) </w:t>
      </w:r>
      <w:r w:rsidRPr="00E8358C">
        <w:t>sur le Champ-de-Mars, à Port-au-Prince, œuvre du sculpteur Albert Mangonès (1967), se veut le témoignage du passage du peuple</w:t>
      </w:r>
      <w:r>
        <w:t xml:space="preserve"> [203]</w:t>
      </w:r>
      <w:r w:rsidRPr="00E8358C">
        <w:t xml:space="preserve"> haïtien de l’esclavage à la liberté, même si on ne l’évoque pas. On pourrait voir à travers cet homme, torse nu, portant un pantalon déchiré, des chaînes brisées aux chevilles comme aux poignets, tenant une machette à la main droite et de la main gauche soufflant dans une coquille de lambi</w:t>
      </w:r>
      <w:r w:rsidRPr="00792DC7">
        <w:t xml:space="preserve">, le </w:t>
      </w:r>
      <w:r w:rsidRPr="00E8358C">
        <w:t>témoin de cette page mémorielle rappelant la période coloniale esclavagiste, au milieu des statues des héros de l’indépendance se trouvant sur le m</w:t>
      </w:r>
      <w:r w:rsidRPr="00E8358C">
        <w:t>ê</w:t>
      </w:r>
      <w:r w:rsidRPr="00E8358C">
        <w:t xml:space="preserve">me Champ-de-Mars. Mais cette statue du Marron inconnu peut aussi être interprétée comme l’espoir d’un lendemain meilleur, le triomphe de l’opprimé, le refus de l’injustice, le couronnement de la solidarité dans une société haïtienne dépassée par les querelles politiques, les problèmes  économiques et institutionnels. </w:t>
      </w:r>
    </w:p>
    <w:p w:rsidR="004C50DC" w:rsidRPr="00E8358C" w:rsidRDefault="004C50DC" w:rsidP="004C50DC">
      <w:pPr>
        <w:spacing w:before="120" w:after="120"/>
        <w:jc w:val="both"/>
      </w:pPr>
      <w:r w:rsidRPr="00E8358C">
        <w:t>Quels sont les lieux, les pratiques ou les formes d’expressions qui rappellent encore le passé colonial dans l’environnement social, pol</w:t>
      </w:r>
      <w:r w:rsidRPr="00E8358C">
        <w:t>i</w:t>
      </w:r>
      <w:r w:rsidRPr="00E8358C">
        <w:t xml:space="preserve">tique, religieux et culturel haïtien ? Adelia répond : </w:t>
      </w:r>
    </w:p>
    <w:p w:rsidR="004C50DC" w:rsidRPr="00E8358C" w:rsidRDefault="004C50DC" w:rsidP="004C50DC">
      <w:pPr>
        <w:pStyle w:val="Citation0i"/>
      </w:pPr>
      <w:r w:rsidRPr="00E8358C">
        <w:t>M raple m aswè menm tranbleman tè a 12 janvye a, m te refijye m sou plas Nèg mawon an. Apre m te pral gen yon tant nan menm an</w:t>
      </w:r>
      <w:r w:rsidRPr="00E8358C">
        <w:t>d</w:t>
      </w:r>
      <w:r w:rsidRPr="00E8358C">
        <w:t>wa sa kote m te pase kelke mwa. Se te okazyon pou m te wè l chak jou. Men sa ki te plis frape m se lè moun yo t ap plede pwofane l, tann rad sou li. Sa te rive tou pou tout lòt stati Ero nou yo. M rann kont ke moun yo pat janm ko</w:t>
      </w:r>
      <w:r w:rsidRPr="00E8358C">
        <w:t>n</w:t>
      </w:r>
      <w:r w:rsidRPr="00E8358C">
        <w:t xml:space="preserve">pran sans ak valè istorik ak senbolik stati yo sou plas la. M wè pèp la kite pwoblèm fè l bliye valè ak diyite tèt li aprè tranbleman tè a. </w:t>
      </w:r>
    </w:p>
    <w:p w:rsidR="004C50DC" w:rsidRPr="00E8358C" w:rsidRDefault="004C50DC" w:rsidP="004C50DC">
      <w:pPr>
        <w:pStyle w:val="Citation0"/>
      </w:pPr>
      <w:r w:rsidRPr="00E8358C">
        <w:t>[Je me rappelle au soir même du tremblement de terre du 12 ja</w:t>
      </w:r>
      <w:r w:rsidRPr="00E8358C">
        <w:t>n</w:t>
      </w:r>
      <w:r w:rsidRPr="00E8358C">
        <w:t>vier 2010. Je me réfugie sur la place du Marron inconnu. À partir de là, j’allais avoir une tente qui m’a servi d’abri durant quelques mois. Ce séjour passé là-bas était l’occasion pour moi de côtoyer chaque jour la statue du Nègre ma</w:t>
      </w:r>
      <w:r w:rsidRPr="00E8358C">
        <w:t>r</w:t>
      </w:r>
      <w:r w:rsidRPr="00E8358C">
        <w:t>ron. J’étais vraiment touchée en voyant les gens la profaner et faire sécher leurs habits dessus. Le même constat concerne aussi les autres statues des héros nationaux. Je me suis rendu compte que les gens ne comprenaient pas le sens historique et la v</w:t>
      </w:r>
      <w:r w:rsidRPr="00E8358C">
        <w:t>a</w:t>
      </w:r>
      <w:r w:rsidRPr="00E8358C">
        <w:t xml:space="preserve">leur symbolique de ces statues sur le champ de mars. Je conclus que le peuple hypothèque sa fierté, sa dignité pour s’adapter à la nouvelle réalité après le séisme].  </w:t>
      </w:r>
    </w:p>
    <w:p w:rsidR="004C50DC" w:rsidRDefault="004C50DC" w:rsidP="004C50DC">
      <w:pPr>
        <w:pStyle w:val="Citation0c"/>
      </w:pPr>
      <w:r w:rsidRPr="00E8358C">
        <w:t>(Adelia, entrevue, 11 mars 2013)</w:t>
      </w:r>
    </w:p>
    <w:p w:rsidR="004C50DC" w:rsidRPr="00E8358C" w:rsidRDefault="004C50DC" w:rsidP="004C50DC">
      <w:pPr>
        <w:pStyle w:val="Citation0"/>
      </w:pPr>
    </w:p>
    <w:p w:rsidR="004C50DC" w:rsidRPr="00E8358C" w:rsidRDefault="004C50DC" w:rsidP="004C50DC">
      <w:pPr>
        <w:spacing w:before="120" w:after="120"/>
        <w:jc w:val="both"/>
      </w:pPr>
      <w:r w:rsidRPr="00E8358C">
        <w:t>Pour Adelia, les statues érigées au Champ-de-Mars sont idéales pour comprendre l’histoire d’Haïti.Il faut les sauvegarder. Les soui</w:t>
      </w:r>
      <w:r w:rsidRPr="00E8358C">
        <w:t>l</w:t>
      </w:r>
      <w:r w:rsidRPr="00E8358C">
        <w:t>ler, c’est souiller aussi la mémoire de la Révolution haïtienne. Mais comment demander à un peuple, dans son ignorance de l’histoire ou son manque d’éducation, de sauvegarder des monuments historiques s’il n’est pas sensibilisé auparavant à leur symbolisme ? Il faut se questionner aussi sur la manière de protéger le patrimoine culturel, matériel et immatériel lors d’une catastrophe naturelle ou d’un trouble politique. Le contexte social et politique après le tremblement de terre du</w:t>
      </w:r>
      <w:r>
        <w:t xml:space="preserve"> [204]</w:t>
      </w:r>
      <w:r w:rsidRPr="00E8358C">
        <w:t xml:space="preserve"> 12 janvier 2012 en Haïti ne justifie-t-il pas une telle préocc</w:t>
      </w:r>
      <w:r w:rsidRPr="00E8358C">
        <w:t>u</w:t>
      </w:r>
      <w:r w:rsidRPr="00E8358C">
        <w:t>pation ? Haïti montre que la catastrophe traîne derrière elle un manque d’intérêt pour le patrimoine. Il faut saluer le travail colossal de l’ISPAN, des Archives nationales d’Haïti (ANH) et d’autres organi</w:t>
      </w:r>
      <w:r w:rsidRPr="00E8358C">
        <w:t>s</w:t>
      </w:r>
      <w:r w:rsidRPr="00E8358C">
        <w:t>mes comme l’Institut Smithsonian-Haïti qui se sont démenés pour sauvegarder les sites et les documents en péril au lendemain même du séisme.</w:t>
      </w:r>
    </w:p>
    <w:p w:rsidR="004C50DC" w:rsidRPr="00E8358C" w:rsidRDefault="004C50DC" w:rsidP="004C50DC">
      <w:pPr>
        <w:spacing w:before="120" w:after="120"/>
        <w:jc w:val="both"/>
      </w:pPr>
      <w:r w:rsidRPr="00E8358C">
        <w:t>Chez Clément, c’est un tout un autre rapport qui se développe avec le Marron inconnu. C’est le souvenir de la dictature des Duvalier que la statue évoque.</w:t>
      </w:r>
    </w:p>
    <w:p w:rsidR="004C50DC" w:rsidRDefault="004C50DC" w:rsidP="004C50DC">
      <w:pPr>
        <w:pStyle w:val="Citation0"/>
      </w:pPr>
    </w:p>
    <w:p w:rsidR="004C50DC" w:rsidRPr="00E8358C" w:rsidRDefault="004C50DC" w:rsidP="004C50DC">
      <w:pPr>
        <w:pStyle w:val="Citation0"/>
      </w:pPr>
      <w:r w:rsidRPr="00E8358C">
        <w:t>La statue a été instrumentalisée par le régime pour marquer sa pr</w:t>
      </w:r>
      <w:r w:rsidRPr="00E8358C">
        <w:t>é</w:t>
      </w:r>
      <w:r w:rsidRPr="00E8358C">
        <w:t>sence et revendiquer son appartenance de descendants d’esclaves, fils de marrons. Il y avait toujours une flamme allumée sur la place pour dire que le peuple haïtien est toujours debout, mais au fond, le mess</w:t>
      </w:r>
      <w:r w:rsidRPr="00E8358C">
        <w:t>a</w:t>
      </w:r>
      <w:r w:rsidRPr="00E8358C">
        <w:t xml:space="preserve">ge, c’est aux opposants du régime qu’il est adressé pour faire savoir que François Duvalier est plus que jamais en vie.  </w:t>
      </w:r>
    </w:p>
    <w:p w:rsidR="004C50DC" w:rsidRDefault="004C50DC" w:rsidP="004C50DC">
      <w:pPr>
        <w:pStyle w:val="Citation0c"/>
      </w:pPr>
      <w:r w:rsidRPr="00E8358C">
        <w:t>(Clément, entrevue, 11 novembre 2013)</w:t>
      </w:r>
    </w:p>
    <w:p w:rsidR="004C50DC" w:rsidRPr="00E8358C" w:rsidRDefault="004C50DC" w:rsidP="004C50DC">
      <w:pPr>
        <w:pStyle w:val="Citation0c"/>
      </w:pPr>
    </w:p>
    <w:p w:rsidR="004C50DC" w:rsidRPr="00E8358C" w:rsidRDefault="004C50DC" w:rsidP="004C50DC">
      <w:pPr>
        <w:spacing w:before="120" w:after="120"/>
        <w:jc w:val="both"/>
      </w:pPr>
      <w:bookmarkStart w:id="228" w:name="_Toc406489697"/>
      <w:r w:rsidRPr="00E8358C">
        <w:t>Il faut interroger le sens de la résistance aujourd’hui. La remarque de Clément démontre que la récupération de la statue du Nègre ma</w:t>
      </w:r>
      <w:r w:rsidRPr="00E8358C">
        <w:t>r</w:t>
      </w:r>
      <w:r w:rsidRPr="00E8358C">
        <w:t xml:space="preserve">ron montre qu’elle est loin d’être un symbole de résistance à l’esclavage, mais un moyen pour Duvalier de consolider son pouvoir en utilisant des figures emblématiques de l’histoire d’Haïti. Duvalier opérait tout simplement une diversion en détournant le regard qu’on pouvait poser sur sa politique pour le faire porter sur un objectif déjà dépassé. À considérer la politique duvaliériste, on serait plus enclin à penser qu’il fallait plutôt résister à sa tyrannie que de vouloir résister à un système esclavagiste qu’on avait défait en 1804. D’autant plus que cela aurait ouvert les yeux sur sa collaboration avec des puissances anciennement esclavagistes, mais toujours disposées à conserver leur domination sur le pays. </w:t>
      </w:r>
    </w:p>
    <w:p w:rsidR="004C50DC" w:rsidRDefault="004C50DC" w:rsidP="004C50DC">
      <w:pPr>
        <w:spacing w:before="120" w:after="120"/>
        <w:jc w:val="both"/>
      </w:pPr>
      <w:bookmarkStart w:id="229" w:name="_Toc423347317"/>
      <w:bookmarkStart w:id="230" w:name="_Toc442280496"/>
    </w:p>
    <w:p w:rsidR="004C50DC" w:rsidRPr="00E8358C" w:rsidRDefault="004C50DC" w:rsidP="004C50DC">
      <w:pPr>
        <w:pStyle w:val="a"/>
      </w:pPr>
      <w:r w:rsidRPr="00E8358C">
        <w:t>4.3.5. Parc historique de la canne à sucre et musée Ogier Fo</w:t>
      </w:r>
      <w:r w:rsidRPr="00E8358C">
        <w:t>m</w:t>
      </w:r>
      <w:r w:rsidRPr="00E8358C">
        <w:t>brun :</w:t>
      </w:r>
      <w:r>
        <w:br/>
      </w:r>
      <w:r w:rsidRPr="00E8358C">
        <w:t>initiatives citoyennes pour la valorisation</w:t>
      </w:r>
      <w:r>
        <w:br/>
      </w:r>
      <w:r w:rsidRPr="00E8358C">
        <w:t>de la mémoire de l’esclavage</w:t>
      </w:r>
      <w:bookmarkEnd w:id="228"/>
      <w:bookmarkEnd w:id="229"/>
      <w:bookmarkEnd w:id="230"/>
    </w:p>
    <w:p w:rsidR="004C50DC" w:rsidRDefault="004C50DC" w:rsidP="004C50DC">
      <w:pPr>
        <w:spacing w:before="120" w:after="120"/>
        <w:jc w:val="both"/>
      </w:pPr>
    </w:p>
    <w:p w:rsidR="004C50DC" w:rsidRPr="00E8358C" w:rsidRDefault="004C50DC" w:rsidP="004C50DC">
      <w:pPr>
        <w:spacing w:before="120" w:after="120"/>
        <w:jc w:val="both"/>
      </w:pPr>
      <w:r w:rsidRPr="00E8358C">
        <w:t xml:space="preserve">À ce jour, les initiatives, fruits de quelques organismes privés, ne peuvent se mesurer qu’à l’aune des efforts tendant à mettre en valeur des vestiges d’habitations familiales encore existants, dont la mémoire historique atteste l’importance patrimoniale.  </w:t>
      </w:r>
    </w:p>
    <w:p w:rsidR="004C50DC" w:rsidRDefault="004C50DC" w:rsidP="004C50DC">
      <w:pPr>
        <w:spacing w:before="120" w:after="120"/>
        <w:jc w:val="both"/>
      </w:pPr>
      <w:r>
        <w:t>[205]</w:t>
      </w:r>
    </w:p>
    <w:p w:rsidR="004C50DC" w:rsidRPr="00E8358C" w:rsidRDefault="004C50DC" w:rsidP="004C50DC">
      <w:pPr>
        <w:spacing w:before="120" w:after="120"/>
        <w:jc w:val="both"/>
      </w:pPr>
    </w:p>
    <w:p w:rsidR="004C50DC" w:rsidRPr="00442344" w:rsidRDefault="004C50DC" w:rsidP="004C50DC">
      <w:pPr>
        <w:pStyle w:val="b"/>
      </w:pPr>
      <w:bookmarkStart w:id="231" w:name="_Toc423347318"/>
      <w:bookmarkStart w:id="232" w:name="_Toc442280497"/>
      <w:r w:rsidRPr="00442344">
        <w:t>Parc historique de la canne à sucre</w:t>
      </w:r>
      <w:bookmarkEnd w:id="231"/>
      <w:bookmarkEnd w:id="232"/>
    </w:p>
    <w:p w:rsidR="004C50DC" w:rsidRDefault="004C50DC" w:rsidP="004C50DC">
      <w:pPr>
        <w:spacing w:before="120" w:after="120"/>
        <w:jc w:val="both"/>
      </w:pPr>
    </w:p>
    <w:p w:rsidR="004C50DC" w:rsidRPr="00E8358C" w:rsidRDefault="004C50DC" w:rsidP="004C50DC">
      <w:pPr>
        <w:spacing w:before="120" w:after="120"/>
        <w:jc w:val="both"/>
      </w:pPr>
      <w:r w:rsidRPr="00E8358C">
        <w:t>Le Parc historique de la canne à sucre</w:t>
      </w:r>
      <w:r>
        <w:t> </w:t>
      </w:r>
      <w:r>
        <w:rPr>
          <w:rStyle w:val="Appelnotedebasdep"/>
        </w:rPr>
        <w:footnoteReference w:id="579"/>
      </w:r>
      <w:r w:rsidRPr="00E8358C">
        <w:t xml:space="preserve"> dans la commune de T</w:t>
      </w:r>
      <w:r w:rsidRPr="00E8358C">
        <w:t>a</w:t>
      </w:r>
      <w:r w:rsidRPr="00E8358C">
        <w:t>barre a été créé en hommage à Jean-Jacques Dessalines sur l’habitation de Chateaublond. Ce site avait été témoin de la bataille du 4 juin 1803 gagnée sous le commandement du général Jean-Jacques Dessalines dans la Plaine du Cul-de-sac</w:t>
      </w:r>
      <w:r>
        <w:t> </w:t>
      </w:r>
      <w:r>
        <w:rPr>
          <w:rStyle w:val="Appelnotedebasdep"/>
        </w:rPr>
        <w:footnoteReference w:id="580"/>
      </w:r>
      <w:r w:rsidRPr="00E8358C">
        <w:t>. Il ouvre ses portes au p</w:t>
      </w:r>
      <w:r w:rsidRPr="00E8358C">
        <w:t>u</w:t>
      </w:r>
      <w:r w:rsidRPr="00E8358C">
        <w:t>blic le 22 août 2004 et est considéré, jusqu’à présent, comme le plus grand musée de la canne dans la Caraïbe. Il demeure un lieu de m</w:t>
      </w:r>
      <w:r w:rsidRPr="00E8358C">
        <w:t>é</w:t>
      </w:r>
      <w:r w:rsidRPr="00E8358C">
        <w:t>moire où l’émotion est visible à travers l’espace et les objets exposés. Son o</w:t>
      </w:r>
      <w:r w:rsidRPr="00E8358C">
        <w:t>b</w:t>
      </w:r>
      <w:r w:rsidRPr="00E8358C">
        <w:t>jectif pr</w:t>
      </w:r>
      <w:r w:rsidRPr="00E8358C">
        <w:t>e</w:t>
      </w:r>
      <w:r w:rsidRPr="00E8358C">
        <w:t>mier est de relater la trajectoire de la canne à sucre, de l’époque col</w:t>
      </w:r>
      <w:r w:rsidRPr="00E8358C">
        <w:t>o</w:t>
      </w:r>
      <w:r w:rsidRPr="00E8358C">
        <w:t>niale esclavagiste (espagnole et française) à l’époque haïtienne. Le Parc historique de la canne à sucre veut répondre aux multiples défis de l’éducation, de l’enseignement de l’histoire et de la mémoire, de la culture et de la valorisation du patrimoine. Il s’engage à remettre les Haïtiens sur le chemin d’une tranche de leur mémoire historique. Une importante collection d’objets indiens, une riche v</w:t>
      </w:r>
      <w:r w:rsidRPr="00E8358C">
        <w:t>a</w:t>
      </w:r>
      <w:r w:rsidRPr="00E8358C">
        <w:t>riété de plants de canne, d’outils aratoires, d’objets vestiges de l’histoire coloniale et de la période haïtienne (cloche, moulins, cha</w:t>
      </w:r>
      <w:r w:rsidRPr="00E8358C">
        <w:t>u</w:t>
      </w:r>
      <w:r w:rsidRPr="00E8358C">
        <w:t>dières, barriques, étuve, cheminées, aqueduc, usines, locomotive, v</w:t>
      </w:r>
      <w:r w:rsidRPr="00E8358C">
        <w:t>ê</w:t>
      </w:r>
      <w:r w:rsidRPr="00E8358C">
        <w:t>tements…) y sont exposés. Cependant, les faibles moyens dont disp</w:t>
      </w:r>
      <w:r w:rsidRPr="00E8358C">
        <w:t>o</w:t>
      </w:r>
      <w:r w:rsidRPr="00E8358C">
        <w:t>sent les gestionnaires ne permettent pas de conserver les objets dans des conditions optimales.</w:t>
      </w:r>
    </w:p>
    <w:p w:rsidR="004C50DC" w:rsidRDefault="004C50DC" w:rsidP="004C50DC">
      <w:pPr>
        <w:spacing w:before="120" w:after="120"/>
        <w:jc w:val="both"/>
      </w:pPr>
      <w:r w:rsidRPr="00E8358C">
        <w:t>Par leurs caractéristiques mêmes, les artefacts qui sont mis en sc</w:t>
      </w:r>
      <w:r w:rsidRPr="00E8358C">
        <w:t>è</w:t>
      </w:r>
      <w:r w:rsidRPr="00E8358C">
        <w:t>ne servent de cadres à la mémoire de l’esclavage. Ils ont une dime</w:t>
      </w:r>
      <w:r w:rsidRPr="00E8358C">
        <w:t>n</w:t>
      </w:r>
      <w:r w:rsidRPr="00E8358C">
        <w:t>sion diachronique tenant compte des modifications au cours du temps (évolution des moulins, des chaudières, etc.) et une dimension sy</w:t>
      </w:r>
      <w:r w:rsidRPr="00E8358C">
        <w:t>n</w:t>
      </w:r>
      <w:r w:rsidRPr="00E8358C">
        <w:t>chronique, car les pièces assurent aussi la transmission du message dans le présent. Par endroits, le message paraît quelque peu biaisé, si l’on considère l’usage de certains objets dans un but décoratif, certa</w:t>
      </w:r>
      <w:r w:rsidRPr="00E8358C">
        <w:t>i</w:t>
      </w:r>
      <w:r w:rsidRPr="00E8358C">
        <w:t>nes chaudières étant utilisées comme pots de fleurs. Comme l’a soul</w:t>
      </w:r>
      <w:r w:rsidRPr="00E8358C">
        <w:t>i</w:t>
      </w:r>
      <w:r w:rsidRPr="00E8358C">
        <w:t>gné John P. Byron, « la production de sucre est privée, dans cette r</w:t>
      </w:r>
      <w:r w:rsidRPr="00E8358C">
        <w:t>e</w:t>
      </w:r>
      <w:r w:rsidRPr="00E8358C">
        <w:t>constitution, d’un élément qui lui est historiquement indissociable : l’esclavage »</w:t>
      </w:r>
      <w:r>
        <w:t> </w:t>
      </w:r>
      <w:r>
        <w:rPr>
          <w:rStyle w:val="Appelnotedebasdep"/>
        </w:rPr>
        <w:footnoteReference w:id="581"/>
      </w:r>
      <w:r w:rsidRPr="00E8358C">
        <w:t>. N’est-ce pas une entorse à la mémoire collective, quand on sait que chaque action posée ou</w:t>
      </w:r>
      <w:r>
        <w:t xml:space="preserve"> [206]</w:t>
      </w:r>
      <w:r w:rsidRPr="00E8358C">
        <w:t xml:space="preserve"> chaque objet placé dans une exposition doit refléter le contenu précis et être bien délimité dans l’espace ? Dans ce contexte, le visiteur pourrait ne pas saisir le message. La symbiose n’est pas créée. Il reste aussi une possibilité de confusion du fait de l’inexistence d’une mise en scène conceptuelle. Dans ce cas, comment peut-on assurer la médiation entre le public et le musée, entre la mémoire de l’esclavage et les objets ? Une corre</w:t>
      </w:r>
      <w:r w:rsidRPr="00E8358C">
        <w:t>c</w:t>
      </w:r>
      <w:r w:rsidRPr="00E8358C">
        <w:t>tion des failles repérées dans l’exposition sera pertinente pour une meilleure valorisation du site et la sauvegarde du contenu des mémo</w:t>
      </w:r>
      <w:r w:rsidRPr="00E8358C">
        <w:t>i</w:t>
      </w:r>
      <w:r w:rsidRPr="00E8358C">
        <w:t xml:space="preserve">res auxquelles il adhère. </w:t>
      </w:r>
    </w:p>
    <w:p w:rsidR="004C50DC" w:rsidRPr="00E8358C" w:rsidRDefault="004C50DC" w:rsidP="004C50DC">
      <w:pPr>
        <w:spacing w:before="120" w:after="120"/>
        <w:jc w:val="both"/>
      </w:pPr>
      <w:r>
        <w:br w:type="page"/>
      </w:r>
    </w:p>
    <w:p w:rsidR="004C50DC" w:rsidRPr="00442344" w:rsidRDefault="004C50DC" w:rsidP="004C50DC">
      <w:pPr>
        <w:pStyle w:val="b"/>
      </w:pPr>
      <w:bookmarkStart w:id="233" w:name="_Toc423347319"/>
      <w:bookmarkStart w:id="234" w:name="_Toc442280498"/>
      <w:r w:rsidRPr="00442344">
        <w:t>Musée colonial Ogier-Fombrun</w:t>
      </w:r>
      <w:bookmarkEnd w:id="233"/>
      <w:bookmarkEnd w:id="234"/>
    </w:p>
    <w:p w:rsidR="004C50DC" w:rsidRDefault="004C50DC" w:rsidP="004C50DC">
      <w:pPr>
        <w:spacing w:before="120" w:after="120"/>
        <w:jc w:val="both"/>
      </w:pPr>
    </w:p>
    <w:p w:rsidR="004C50DC" w:rsidRPr="00E8358C" w:rsidRDefault="004C50DC" w:rsidP="004C50DC">
      <w:pPr>
        <w:spacing w:before="120" w:after="120"/>
        <w:jc w:val="both"/>
      </w:pPr>
      <w:r w:rsidRPr="00E8358C">
        <w:t>Le musée Ogier-Fombrun est hébergé dans la bâtisse principale</w:t>
      </w:r>
      <w:r w:rsidRPr="00E8358C">
        <w:rPr>
          <w:rStyle w:val="googqs-tidbit-0"/>
        </w:rPr>
        <w:t xml:space="preserve"> qui servait</w:t>
      </w:r>
      <w:r w:rsidRPr="00E8358C">
        <w:t xml:space="preserve"> autrefois à la fabrication du sucre sur l’ancienne </w:t>
      </w:r>
      <w:r w:rsidRPr="00E8358C">
        <w:rPr>
          <w:rStyle w:val="googqs-tidbit-0"/>
        </w:rPr>
        <w:t xml:space="preserve">habitation Ogier, construite </w:t>
      </w:r>
      <w:r w:rsidRPr="00E8358C">
        <w:t xml:space="preserve">en 1760 par </w:t>
      </w:r>
      <w:r w:rsidRPr="00E8358C">
        <w:rPr>
          <w:rStyle w:val="googqs-tidbit-0"/>
        </w:rPr>
        <w:t xml:space="preserve">Guillaume Ogier, un colon français. À la mort du propriétaire </w:t>
      </w:r>
      <w:r w:rsidRPr="00E8358C">
        <w:t>en 1799, à Saint-Marc, lors d’une chasse aux e</w:t>
      </w:r>
      <w:r w:rsidRPr="00E8358C">
        <w:t>s</w:t>
      </w:r>
      <w:r w:rsidRPr="00E8358C">
        <w:t xml:space="preserve">claves marrons, l’habitation </w:t>
      </w:r>
      <w:r w:rsidRPr="00E8358C">
        <w:rPr>
          <w:rStyle w:val="googqs-tidbit-0"/>
        </w:rPr>
        <w:t>fut a</w:t>
      </w:r>
      <w:r w:rsidRPr="00E8358C">
        <w:t>bandonnée. Ses vestiges furent d</w:t>
      </w:r>
      <w:r w:rsidRPr="00E8358C">
        <w:t>é</w:t>
      </w:r>
      <w:r w:rsidRPr="00E8358C">
        <w:t>couverts en 1977 par l’architecte Gérard Fombrun qui les restaura par la suite</w:t>
      </w:r>
      <w:r>
        <w:t> </w:t>
      </w:r>
      <w:r>
        <w:rPr>
          <w:rStyle w:val="Appelnotedebasdep"/>
        </w:rPr>
        <w:footnoteReference w:id="582"/>
      </w:r>
      <w:r w:rsidRPr="00E8358C">
        <w:t xml:space="preserve">. Situé à Montrouis, </w:t>
      </w:r>
      <w:r w:rsidRPr="00E8358C">
        <w:rPr>
          <w:rStyle w:val="googqs-tidbit-0"/>
        </w:rPr>
        <w:t xml:space="preserve">le musée </w:t>
      </w:r>
      <w:r w:rsidRPr="00E8358C">
        <w:t xml:space="preserve"> est finalement ouvert au p</w:t>
      </w:r>
      <w:r w:rsidRPr="00E8358C">
        <w:t>u</w:t>
      </w:r>
      <w:r w:rsidRPr="00E8358C">
        <w:t xml:space="preserve">blic en 1993. Il </w:t>
      </w:r>
      <w:r w:rsidRPr="00E8358C">
        <w:rPr>
          <w:rStyle w:val="googqs-tidbit-0"/>
        </w:rPr>
        <w:t>est consacré à</w:t>
      </w:r>
      <w:r w:rsidRPr="00E8358C">
        <w:t xml:space="preserve"> des pages importantes de l’histoire d’Haïti : celles de la production sucrière et de l’esclavage dans la c</w:t>
      </w:r>
      <w:r w:rsidRPr="00E8358C">
        <w:t>o</w:t>
      </w:r>
      <w:r w:rsidRPr="00E8358C">
        <w:t xml:space="preserve">lonie de Saint-Domingue, dans un premier temps, et dans un second temps, il traite d’une bonne </w:t>
      </w:r>
      <w:r w:rsidRPr="00E8358C">
        <w:rPr>
          <w:rStyle w:val="googqs-tidbit-0"/>
        </w:rPr>
        <w:t>partie de la période haïtienne.</w:t>
      </w:r>
    </w:p>
    <w:p w:rsidR="004C50DC" w:rsidRPr="00E8358C" w:rsidRDefault="004C50DC" w:rsidP="004C50DC">
      <w:pPr>
        <w:spacing w:before="120" w:after="120"/>
        <w:jc w:val="both"/>
      </w:pPr>
      <w:r w:rsidRPr="00E8358C">
        <w:rPr>
          <w:rStyle w:val="googqs-tidbit-0"/>
        </w:rPr>
        <w:t>Le conservateur, dans sa démarche de reconstitution d’une habit</w:t>
      </w:r>
      <w:r w:rsidRPr="00E8358C">
        <w:rPr>
          <w:rStyle w:val="googqs-tidbit-0"/>
        </w:rPr>
        <w:t>a</w:t>
      </w:r>
      <w:r w:rsidRPr="00E8358C">
        <w:rPr>
          <w:rStyle w:val="googqs-tidbit-0"/>
        </w:rPr>
        <w:t>tion coloniale, d’entrée de jeu re</w:t>
      </w:r>
      <w:r w:rsidRPr="00E8358C">
        <w:t xml:space="preserve">trace l’arrivée des captifs africains issus de la traite des Noirs représentés à travers des pièces en bois de taille humaine, enchaînées et traînées par un charriot. </w:t>
      </w:r>
      <w:r w:rsidRPr="00E8358C">
        <w:rPr>
          <w:rStyle w:val="googqs-tidbit-0"/>
        </w:rPr>
        <w:t>On peut appr</w:t>
      </w:r>
      <w:r w:rsidRPr="00E8358C">
        <w:rPr>
          <w:rStyle w:val="googqs-tidbit-0"/>
        </w:rPr>
        <w:t>é</w:t>
      </w:r>
      <w:r w:rsidRPr="00E8358C">
        <w:rPr>
          <w:rStyle w:val="googqs-tidbit-0"/>
        </w:rPr>
        <w:t xml:space="preserve">cier aussi une </w:t>
      </w:r>
      <w:r w:rsidRPr="00E8358C">
        <w:t>collection d’armes et de décorations militaires de l’époque coloniale, des pièces d’usine sucrière (chaudière, étuve, moulin…), des chaînes d’esclave, une réplique de la statue du Nègre marron, des canons et des objets de syncrétisme vodou. Dans ses sa</w:t>
      </w:r>
      <w:r w:rsidRPr="00E8358C">
        <w:t>l</w:t>
      </w:r>
      <w:r w:rsidRPr="00E8358C">
        <w:t>les principales, une collection de documents des époques indigène, coloniale (actes de propriété et actes officiels signés par des généraux de l’armée indigène, comme Jean-Jacques Dessalines) authentifie ce</w:t>
      </w:r>
      <w:r w:rsidRPr="00E8358C">
        <w:t>t</w:t>
      </w:r>
      <w:r w:rsidRPr="00E8358C">
        <w:t>te tranche d’histoire et permet au visiteur</w:t>
      </w:r>
      <w:r>
        <w:t xml:space="preserve"> [207]</w:t>
      </w:r>
      <w:r w:rsidRPr="00E8358C">
        <w:t xml:space="preserve"> d’apprécier le contenu des correspondances durant les nombreuses luttes pour la libération de la colonie.</w:t>
      </w:r>
      <w:r>
        <w:t xml:space="preserve"> </w:t>
      </w:r>
      <w:r w:rsidRPr="00E8358C">
        <w:rPr>
          <w:rStyle w:val="googqs-tidbit-0"/>
        </w:rPr>
        <w:t>On y dénote une volonté de ne pas trop en dire sur le dév</w:t>
      </w:r>
      <w:r w:rsidRPr="00E8358C">
        <w:rPr>
          <w:rStyle w:val="googqs-tidbit-0"/>
        </w:rPr>
        <w:t>e</w:t>
      </w:r>
      <w:r w:rsidRPr="00E8358C">
        <w:rPr>
          <w:rStyle w:val="googqs-tidbit-0"/>
        </w:rPr>
        <w:t>loppement de l’esclavage à Saint-Domingue</w:t>
      </w:r>
      <w:r>
        <w:rPr>
          <w:rStyle w:val="googqs-tidbit-0"/>
        </w:rPr>
        <w:t> </w:t>
      </w:r>
      <w:r>
        <w:rPr>
          <w:rStyle w:val="Appelnotedebasdep"/>
        </w:rPr>
        <w:footnoteReference w:id="583"/>
      </w:r>
      <w:r w:rsidRPr="00E8358C">
        <w:rPr>
          <w:rStyle w:val="googqs-tidbit-0"/>
        </w:rPr>
        <w:t xml:space="preserve">. </w:t>
      </w:r>
    </w:p>
    <w:p w:rsidR="004C50DC" w:rsidRPr="00E8358C" w:rsidRDefault="004C50DC" w:rsidP="004C50DC">
      <w:pPr>
        <w:spacing w:before="120" w:after="120"/>
        <w:jc w:val="both"/>
      </w:pPr>
      <w:r w:rsidRPr="00E8358C">
        <w:t>La mémoire de l’esclave est traitée comme un « cri silencieux »</w:t>
      </w:r>
      <w:r>
        <w:t> </w:t>
      </w:r>
      <w:r>
        <w:rPr>
          <w:rStyle w:val="Appelnotedebasdep"/>
        </w:rPr>
        <w:footnoteReference w:id="584"/>
      </w:r>
      <w:r w:rsidRPr="00E8358C">
        <w:t xml:space="preserve"> usé par le temps dans les deux musées. Paradoxalement, dans la soci</w:t>
      </w:r>
      <w:r w:rsidRPr="00E8358C">
        <w:t>é</w:t>
      </w:r>
      <w:r w:rsidRPr="00E8358C">
        <w:t>té haïtienne qui est la première à se libérer de l’enfer esclavagiste transatlantique, parler de l’esclavage et de ses mémoires semble être un acte qui gêne. Le Parc historique de la canne à sucre et le musée colonial Ogier-Fombrun développent aujourd’hui un partenariat avec l’association Anneaux de la Mémoire qui pourrait faciliter les écha</w:t>
      </w:r>
      <w:r w:rsidRPr="00E8358C">
        <w:t>n</w:t>
      </w:r>
      <w:r w:rsidRPr="00E8358C">
        <w:t>ges d’informations, aider à briser le silence et contribuer à la transmi</w:t>
      </w:r>
      <w:r w:rsidRPr="00E8358C">
        <w:t>s</w:t>
      </w:r>
      <w:r w:rsidRPr="00E8358C">
        <w:t xml:space="preserve">sion de la page mémorielle de l’esclavage en Haïti.  </w:t>
      </w:r>
    </w:p>
    <w:p w:rsidR="004C50DC" w:rsidRPr="00E8358C" w:rsidRDefault="004C50DC" w:rsidP="004C50DC">
      <w:pPr>
        <w:spacing w:before="120" w:after="120"/>
        <w:jc w:val="both"/>
      </w:pPr>
      <w:r w:rsidRPr="00E8358C">
        <w:t>D’autres initiatives privées sont à l’étude, comme le projet de m</w:t>
      </w:r>
      <w:r w:rsidRPr="00E8358C">
        <w:t>u</w:t>
      </w:r>
      <w:r w:rsidRPr="00E8358C">
        <w:t xml:space="preserve">sée ou de centre culturel destiné à recevoir la collection de Marianne Lehmann, dont plus de 300 pièces ont été sélectionnées et ont fait l’objet d’une exposition itinérante de 2007 à 2014 en Europe, aux États-Unis et au Canada. Cette collection est reconnue comme l’une des plus importantes au monde sur le vodou. En plus de la possibilité de voir l’exposition itinérante, on peut visiter le reste de la collection sur place en Haïti. La collection de Marianne Lehmann pourrait être un canal de transmission de la mémoire de l’esclavage, car le vodou était au centre des luttes contre cette ignominie dans la colonie de Saint-Domingue.  </w:t>
      </w:r>
    </w:p>
    <w:p w:rsidR="004C50DC" w:rsidRPr="00E8358C" w:rsidRDefault="004C50DC" w:rsidP="004C50DC">
      <w:pPr>
        <w:spacing w:before="120" w:after="120"/>
        <w:jc w:val="both"/>
      </w:pPr>
      <w:r w:rsidRPr="00E8358C">
        <w:t>Cette collection « d’objets vodou » est accompagnée d’un texte qui fait le lien entre le religieux et la mémoire de l’esclavage. C’est un cas intéressant qui touche plusieurs points pris en compte dans la thèse : « objets vodou », zombies et sociétés secrètes. Le discours qui est tenu sur la mémoire de l’esclavage en Haïti met aussi en avant le vodou. L’implication d’institutions étrangères, en l’occurrence de prestigieux musées, doit apporter à la patrimonialisation de cette mémoire une forme de légitimation. Aujourd’hui, le processus de patrimonialisation donne à observer des stratégies mises en œuvre par les</w:t>
      </w:r>
      <w:r>
        <w:t xml:space="preserve"> [208]</w:t>
      </w:r>
      <w:r w:rsidRPr="00E8358C">
        <w:t xml:space="preserve"> acteurs étatiques et privés, à apprécier les débats et à révéler les multiples e</w:t>
      </w:r>
      <w:r w:rsidRPr="00E8358C">
        <w:t>n</w:t>
      </w:r>
      <w:r w:rsidRPr="00E8358C">
        <w:t xml:space="preserve">jeux religieux, artistiques, économiques, sociopolitiques... </w:t>
      </w:r>
    </w:p>
    <w:p w:rsidR="004C50DC" w:rsidRDefault="004C50DC" w:rsidP="004C50DC">
      <w:pPr>
        <w:spacing w:before="120" w:after="120"/>
        <w:jc w:val="both"/>
      </w:pPr>
      <w:r w:rsidRPr="00E8358C">
        <w:t>Cette initiative privée montre encore que des efforts se font en d</w:t>
      </w:r>
      <w:r w:rsidRPr="00E8358C">
        <w:t>e</w:t>
      </w:r>
      <w:r w:rsidRPr="00E8358C">
        <w:t>hors des sphères étatiques. Les dynamiques internes mises en œuvre depuis les années 1990 traduisent les préoccupations de bien des se</w:t>
      </w:r>
      <w:r w:rsidRPr="00E8358C">
        <w:t>c</w:t>
      </w:r>
      <w:r w:rsidRPr="00E8358C">
        <w:t>teurs de la société civile haïtienne en ce qui concerne les questions mémorielles et patrimoniales. Depuis les années 1980, on dénombre un grand nombre d’initiatives, aux fortunes variables, dans plusieurs régions d’Haïti, relatives à ces questions (associations, clubs du p</w:t>
      </w:r>
      <w:r w:rsidRPr="00E8358C">
        <w:t>a</w:t>
      </w:r>
      <w:r w:rsidRPr="00E8358C">
        <w:t>trimoine, visites ponctuelles de lieux, projets de musées, demandes sectorielles, locales, de préservation de tel lieu ou encore d’inscription au calendrier des commémorations nationales à telle date, etc.).</w:t>
      </w:r>
    </w:p>
    <w:p w:rsidR="004C50DC" w:rsidRPr="00E8358C" w:rsidRDefault="004C50DC" w:rsidP="004C50DC">
      <w:pPr>
        <w:spacing w:before="120" w:after="120"/>
        <w:jc w:val="both"/>
      </w:pPr>
    </w:p>
    <w:p w:rsidR="004C50DC" w:rsidRPr="00E8358C" w:rsidRDefault="004C50DC" w:rsidP="004C50DC">
      <w:pPr>
        <w:pStyle w:val="a"/>
      </w:pPr>
      <w:bookmarkStart w:id="235" w:name="_Toc406489698"/>
      <w:bookmarkStart w:id="236" w:name="_Toc423347320"/>
      <w:bookmarkStart w:id="237" w:name="_Toc442280499"/>
      <w:r w:rsidRPr="00E8358C">
        <w:t>4.3.6. La Place d’armes aux Gonaïves</w:t>
      </w:r>
      <w:bookmarkEnd w:id="235"/>
      <w:bookmarkEnd w:id="236"/>
      <w:bookmarkEnd w:id="237"/>
    </w:p>
    <w:p w:rsidR="004C50DC" w:rsidRDefault="004C50DC" w:rsidP="004C50DC">
      <w:pPr>
        <w:spacing w:before="120" w:after="120"/>
        <w:jc w:val="both"/>
      </w:pPr>
    </w:p>
    <w:p w:rsidR="004C50DC" w:rsidRDefault="004C50DC" w:rsidP="004C50DC">
      <w:pPr>
        <w:spacing w:before="120" w:after="120"/>
        <w:jc w:val="both"/>
      </w:pPr>
      <w:r w:rsidRPr="00E8358C">
        <w:t>Le monument significatif de la mémoire de l’esclavage aux Gona</w:t>
      </w:r>
      <w:r w:rsidRPr="00E8358C">
        <w:t>ï</w:t>
      </w:r>
      <w:r w:rsidRPr="00E8358C">
        <w:t>ves est celui inauguré le 7 février 1904 sous le gouvernement de Nord Alexis, en l’honneur de Jean-Jacques Dessalines (Figure 14) sur la place de l’Indépendance. Les Haïtiens gardent en mémoire que cet endroit est le lieu historique de la proclamation de l’indépendance d’Haïti, le 1</w:t>
      </w:r>
      <w:r w:rsidRPr="00E8358C">
        <w:rPr>
          <w:vertAlign w:val="superscript"/>
        </w:rPr>
        <w:t>er</w:t>
      </w:r>
      <w:r w:rsidRPr="00E8358C">
        <w:t xml:space="preserve"> janvier 1804. Ce monument à la forme d’un bateau, avec le général Jean-Jacques Dessalines comme capitaine à la proue, tenant fièrement et fermement le drapeau de la liberté. Cette représe</w:t>
      </w:r>
      <w:r w:rsidRPr="00E8358C">
        <w:t>n</w:t>
      </w:r>
      <w:r w:rsidRPr="00E8358C">
        <w:t>tation du passé suggère qu’il tient le gouvernail du destin de la no</w:t>
      </w:r>
      <w:r w:rsidRPr="00E8358C">
        <w:t>u</w:t>
      </w:r>
      <w:r w:rsidRPr="00E8358C">
        <w:t>velle République noire. Ainsi invite-t-il ses compatriotes à abando</w:t>
      </w:r>
      <w:r w:rsidRPr="00E8358C">
        <w:t>n</w:t>
      </w:r>
      <w:r w:rsidRPr="00E8358C">
        <w:t>ner la cale des négriers et de l’esclavage. Ils peuvent jouir maintenant d’une liberté sans entraves. C’est un symbole fort du passage de l’esclavage à la libération. L’érection de cette statue montre la volonté du gouvernement d’Alexis de mettre en lumière des marqueurs off</w:t>
      </w:r>
      <w:r w:rsidRPr="00E8358C">
        <w:t>i</w:t>
      </w:r>
      <w:r w:rsidRPr="00E8358C">
        <w:t xml:space="preserve">ciels de l’identité haïtienne lors de la commémoration du centenaire de l’indépendance : la liberté, le courage et l’héroïsme commun de l’ensemble des Haïtiens. </w:t>
      </w:r>
    </w:p>
    <w:p w:rsidR="004C50DC" w:rsidRDefault="004C50DC" w:rsidP="004C50DC">
      <w:pPr>
        <w:spacing w:before="120" w:after="120"/>
        <w:jc w:val="both"/>
      </w:pPr>
      <w:r>
        <w:br w:type="page"/>
        <w:t>[209]</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087370" cy="2786380"/>
            <wp:effectExtent l="25400" t="25400" r="11430" b="7620"/>
            <wp:docPr id="20" name="Image 21" descr="lartibonite-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descr="lartibonite-09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87370" cy="278638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38" w:name="_Toc417146059"/>
      <w:bookmarkStart w:id="239" w:name="Memoire_fig_14"/>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14</w:t>
      </w:r>
      <w:r w:rsidRPr="00E95DCE">
        <w:fldChar w:fldCharType="end"/>
      </w:r>
      <w:r w:rsidRPr="00E95DCE">
        <w:t>: Monument érigé en l’honneur des héros de l’Indépendance d’Haïti</w:t>
      </w:r>
      <w:bookmarkEnd w:id="238"/>
      <w:r>
        <w:t xml:space="preserve">. </w:t>
      </w:r>
      <w:r w:rsidRPr="00E8358C">
        <w:rPr>
          <w:szCs w:val="18"/>
        </w:rPr>
        <w:t xml:space="preserve"> Place de l’Indépendance aux Gonaïves.</w:t>
      </w:r>
    </w:p>
    <w:p w:rsidR="004C50DC" w:rsidRPr="00E8358C" w:rsidRDefault="004C50DC" w:rsidP="004C50DC">
      <w:pPr>
        <w:pStyle w:val="figst1"/>
        <w:rPr>
          <w:szCs w:val="18"/>
        </w:rPr>
      </w:pPr>
      <w:r w:rsidRPr="00E8358C">
        <w:rPr>
          <w:szCs w:val="18"/>
        </w:rPr>
        <w:t xml:space="preserve">Source : </w:t>
      </w:r>
      <w:hyperlink r:id="rId48" w:history="1">
        <w:r w:rsidRPr="00E8358C">
          <w:rPr>
            <w:rStyle w:val="Lienhypertexte"/>
            <w:i w:val="0"/>
            <w:szCs w:val="18"/>
          </w:rPr>
          <w:t>http://quoteimg.com/jean-jacques-dessalines-quotes/</w:t>
        </w:r>
      </w:hyperlink>
    </w:p>
    <w:bookmarkEnd w:id="239"/>
    <w:p w:rsidR="004C50DC" w:rsidRPr="00E8358C" w:rsidRDefault="004C50DC" w:rsidP="004C50DC">
      <w:pPr>
        <w:spacing w:before="120" w:after="120"/>
        <w:jc w:val="both"/>
        <w:rPr>
          <w:i/>
          <w:szCs w:val="18"/>
        </w:rPr>
      </w:pPr>
    </w:p>
    <w:p w:rsidR="004C50DC" w:rsidRPr="00E8358C" w:rsidRDefault="004C50DC" w:rsidP="004C50DC">
      <w:pPr>
        <w:spacing w:before="120" w:after="120"/>
        <w:jc w:val="both"/>
      </w:pPr>
      <w:r w:rsidRPr="00E8358C">
        <w:t>Sabine, 45 ans, étudiante en droit, fière de sa ville natale de « Gonaïves », ville emblématique de l’Indépendance haïtienne, ne manque pas l’occasion de notre entretien décrire ce que lui inspire la place d’armes.</w:t>
      </w:r>
    </w:p>
    <w:p w:rsidR="004C50DC" w:rsidRDefault="004C50DC" w:rsidP="004C50DC">
      <w:pPr>
        <w:pStyle w:val="Citation0"/>
      </w:pPr>
    </w:p>
    <w:p w:rsidR="004C50DC" w:rsidRPr="00E8358C" w:rsidRDefault="004C50DC" w:rsidP="004C50DC">
      <w:pPr>
        <w:pStyle w:val="Citation0"/>
      </w:pPr>
      <w:r w:rsidRPr="00E8358C">
        <w:t>Gonaïves est la ville symbolique de l’achèvement de l’Indépendance ha</w:t>
      </w:r>
      <w:r w:rsidRPr="00E8358C">
        <w:t>ï</w:t>
      </w:r>
      <w:r w:rsidRPr="00E8358C">
        <w:t>tienne en 1804. La place est construite exactement à l’endroit où la pr</w:t>
      </w:r>
      <w:r w:rsidRPr="00E8358C">
        <w:t>o</w:t>
      </w:r>
      <w:r w:rsidRPr="00E8358C">
        <w:t>clamation a été faite solennellement. C’est un lieu doué d’une charge m</w:t>
      </w:r>
      <w:r w:rsidRPr="00E8358C">
        <w:t>é</w:t>
      </w:r>
      <w:r w:rsidRPr="00E8358C">
        <w:t>morielle singulière pour le peuple haïtien. La statue de Dessalines, le père fondateur, et les motifs de combat au pied de la base qui le soutient pe</w:t>
      </w:r>
      <w:r w:rsidRPr="00E8358C">
        <w:t>r</w:t>
      </w:r>
      <w:r w:rsidRPr="00E8358C">
        <w:t>mettent de revivre les instants de révolte et le couronnement de la victoire de l’armée indigène. Aujourd’hui, il est triste de voir comment la place est occupée par des marchands et des badauds. Les autorités municipales sont dépassées par la situation démographique de la ville et par la lutte quot</w:t>
      </w:r>
      <w:r w:rsidRPr="00E8358C">
        <w:t>i</w:t>
      </w:r>
      <w:r w:rsidRPr="00E8358C">
        <w:t>dienne des citoyens qui cherchent à gagner leur pain. Ce n’est pas seul</w:t>
      </w:r>
      <w:r w:rsidRPr="00E8358C">
        <w:t>e</w:t>
      </w:r>
      <w:r w:rsidRPr="00E8358C">
        <w:t>ment la place qu’il faut considérer si on veut parler de la mémoire de l’esclavage et de sa présence dans l’espace public gonaïvien. Il y a aussi cette statue moins popularisée qui représente Toussaint Louverture à l’intersection des rues Toussaint Louverture, Lamartinière et l’avenue des Dattes. À cet endroit, selon la petite histoire, fatigué et assoiffé, Toussaint Louve</w:t>
      </w:r>
      <w:r w:rsidRPr="00E8358C">
        <w:t>r</w:t>
      </w:r>
      <w:r w:rsidRPr="00E8358C">
        <w:t>ture avait demandé à boire de l’eau sous un arbre, car le bateau qui le transportait avait mouillé, quelques heures avant, dans la rade des G</w:t>
      </w:r>
      <w:r w:rsidRPr="00E8358C">
        <w:t>o</w:t>
      </w:r>
      <w:r w:rsidRPr="00E8358C">
        <w:t xml:space="preserve">naïves en direction de la ville du Cap-Haïtien. Ensuite, il a été conduit en France et emprisonné au fort de Joux, là où il a rendu l’âme. </w:t>
      </w:r>
    </w:p>
    <w:p w:rsidR="004C50DC" w:rsidRDefault="004C50DC" w:rsidP="004C50DC">
      <w:pPr>
        <w:pStyle w:val="Citation0c"/>
      </w:pPr>
      <w:r w:rsidRPr="00E8358C">
        <w:t>(Sabine, entrevue, 7 décembre 2013)</w:t>
      </w:r>
    </w:p>
    <w:p w:rsidR="004C50DC" w:rsidRPr="00E8358C" w:rsidRDefault="004C50DC" w:rsidP="004C50DC">
      <w:pPr>
        <w:pStyle w:val="Citation0"/>
      </w:pPr>
    </w:p>
    <w:p w:rsidR="004C50DC" w:rsidRPr="00E8358C" w:rsidRDefault="004C50DC" w:rsidP="004C50DC">
      <w:pPr>
        <w:spacing w:before="120" w:after="120"/>
        <w:jc w:val="both"/>
      </w:pPr>
      <w:r w:rsidRPr="00E8358C">
        <w:t>L’érection de cette statue de « Toussaint » a soulevé des controve</w:t>
      </w:r>
      <w:r w:rsidRPr="00E8358C">
        <w:t>r</w:t>
      </w:r>
      <w:r w:rsidRPr="00E8358C">
        <w:t xml:space="preserve">ses, la plus connue concernant le caractère symbolique de ce soldat qui, pour la plupart des gens, ne reflète pas le personnage de Toussaint Louverture, valeureux et courageux. Un soldat humilié et </w:t>
      </w:r>
      <w:r>
        <w:t xml:space="preserve">[210] </w:t>
      </w:r>
      <w:r w:rsidRPr="00E8358C">
        <w:t>allo</w:t>
      </w:r>
      <w:r w:rsidRPr="00E8358C">
        <w:t>n</w:t>
      </w:r>
      <w:r w:rsidRPr="00E8358C">
        <w:t xml:space="preserve">gé par terre est loin d’être à la hauteur du personnage du général Toussaint Louverture. Cette critique pourrait être évitée si une plaque interprétative expliquait clairement le concept qu’on veut présenter au public. Dans sa démarche, nous pensons que le sculpteur ne voulait nullement représenter un Toussaint humilié, mais les conditions et la réalité historique de sa déportation. </w:t>
      </w:r>
    </w:p>
    <w:p w:rsidR="004C50DC" w:rsidRDefault="004C50DC" w:rsidP="004C50DC">
      <w:pPr>
        <w:spacing w:before="120" w:after="120"/>
        <w:jc w:val="both"/>
      </w:pPr>
      <w:bookmarkStart w:id="240" w:name="_Toc406489699"/>
      <w:bookmarkStart w:id="241" w:name="_Toc423347321"/>
      <w:bookmarkStart w:id="242" w:name="_Toc442280500"/>
    </w:p>
    <w:p w:rsidR="004C50DC" w:rsidRPr="00E8358C" w:rsidRDefault="004C50DC" w:rsidP="004C50DC">
      <w:pPr>
        <w:pStyle w:val="a"/>
      </w:pPr>
      <w:r w:rsidRPr="00E8358C">
        <w:t>4.3.7. Les Héros de Vertières au Cap-Haïtien</w:t>
      </w:r>
      <w:bookmarkEnd w:id="240"/>
      <w:bookmarkEnd w:id="241"/>
      <w:bookmarkEnd w:id="242"/>
    </w:p>
    <w:p w:rsidR="004C50DC" w:rsidRDefault="004C50DC" w:rsidP="004C50DC">
      <w:pPr>
        <w:spacing w:before="120" w:after="120"/>
        <w:jc w:val="both"/>
      </w:pPr>
    </w:p>
    <w:p w:rsidR="004C50DC" w:rsidRPr="00E8358C" w:rsidRDefault="004C50DC" w:rsidP="004C50DC">
      <w:pPr>
        <w:spacing w:before="120" w:after="120"/>
        <w:jc w:val="both"/>
      </w:pPr>
      <w:r w:rsidRPr="00E8358C">
        <w:t>Le monument de Vertières</w:t>
      </w:r>
      <w:r>
        <w:t> </w:t>
      </w:r>
      <w:r w:rsidRPr="00E8358C">
        <w:rPr>
          <w:rStyle w:val="Appelnotedebasdep"/>
        </w:rPr>
        <w:footnoteReference w:id="585"/>
      </w:r>
      <w:r w:rsidRPr="00E8358C">
        <w:t xml:space="preserve"> (Figure 15) est érigé à la gloire des héros et héroïnes de la bataille, en 1953, sous le gouvernement de Paul-Eugène Magloire. « Les Héros de Vertières » au Cap-Haïtien sont une matérialisation physique de la victoire des troupes indigènes sur l’armée française lors du combat du 18 novembre 1803. Pour Lyonel Trouillot, il y a tout dans Vertières, « l’héroïsme et le symb</w:t>
      </w:r>
      <w:r w:rsidRPr="00E8358C">
        <w:t>o</w:t>
      </w:r>
      <w:r w:rsidRPr="00E8358C">
        <w:t>lisme, une fin et un commencement, la dernière bataille qui consacre l’aboutissement d’une révolution anticoloniale, antiesclavagiste, ant</w:t>
      </w:r>
      <w:r w:rsidRPr="00E8358C">
        <w:t>i</w:t>
      </w:r>
      <w:r w:rsidRPr="00E8358C">
        <w:t>raciste, portée par deux des révolutionnaires les plus radicaux de l’armée indigène, Jean-Jacques Dessalines et François Capois dit C</w:t>
      </w:r>
      <w:r w:rsidRPr="00E8358C">
        <w:t>a</w:t>
      </w:r>
      <w:r w:rsidRPr="00E8358C">
        <w:t>pois-la-Mort… [Vertières] est le tombeau militaire d’un régime inh</w:t>
      </w:r>
      <w:r w:rsidRPr="00E8358C">
        <w:t>u</w:t>
      </w:r>
      <w:r w:rsidRPr="00E8358C">
        <w:t>main, d’une intention raciste. C’est aussi pour cela que pour l’Histoire rédigée du lieu de la Bibliothèque coloniale, Vertières n’existe pas »</w:t>
      </w:r>
      <w:r>
        <w:t> </w:t>
      </w:r>
      <w:r>
        <w:rPr>
          <w:rStyle w:val="Appelnotedebasdep"/>
        </w:rPr>
        <w:footnoteReference w:id="586"/>
      </w:r>
      <w:r w:rsidRPr="00E8358C">
        <w:t xml:space="preserve">. </w:t>
      </w:r>
    </w:p>
    <w:p w:rsidR="004C50DC" w:rsidRPr="00E8358C" w:rsidRDefault="004C50DC" w:rsidP="004C50DC">
      <w:pPr>
        <w:spacing w:before="120" w:after="120"/>
        <w:jc w:val="both"/>
      </w:pPr>
      <w:r w:rsidRPr="00E8358C">
        <w:t>Vertières est la base de la construction de la nation haïtienne. C’est le symbole parfait d’une mémoire qui charrie souffrance et fierté. Lyonel Trouillot n’est pas moins critique dans sa déclaration : « Vertières est le bout du tunnel de l’horreur, le dernier face-à-face entre le racisme colonial et la réalisation concrète du principe de l’égalité des races et de la liberté universelle</w:t>
      </w:r>
      <w:r>
        <w:t> </w:t>
      </w:r>
      <w:r w:rsidRPr="00E8358C">
        <w:t> »</w:t>
      </w:r>
      <w:r w:rsidRPr="00E8358C">
        <w:rPr>
          <w:rStyle w:val="Appelnotedebasdep"/>
        </w:rPr>
        <w:footnoteReference w:id="587"/>
      </w:r>
      <w:r w:rsidRPr="00E8358C">
        <w:t>. Apollon, 24 ans, ét</w:t>
      </w:r>
      <w:r w:rsidRPr="00E8358C">
        <w:t>u</w:t>
      </w:r>
      <w:r w:rsidRPr="00E8358C">
        <w:t>diant en gestion à l’Université Notre Dame (ville du Cap-Haïtien) so</w:t>
      </w:r>
      <w:r w:rsidRPr="00E8358C">
        <w:t>u</w:t>
      </w:r>
      <w:r w:rsidRPr="00E8358C">
        <w:t>ligne que « Vertières est le lieu de mémoire le plus significatif qui couronne la mémoire glorieuse haïtienne » (Apollon, entrevue, 18 n</w:t>
      </w:r>
      <w:r w:rsidRPr="00E8358C">
        <w:t>o</w:t>
      </w:r>
      <w:r w:rsidRPr="00E8358C">
        <w:t>vembre 2013).</w:t>
      </w:r>
    </w:p>
    <w:p w:rsidR="004C50DC" w:rsidRDefault="004C50DC" w:rsidP="004C50DC">
      <w:pPr>
        <w:spacing w:before="120" w:after="120"/>
        <w:jc w:val="both"/>
      </w:pPr>
      <w:r>
        <w:t>[211]</w:t>
      </w:r>
    </w:p>
    <w:p w:rsidR="004C50DC" w:rsidRPr="00E8358C" w:rsidRDefault="004C50DC" w:rsidP="004C50DC">
      <w:pPr>
        <w:spacing w:before="120" w:after="120"/>
        <w:jc w:val="both"/>
      </w:pPr>
      <w:r w:rsidRPr="00E8358C">
        <w:t>Ce lieu est la consécration mémorielle de longues luttes pour la l</w:t>
      </w:r>
      <w:r w:rsidRPr="00E8358C">
        <w:t>i</w:t>
      </w:r>
      <w:r w:rsidRPr="00E8358C">
        <w:t xml:space="preserve">berté. Le monument de Vertières est l’un des sites historiques les plus visités en Haïti. </w:t>
      </w:r>
    </w:p>
    <w:p w:rsidR="004C50DC" w:rsidRPr="00E8358C" w:rsidRDefault="009B614B" w:rsidP="004C50DC">
      <w:pPr>
        <w:pStyle w:val="fig"/>
      </w:pPr>
      <w:r w:rsidRPr="00E8358C">
        <w:rPr>
          <w:noProof/>
          <w:lang w:eastAsia="fr-FR"/>
        </w:rPr>
        <w:drawing>
          <wp:inline distT="0" distB="0" distL="0" distR="0">
            <wp:extent cx="3872865" cy="2098040"/>
            <wp:effectExtent l="25400" t="25400" r="13335" b="10160"/>
            <wp:docPr id="21" name="Image 23" descr="haiti-bataille-de-verti%C3%A8r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descr="haiti-bataille-de-verti%C3%A8res"/>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2865" cy="209804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43" w:name="_Toc417146060"/>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44" w:name="Memoire_fig_15"/>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15</w:t>
      </w:r>
      <w:r w:rsidRPr="00E95DCE">
        <w:fldChar w:fldCharType="end"/>
      </w:r>
      <w:r w:rsidRPr="00E95DCE">
        <w:t>: « Les Héros de Vertières » au Cap-Haïtien</w:t>
      </w:r>
      <w:bookmarkEnd w:id="243"/>
      <w:r>
        <w:t>.</w:t>
      </w:r>
      <w:r>
        <w:br/>
      </w:r>
      <w:r w:rsidRPr="00E8358C">
        <w:rPr>
          <w:szCs w:val="18"/>
        </w:rPr>
        <w:t>Photographie : Jean-Simon Legault St-Amour</w:t>
      </w:r>
      <w:r>
        <w:rPr>
          <w:szCs w:val="18"/>
        </w:rPr>
        <w:t>.</w:t>
      </w:r>
      <w:r>
        <w:rPr>
          <w:i w:val="0"/>
          <w:szCs w:val="18"/>
        </w:rPr>
        <w:t> </w:t>
      </w:r>
      <w:r>
        <w:rPr>
          <w:rStyle w:val="Appelnotedebasdep"/>
          <w:i w:val="0"/>
          <w:szCs w:val="18"/>
        </w:rPr>
        <w:footnoteReference w:id="588"/>
      </w:r>
    </w:p>
    <w:bookmarkEnd w:id="244"/>
    <w:p w:rsidR="004C50DC" w:rsidRDefault="004C50DC" w:rsidP="004C50DC">
      <w:pPr>
        <w:spacing w:before="120" w:after="120"/>
        <w:jc w:val="both"/>
      </w:pPr>
    </w:p>
    <w:p w:rsidR="004C50DC" w:rsidRPr="00E8358C" w:rsidRDefault="004C50DC" w:rsidP="004C50DC">
      <w:pPr>
        <w:spacing w:before="120" w:after="120"/>
        <w:jc w:val="both"/>
      </w:pPr>
      <w:r w:rsidRPr="00E8358C">
        <w:t>Dans les lieux de mise en exposition des collections sur l’esclavage, la mémoire officielle héroïque est davantage représentée. Une seule visite au MUPANAH, au Musée d’Art haïtien, au Champ-de-Mars, peut certifier notre constat. D’un côté, la mémoire de l’esclavage qui est naturellement intégrée à la construction historique d’Haïti et de l’humanité dont il faut se souvenir, et de l’autre la m</w:t>
      </w:r>
      <w:r w:rsidRPr="00E8358C">
        <w:t>é</w:t>
      </w:r>
      <w:r w:rsidRPr="00E8358C">
        <w:t xml:space="preserve">moire victorieuse qui s’impose et qu’il convient de brandir à tout moment au travers des héros de l’Indépendance. </w:t>
      </w:r>
    </w:p>
    <w:p w:rsidR="004C50DC" w:rsidRPr="00E8358C" w:rsidRDefault="004C50DC" w:rsidP="004C50DC">
      <w:pPr>
        <w:spacing w:before="120" w:after="120"/>
        <w:jc w:val="both"/>
      </w:pPr>
      <w:r w:rsidRPr="00E8358C">
        <w:t>Les avis sur la représentation des mémoires de l’esclavage dans l’espace public haïtien alimentent le moulin des interrogations. L’ensemble des questions soulevées par Pedro, 43 ans, professeur d’histoire au Cap-Haïtien, montre dans ses propos une telle préocc</w:t>
      </w:r>
      <w:r w:rsidRPr="00E8358C">
        <w:t>u</w:t>
      </w:r>
      <w:r w:rsidRPr="00E8358C">
        <w:t xml:space="preserve">pation : </w:t>
      </w:r>
    </w:p>
    <w:p w:rsidR="004C50DC" w:rsidRDefault="004C50DC" w:rsidP="004C50DC">
      <w:pPr>
        <w:pStyle w:val="Citation0"/>
      </w:pPr>
    </w:p>
    <w:p w:rsidR="004C50DC" w:rsidRPr="00E8358C" w:rsidRDefault="004C50DC" w:rsidP="004C50DC">
      <w:pPr>
        <w:pStyle w:val="Citation0"/>
      </w:pPr>
      <w:r w:rsidRPr="00E8358C">
        <w:t>Resterons-nous toujours esclaves des discours officiels sur le passé alors que les lieux et monuments qui servent de cadres à notre fierté sont en p</w:t>
      </w:r>
      <w:r w:rsidRPr="00E8358C">
        <w:t>é</w:t>
      </w:r>
      <w:r w:rsidRPr="00E8358C">
        <w:t>ril ? L’utilisation de la mémoire se fera-t-elle toujours de manière sélective  dans les musées ? Peut-on parler de fierté quand on sait que l’Acte de l’indépendance du pays, principale pièce justificat</w:t>
      </w:r>
      <w:r w:rsidRPr="00E8358C">
        <w:t>i</w:t>
      </w:r>
      <w:r w:rsidRPr="00E8358C">
        <w:t>ve de la naissance de la République d’Haïti se trouve hors du pays, au British Museum ? Est-ce une absence de conscience patrimoniale ou une  méconnaissance de son importance ?</w:t>
      </w:r>
    </w:p>
    <w:p w:rsidR="004C50DC" w:rsidRPr="00E8358C" w:rsidRDefault="004C50DC" w:rsidP="004C50DC">
      <w:pPr>
        <w:pStyle w:val="Citation0c"/>
      </w:pPr>
      <w:r w:rsidRPr="00E8358C">
        <w:t>(Pedro, entrevue, 18 novembre 2013)</w:t>
      </w:r>
    </w:p>
    <w:p w:rsidR="004C50DC" w:rsidRDefault="004C50DC" w:rsidP="004C50DC">
      <w:pPr>
        <w:pStyle w:val="Citation0"/>
      </w:pPr>
    </w:p>
    <w:p w:rsidR="004C50DC" w:rsidRPr="00E8358C" w:rsidRDefault="004C50DC" w:rsidP="004C50DC">
      <w:pPr>
        <w:spacing w:before="120" w:after="120"/>
        <w:jc w:val="both"/>
      </w:pPr>
      <w:r>
        <w:t>[212]</w:t>
      </w:r>
    </w:p>
    <w:p w:rsidR="004C50DC" w:rsidRPr="00E8358C" w:rsidRDefault="004C50DC" w:rsidP="004C50DC">
      <w:pPr>
        <w:spacing w:before="120" w:after="120"/>
        <w:jc w:val="both"/>
      </w:pPr>
      <w:r w:rsidRPr="00E8358C">
        <w:t>Le 1</w:t>
      </w:r>
      <w:r w:rsidRPr="00E8358C">
        <w:rPr>
          <w:vertAlign w:val="superscript"/>
        </w:rPr>
        <w:t>er</w:t>
      </w:r>
      <w:r w:rsidRPr="00E8358C">
        <w:t xml:space="preserve"> avril 2010, l’Université Duke de Durham, en Caroline du Nord, a annoncé que Julia Garfield, étudiante à l’époque, a retrouvé par hasard en février de la même année « le seul exemplaire imprimé de l’acte de l’Indépendance d’Haïti dans les Archives nationales br</w:t>
      </w:r>
      <w:r w:rsidRPr="00E8358C">
        <w:t>i</w:t>
      </w:r>
      <w:r w:rsidRPr="00E8358C">
        <w:t>tanniques à Londres ». Cette nouvelle a retenti dans les médias ha</w:t>
      </w:r>
      <w:r w:rsidRPr="00E8358C">
        <w:t>ï</w:t>
      </w:r>
      <w:r w:rsidRPr="00E8358C">
        <w:t xml:space="preserve">tiens et vient confirmer la réponse que Thomas Madiou avait donné dans le journal </w:t>
      </w:r>
      <w:r w:rsidRPr="00E8358C">
        <w:rPr>
          <w:i/>
        </w:rPr>
        <w:t>Le Moment</w:t>
      </w:r>
      <w:r w:rsidRPr="00E8358C">
        <w:t>, en 1903, à la veille de la célébration du centenaire de l’Indépendance : « Madiou avait avancé avec détermin</w:t>
      </w:r>
      <w:r w:rsidRPr="00E8358C">
        <w:t>a</w:t>
      </w:r>
      <w:r w:rsidRPr="00E8358C">
        <w:t>tion que la pièce achetée au fort des troubles intérieurs de la seconde moitié du XIX</w:t>
      </w:r>
      <w:r w:rsidRPr="00E8358C">
        <w:rPr>
          <w:vertAlign w:val="superscript"/>
        </w:rPr>
        <w:t>e</w:t>
      </w:r>
      <w:r w:rsidRPr="00E8358C">
        <w:t xml:space="preserve"> siècle à une personne… par M. Byron, alors Consul S.M.B., a été expédiée au British Muséum de Londres… »</w:t>
      </w:r>
      <w:r>
        <w:t> </w:t>
      </w:r>
      <w:r>
        <w:rPr>
          <w:rStyle w:val="Appelnotedebasdep"/>
        </w:rPr>
        <w:footnoteReference w:id="589"/>
      </w:r>
      <w:r w:rsidRPr="00E8358C">
        <w:t>. Le jou</w:t>
      </w:r>
      <w:r w:rsidRPr="00E8358C">
        <w:t>r</w:t>
      </w:r>
      <w:r w:rsidRPr="00E8358C">
        <w:t xml:space="preserve">nal </w:t>
      </w:r>
      <w:r w:rsidRPr="00E8358C">
        <w:rPr>
          <w:i/>
        </w:rPr>
        <w:t>Le Soir</w:t>
      </w:r>
      <w:r w:rsidRPr="00E8358C">
        <w:t>, dans son numéro 212, a été le premier à demander : « où se trouve l’acte de l’indépendance d’Haïti ? »</w:t>
      </w:r>
      <w:r>
        <w:t> </w:t>
      </w:r>
      <w:r>
        <w:rPr>
          <w:rStyle w:val="Appelnotedebasdep"/>
        </w:rPr>
        <w:footnoteReference w:id="590"/>
      </w:r>
    </w:p>
    <w:p w:rsidR="004C50DC" w:rsidRPr="00E8358C" w:rsidRDefault="004C50DC" w:rsidP="004C50DC">
      <w:pPr>
        <w:spacing w:before="120" w:after="120"/>
        <w:jc w:val="both"/>
      </w:pPr>
      <w:r w:rsidRPr="00E8358C">
        <w:t>Pour Georges Michel, « c’est bon de retrouver une copie manuscr</w:t>
      </w:r>
      <w:r w:rsidRPr="00E8358C">
        <w:t>i</w:t>
      </w:r>
      <w:r w:rsidRPr="00E8358C">
        <w:t>te originale de l’acte de l’indépendance d’Haïti au British Museum, à Londres… [mais on] ne sait pas ce qu’il est advenu du manuscrit, c</w:t>
      </w:r>
      <w:r w:rsidRPr="00E8358C">
        <w:t>e</w:t>
      </w:r>
      <w:r w:rsidRPr="00E8358C">
        <w:t>lui signé aux Gonaïves, dans la maison appartenant à Geffrard mise à la disposition de Dessalines et des dignitaires de l’époque »</w:t>
      </w:r>
      <w:r>
        <w:t> </w:t>
      </w:r>
      <w:r>
        <w:rPr>
          <w:rStyle w:val="Appelnotedebasdep"/>
        </w:rPr>
        <w:footnoteReference w:id="591"/>
      </w:r>
      <w:r w:rsidRPr="00E8358C">
        <w:t>. « On ne sait pas où se trouve ce manuscrit jusqu'à présent », rapporte aussi Wilfrid Bertrand, le directeur général des Archives nationales</w:t>
      </w:r>
      <w:r>
        <w:t> </w:t>
      </w:r>
      <w:r>
        <w:rPr>
          <w:rStyle w:val="Appelnotedebasdep"/>
        </w:rPr>
        <w:footnoteReference w:id="592"/>
      </w:r>
      <w:r w:rsidRPr="00E8358C">
        <w:t>.</w:t>
      </w:r>
    </w:p>
    <w:p w:rsidR="004C50DC" w:rsidRPr="00E8358C" w:rsidRDefault="004C50DC" w:rsidP="004C50DC">
      <w:pPr>
        <w:spacing w:before="120" w:after="120"/>
        <w:jc w:val="both"/>
        <w:rPr>
          <w:lang w:eastAsia="ja-JP"/>
        </w:rPr>
      </w:pPr>
      <w:r w:rsidRPr="00E8358C">
        <w:rPr>
          <w:lang w:eastAsia="ja-JP"/>
        </w:rPr>
        <w:t>Si l’on veut étoffer des collections de musées, il est intéressant de faire des recherches pour voir tout ce qui aurait survécu. Il serait e</w:t>
      </w:r>
      <w:r w:rsidRPr="00E8358C">
        <w:rPr>
          <w:lang w:eastAsia="ja-JP"/>
        </w:rPr>
        <w:t>n</w:t>
      </w:r>
      <w:r w:rsidRPr="00E8358C">
        <w:rPr>
          <w:lang w:eastAsia="ja-JP"/>
        </w:rPr>
        <w:t>thousiasmant de retrouver des documents d’archives, des outils agr</w:t>
      </w:r>
      <w:r w:rsidRPr="00E8358C">
        <w:rPr>
          <w:lang w:eastAsia="ja-JP"/>
        </w:rPr>
        <w:t>i</w:t>
      </w:r>
      <w:r w:rsidRPr="00E8358C">
        <w:rPr>
          <w:lang w:eastAsia="ja-JP"/>
        </w:rPr>
        <w:t>coles (charriots, chaudières, machettes…), des instruments de mus</w:t>
      </w:r>
      <w:r w:rsidRPr="00E8358C">
        <w:rPr>
          <w:lang w:eastAsia="ja-JP"/>
        </w:rPr>
        <w:t>i</w:t>
      </w:r>
      <w:r w:rsidRPr="00E8358C">
        <w:rPr>
          <w:lang w:eastAsia="ja-JP"/>
        </w:rPr>
        <w:t>que (tambours, coques de lambi …), d’inventorier des pratiques cult</w:t>
      </w:r>
      <w:r w:rsidRPr="00E8358C">
        <w:rPr>
          <w:lang w:eastAsia="ja-JP"/>
        </w:rPr>
        <w:t>u</w:t>
      </w:r>
      <w:r w:rsidRPr="00E8358C">
        <w:rPr>
          <w:lang w:eastAsia="ja-JP"/>
        </w:rPr>
        <w:t>relles (chants, danses, bijoux, reconstitution de vêtements …) pour compléter le discours sur la mémoire de l’esclavage en Haïti. C’est un travail à la fois ethnographique et historique. Il faut aussi interpréter les gravures.</w:t>
      </w:r>
    </w:p>
    <w:p w:rsidR="004C50DC" w:rsidRDefault="004C50DC" w:rsidP="004C50DC">
      <w:pPr>
        <w:spacing w:before="120" w:after="120"/>
        <w:jc w:val="both"/>
      </w:pPr>
      <w:r w:rsidRPr="00E8358C">
        <w:t>Même les plus instruits des Haïtiens se demandent parfois  pou</w:t>
      </w:r>
      <w:r w:rsidRPr="00E8358C">
        <w:t>r</w:t>
      </w:r>
      <w:r w:rsidRPr="00E8358C">
        <w:t>quoi il faut qu’on leur parle</w:t>
      </w:r>
      <w:r>
        <w:t xml:space="preserve"> [213]</w:t>
      </w:r>
      <w:r w:rsidRPr="00E8358C">
        <w:t xml:space="preserve"> du passé colonial esclavagiste. Quelle est l’importance de cette mémoire ? Est-ce que Haïti doit s’endetter davantage pour conserver ces lieux et ces mémoires ? N’y a-t-il pas d’autres préoccupations plus importantes face à la souffrance du peuple ? Le syndrome du « présentisme tendu » trouve son territo</w:t>
      </w:r>
      <w:r w:rsidRPr="00E8358C">
        <w:t>i</w:t>
      </w:r>
      <w:r w:rsidRPr="00E8358C">
        <w:t xml:space="preserve">re d’application en Haïti. </w:t>
      </w:r>
    </w:p>
    <w:p w:rsidR="004C50DC" w:rsidRPr="00E8358C" w:rsidRDefault="004C50DC" w:rsidP="004C50DC">
      <w:pPr>
        <w:spacing w:before="120" w:after="120"/>
        <w:jc w:val="both"/>
      </w:pPr>
      <w:r>
        <w:br w:type="page"/>
      </w:r>
    </w:p>
    <w:p w:rsidR="004C50DC" w:rsidRPr="00E8358C" w:rsidRDefault="004C50DC" w:rsidP="004C50DC">
      <w:pPr>
        <w:pStyle w:val="planche"/>
      </w:pPr>
      <w:bookmarkStart w:id="245" w:name="_Toc406489700"/>
      <w:bookmarkStart w:id="246" w:name="_Toc423347322"/>
      <w:bookmarkStart w:id="247" w:name="_Toc442280501"/>
      <w:bookmarkStart w:id="248" w:name="Memoire_chap_IV_4"/>
      <w:r>
        <w:t>4.4. Euphémisme</w:t>
      </w:r>
      <w:r>
        <w:br/>
      </w:r>
      <w:r w:rsidRPr="00E8358C">
        <w:t>ou réelle question de couleur</w:t>
      </w:r>
      <w:bookmarkEnd w:id="245"/>
      <w:bookmarkEnd w:id="246"/>
      <w:bookmarkEnd w:id="247"/>
    </w:p>
    <w:bookmarkEnd w:id="248"/>
    <w:p w:rsidR="004C50DC" w:rsidRPr="00E8358C" w:rsidRDefault="004C50DC" w:rsidP="004C50DC">
      <w:pPr>
        <w:spacing w:before="120" w:after="120"/>
        <w:jc w:val="both"/>
        <w:rPr>
          <w:lang w:eastAsia="en-CA"/>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Le préjugé de couleur a été la base du colonialisme français. Une échelle de couleurs avait même été constituée. Au sommet se trouvait le Blanc, et tout de suite après les différents groupes issus du métiss</w:t>
      </w:r>
      <w:r w:rsidRPr="00E8358C">
        <w:t>a</w:t>
      </w:r>
      <w:r w:rsidRPr="00E8358C">
        <w:t>ge de couleur, appelés souvent sang-mêlé (quarteron</w:t>
      </w:r>
      <w:r>
        <w:t> </w:t>
      </w:r>
      <w:r w:rsidRPr="00E8358C">
        <w:rPr>
          <w:rStyle w:val="Appelnotedebasdep"/>
        </w:rPr>
        <w:footnoteReference w:id="593"/>
      </w:r>
      <w:r w:rsidRPr="00E8358C">
        <w:t>, mulâtre</w:t>
      </w:r>
      <w:r>
        <w:t> </w:t>
      </w:r>
      <w:r w:rsidRPr="00E8358C">
        <w:rPr>
          <w:rStyle w:val="Appelnotedebasdep"/>
        </w:rPr>
        <w:footnoteReference w:id="594"/>
      </w:r>
      <w:r w:rsidRPr="00E8358C">
        <w:t>), et au bas de l’échelle sociale les esclaves noirs qui constituaient le pilier de la colonie. Le classement de supériorité épidermique instaurait des barrières sociales entre les groupes, tandis que la violence physique permettait de maintenir les esclaves noirs dans des conditions inh</w:t>
      </w:r>
      <w:r w:rsidRPr="00E8358C">
        <w:t>u</w:t>
      </w:r>
      <w:r w:rsidRPr="00E8358C">
        <w:t xml:space="preserve">maines. À Saint-Domingue, les privilèges étaient accordés suivant la couleur de la peau. Le plus privilégié fut le blanc. </w:t>
      </w:r>
    </w:p>
    <w:p w:rsidR="004C50DC" w:rsidRPr="00E8358C" w:rsidRDefault="004C50DC" w:rsidP="004C50DC">
      <w:pPr>
        <w:spacing w:before="120" w:after="120"/>
        <w:jc w:val="both"/>
      </w:pPr>
      <w:r w:rsidRPr="00E8358C">
        <w:t>L’historien haïtien Wesner Emmanuel signale que « les éléments sang-mêlé, les hommes de couleur en général, demeuraient exposés au mépris public et à toutes les insultes qu’il eut plu à la première figure blanche de leur faire éprouver […]</w:t>
      </w:r>
      <w:r>
        <w:t> </w:t>
      </w:r>
      <w:r>
        <w:rPr>
          <w:rStyle w:val="Appelnotedebasdep"/>
        </w:rPr>
        <w:footnoteReference w:id="595"/>
      </w:r>
      <w:r w:rsidRPr="00E8358C">
        <w:t> ». Cette situation avait révolté Ogé et Chavannes, devant le mépris politique des colons blancs. En conséquence, les deux hommes de couleur, à l’issue d’un procès in</w:t>
      </w:r>
      <w:r w:rsidRPr="00E8358C">
        <w:t>i</w:t>
      </w:r>
      <w:r w:rsidRPr="00E8358C">
        <w:t>que, avaient été condamnés au supplice de la roue et exécutés par les Blancs sur la Place d’Armes du Cap, le 25 février 1791</w:t>
      </w:r>
      <w:r>
        <w:t> </w:t>
      </w:r>
      <w:r>
        <w:rPr>
          <w:rStyle w:val="Appelnotedebasdep"/>
        </w:rPr>
        <w:footnoteReference w:id="596"/>
      </w:r>
      <w:r w:rsidRPr="00E8358C">
        <w:t>. Cette exéc</w:t>
      </w:r>
      <w:r w:rsidRPr="00E8358C">
        <w:t>u</w:t>
      </w:r>
      <w:r w:rsidRPr="00E8358C">
        <w:t>tion abjecte semble avoir été le geste qui a poussé les hommes de co</w:t>
      </w:r>
      <w:r w:rsidRPr="00E8358C">
        <w:t>u</w:t>
      </w:r>
      <w:r w:rsidRPr="00E8358C">
        <w:t>leur à se rallier au camp des révolutionnaires noirs pour la libér</w:t>
      </w:r>
      <w:r w:rsidRPr="00E8358C">
        <w:t>a</w:t>
      </w:r>
      <w:r w:rsidRPr="00E8358C">
        <w:t>tion d’Haïti. Il fallait concentrer les forces pour échapper aux mult</w:t>
      </w:r>
      <w:r w:rsidRPr="00E8358C">
        <w:t>i</w:t>
      </w:r>
      <w:r w:rsidRPr="00E8358C">
        <w:t xml:space="preserve">ples crimes et tortures orchestrés par le régime colonial. Cependant, au lendemain de la proclamation de l’Indépendance, les </w:t>
      </w:r>
      <w:r>
        <w:t xml:space="preserve">[214] </w:t>
      </w:r>
      <w:r w:rsidRPr="00E8358C">
        <w:t>mul</w:t>
      </w:r>
      <w:r w:rsidRPr="00E8358C">
        <w:t>â</w:t>
      </w:r>
      <w:r w:rsidRPr="00E8358C">
        <w:t>tres, anciens libres, se revendiquaient les bénéficiaires légitimes des priv</w:t>
      </w:r>
      <w:r w:rsidRPr="00E8358C">
        <w:t>i</w:t>
      </w:r>
      <w:r w:rsidRPr="00E8358C">
        <w:t>lèges de leurs pères blancs. Jean-Jacques Dessalines avait co</w:t>
      </w:r>
      <w:r w:rsidRPr="00E8358C">
        <w:t>m</w:t>
      </w:r>
      <w:r w:rsidRPr="00E8358C">
        <w:t>pris la situation et voulait s’opposer à tout accaparement des terres et des r</w:t>
      </w:r>
      <w:r w:rsidRPr="00E8358C">
        <w:t>i</w:t>
      </w:r>
      <w:r w:rsidRPr="00E8358C">
        <w:t xml:space="preserve">chesses laissées par les colons. Dans son discours historique de 1805, il a déclaré :  </w:t>
      </w:r>
    </w:p>
    <w:p w:rsidR="004C50DC" w:rsidRDefault="004C50DC" w:rsidP="004C50DC">
      <w:pPr>
        <w:pStyle w:val="Citation0"/>
      </w:pPr>
    </w:p>
    <w:p w:rsidR="004C50DC" w:rsidRDefault="004C50DC" w:rsidP="004C50DC">
      <w:pPr>
        <w:pStyle w:val="Citation0"/>
      </w:pPr>
      <w:r w:rsidRPr="00E8358C">
        <w:t>Avant la prise d’armes contre Leclerc, les hommes de couleur, fils de blancs, ne recueillent point les successions de leurs pères, comment se fait-il que, depuis que nous avons chassé les colons, leurs enfants récl</w:t>
      </w:r>
      <w:r w:rsidRPr="00E8358C">
        <w:t>a</w:t>
      </w:r>
      <w:r w:rsidRPr="00E8358C">
        <w:t>ment leurs biens ? Les Noirs dont les pères sont en Afrique n’auront donc rien ; […] d’après vos rapports de complaisance, les Vastey, les Blanchet, auront pris en possession des biens de l’État, des fils de colons au préjud</w:t>
      </w:r>
      <w:r w:rsidRPr="00E8358C">
        <w:t>i</w:t>
      </w:r>
      <w:r w:rsidRPr="00E8358C">
        <w:t>ce de pauvres noirs. Prenez garde à vous, n</w:t>
      </w:r>
      <w:r w:rsidRPr="00E8358C">
        <w:t>è</w:t>
      </w:r>
      <w:r w:rsidRPr="00E8358C">
        <w:t>gres et mulâtres, nous avons tous combattu contre les blancs, les biens que nous avons conquis en ve</w:t>
      </w:r>
      <w:r w:rsidRPr="00E8358C">
        <w:t>r</w:t>
      </w:r>
      <w:r w:rsidRPr="00E8358C">
        <w:t>sant notre sang appartiennent à nous tous ; j’entends qu’ils soient partagés avec équité</w:t>
      </w:r>
      <w:r>
        <w:t> </w:t>
      </w:r>
      <w:r>
        <w:rPr>
          <w:rStyle w:val="Appelnotedebasdep"/>
        </w:rPr>
        <w:footnoteReference w:id="597"/>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Dessalines était persuadé que les mulâtres s’étaient alliés aux Noirs esclaves, dans la cause de la libération nationale, uniquement pour se débarrasser de leurs pères blancs. Le ralliement était stratégique et astucieux. Il représentait alors le seul moyen qui s’offrait aux affra</w:t>
      </w:r>
      <w:r w:rsidRPr="00E8358C">
        <w:t>n</w:t>
      </w:r>
      <w:r w:rsidRPr="00E8358C">
        <w:t>chis mulâtres qui entendaient maintenir les anciens esclaves noirs dans les conditions de l’esclavage, une fois les colons partis, dans une sorte de conclusion spontanée de tirer le maximum de profit de leurs luttes. Et comment ? Par le remplacement de ceux qu’ils avaient co</w:t>
      </w:r>
      <w:r w:rsidRPr="00E8358C">
        <w:t>m</w:t>
      </w:r>
      <w:r w:rsidRPr="00E8358C">
        <w:t>battus. Le professeur RenéA. Saint-Louis mentionne que les princ</w:t>
      </w:r>
      <w:r w:rsidRPr="00E8358C">
        <w:t>i</w:t>
      </w:r>
      <w:r w:rsidRPr="00E8358C">
        <w:t>paux moyens de production passaient entre les mains des mulâtres ; ils partageaient les idées des Blancs et avaient les mêmes comportements qu’eux. Ils s’opposaient aux masses noires. Ce « phénomène de m</w:t>
      </w:r>
      <w:r w:rsidRPr="00E8358C">
        <w:t>i</w:t>
      </w:r>
      <w:r w:rsidRPr="00E8358C">
        <w:t>métisme »est présent dans toutes les sociétés des anciennes col</w:t>
      </w:r>
      <w:r w:rsidRPr="00E8358C">
        <w:t>o</w:t>
      </w:r>
      <w:r w:rsidRPr="00E8358C">
        <w:t>nies</w:t>
      </w:r>
      <w:r>
        <w:t> </w:t>
      </w:r>
      <w:r>
        <w:rPr>
          <w:rStyle w:val="Appelnotedebasdep"/>
        </w:rPr>
        <w:footnoteReference w:id="598"/>
      </w:r>
      <w:r w:rsidRPr="00E8358C">
        <w:t>. Leslie Péan, analysant la position idéologique des mulâtres, mentio</w:t>
      </w:r>
      <w:r w:rsidRPr="00E8358C">
        <w:t>n</w:t>
      </w:r>
      <w:r w:rsidRPr="00E8358C">
        <w:t>ne qu’</w:t>
      </w:r>
      <w:r w:rsidRPr="00E8358C">
        <w:rPr>
          <w:lang w:eastAsia="en-CA"/>
        </w:rPr>
        <w:t>il existe</w:t>
      </w:r>
    </w:p>
    <w:p w:rsidR="004C50DC" w:rsidRDefault="004C50DC" w:rsidP="004C50DC">
      <w:pPr>
        <w:pStyle w:val="Citation0"/>
      </w:pPr>
    </w:p>
    <w:p w:rsidR="004C50DC" w:rsidRDefault="004C50DC" w:rsidP="004C50DC">
      <w:pPr>
        <w:pStyle w:val="Citation0"/>
        <w:rPr>
          <w:lang w:eastAsia="en-CA"/>
        </w:rPr>
      </w:pPr>
      <w:r w:rsidRPr="00E8358C">
        <w:t>[une]</w:t>
      </w:r>
      <w:r w:rsidRPr="00E8358C">
        <w:rPr>
          <w:lang w:eastAsia="en-CA"/>
        </w:rPr>
        <w:t xml:space="preserve"> dimension cachée de la discrimination mulâtriste au XIX</w:t>
      </w:r>
      <w:r w:rsidRPr="00E8358C">
        <w:rPr>
          <w:vertAlign w:val="superscript"/>
          <w:lang w:eastAsia="en-CA"/>
        </w:rPr>
        <w:t>e</w:t>
      </w:r>
      <w:r w:rsidRPr="00E8358C">
        <w:rPr>
          <w:lang w:eastAsia="en-CA"/>
        </w:rPr>
        <w:t xml:space="preserve"> siècle en montrant que si elle utilisait des apparences de répulsion physique du ph</w:t>
      </w:r>
      <w:r w:rsidRPr="00E8358C">
        <w:rPr>
          <w:lang w:eastAsia="en-CA"/>
        </w:rPr>
        <w:t>é</w:t>
      </w:r>
      <w:r w:rsidRPr="00E8358C">
        <w:rPr>
          <w:lang w:eastAsia="en-CA"/>
        </w:rPr>
        <w:t>notype noir, il s'agissait en réalité de masquer la pol</w:t>
      </w:r>
      <w:r w:rsidRPr="00E8358C">
        <w:rPr>
          <w:lang w:eastAsia="en-CA"/>
        </w:rPr>
        <w:t>i</w:t>
      </w:r>
      <w:r w:rsidRPr="00E8358C">
        <w:rPr>
          <w:lang w:eastAsia="en-CA"/>
        </w:rPr>
        <w:t>tique d’exclusion des Noirs des hauts lieux de la finance afin qu’ils ne bénéficient pas des pr</w:t>
      </w:r>
      <w:r w:rsidRPr="00E8358C">
        <w:rPr>
          <w:lang w:eastAsia="en-CA"/>
        </w:rPr>
        <w:t>é</w:t>
      </w:r>
      <w:r w:rsidRPr="00E8358C">
        <w:rPr>
          <w:lang w:eastAsia="en-CA"/>
        </w:rPr>
        <w:t>bendes et autres avantages financiers comme ceux qui résulteront des 3,5 millions de dollars qui seront séparés entre corrupteurs et corrompus e</w:t>
      </w:r>
      <w:r w:rsidRPr="00E8358C">
        <w:rPr>
          <w:lang w:eastAsia="en-CA"/>
        </w:rPr>
        <w:t>n</w:t>
      </w:r>
      <w:r w:rsidRPr="00E8358C">
        <w:rPr>
          <w:lang w:eastAsia="en-CA"/>
        </w:rPr>
        <w:t>gagés dans l’affaire de la Consolid</w:t>
      </w:r>
      <w:r w:rsidRPr="00E8358C">
        <w:rPr>
          <w:lang w:eastAsia="en-CA"/>
        </w:rPr>
        <w:t>a</w:t>
      </w:r>
      <w:r w:rsidRPr="00E8358C">
        <w:rPr>
          <w:lang w:eastAsia="en-CA"/>
        </w:rPr>
        <w:t>tion entre 1892 et 1901</w:t>
      </w:r>
      <w:r>
        <w:rPr>
          <w:lang w:eastAsia="en-CA"/>
        </w:rPr>
        <w:t> </w:t>
      </w:r>
      <w:r>
        <w:rPr>
          <w:rStyle w:val="Appelnotedebasdep"/>
          <w:lang w:eastAsia="en-CA"/>
        </w:rPr>
        <w:footnoteReference w:id="599"/>
      </w:r>
      <w:r w:rsidRPr="00E8358C">
        <w:rPr>
          <w:lang w:eastAsia="en-CA"/>
        </w:rPr>
        <w:t xml:space="preserve">. </w:t>
      </w:r>
    </w:p>
    <w:p w:rsidR="004C50DC" w:rsidRDefault="004C50DC" w:rsidP="004C50DC">
      <w:pPr>
        <w:pStyle w:val="Citation0"/>
        <w:rPr>
          <w:lang w:eastAsia="en-CA"/>
        </w:rPr>
      </w:pPr>
    </w:p>
    <w:p w:rsidR="004C50DC" w:rsidRPr="00E8358C" w:rsidRDefault="004C50DC" w:rsidP="004C50DC">
      <w:pPr>
        <w:spacing w:before="120" w:after="120"/>
        <w:jc w:val="both"/>
        <w:rPr>
          <w:lang w:eastAsia="en-CA"/>
        </w:rPr>
      </w:pPr>
      <w:r>
        <w:rPr>
          <w:lang w:eastAsia="en-CA"/>
        </w:rPr>
        <w:t>[215]</w:t>
      </w:r>
    </w:p>
    <w:p w:rsidR="004C50DC" w:rsidRPr="00E8358C" w:rsidRDefault="004C50DC" w:rsidP="004C50DC">
      <w:pPr>
        <w:spacing w:before="120" w:after="120"/>
        <w:jc w:val="both"/>
      </w:pPr>
      <w:r w:rsidRPr="00E8358C">
        <w:t xml:space="preserve">Pour Leslie François Manigat, l’appropriation de la Révolution d’indépendance haïtienne par une « société créole dominante à faciès latino-américain </w:t>
      </w:r>
      <w:r w:rsidRPr="00E8358C">
        <w:rPr>
          <w:i/>
        </w:rPr>
        <w:t>café au lait</w:t>
      </w:r>
      <w:r w:rsidRPr="00E8358C">
        <w:t xml:space="preserve"> est une performance qui a éloigné Haïti de l’image originellement </w:t>
      </w:r>
      <w:r w:rsidRPr="00E8358C">
        <w:rPr>
          <w:i/>
        </w:rPr>
        <w:t>indigéniste</w:t>
      </w:r>
      <w:r w:rsidRPr="00E8358C">
        <w:t xml:space="preserve"> de l’Armée des guerres d’indépendance, </w:t>
      </w:r>
      <w:r w:rsidRPr="00E8358C">
        <w:rPr>
          <w:i/>
        </w:rPr>
        <w:t>Armée indigène</w:t>
      </w:r>
      <w:r w:rsidRPr="00E8358C">
        <w:t xml:space="preserve"> dans la définition dessalinienne ju</w:t>
      </w:r>
      <w:r w:rsidRPr="00E8358C">
        <w:t>s</w:t>
      </w:r>
      <w:r w:rsidRPr="00E8358C">
        <w:t>qu’à l’assassinat régicide du Fondateur »</w:t>
      </w:r>
      <w:r>
        <w:t> </w:t>
      </w:r>
      <w:r>
        <w:rPr>
          <w:rStyle w:val="Appelnotedebasdep"/>
        </w:rPr>
        <w:footnoteReference w:id="600"/>
      </w:r>
      <w:r w:rsidRPr="00E8358C">
        <w:t>.</w:t>
      </w:r>
    </w:p>
    <w:p w:rsidR="004C50DC" w:rsidRPr="00E8358C" w:rsidRDefault="004C50DC" w:rsidP="004C50DC">
      <w:pPr>
        <w:spacing w:before="120" w:after="120"/>
        <w:jc w:val="both"/>
      </w:pPr>
      <w:r w:rsidRPr="00E8358C">
        <w:t>La question de couleur fut un élément déterminant de l’histoire p</w:t>
      </w:r>
      <w:r w:rsidRPr="00E8358C">
        <w:t>o</w:t>
      </w:r>
      <w:r w:rsidRPr="00E8358C">
        <w:t>litique, économique et sociale du XIX</w:t>
      </w:r>
      <w:r w:rsidRPr="00E8358C">
        <w:rPr>
          <w:vertAlign w:val="superscript"/>
        </w:rPr>
        <w:t>e</w:t>
      </w:r>
      <w:r w:rsidRPr="00E8358C">
        <w:t xml:space="preserve"> siècle. Les divergences entre les classes sociales alimentaient le préjugé de couleur qui remplaçait les préjugés de race des colons</w:t>
      </w:r>
      <w:r>
        <w:t> </w:t>
      </w:r>
      <w:r>
        <w:rPr>
          <w:rStyle w:val="Appelnotedebasdep"/>
        </w:rPr>
        <w:footnoteReference w:id="601"/>
      </w:r>
      <w:r w:rsidRPr="00E8358C">
        <w:t>. Une lutte de classe allait conduire après l’assassinat de Dessalines à la scission de la République. Un discours de haine fondé sur la couleur nourrissait aussi les actes de répression contre l’élite « mulâtre ». On se rappelle bien le massacre de 4000 hommes de couleur ordonné sous le gouvernement de Lysius Salomon en septembre 1883 pour réprimer l’insurrection bourgeoise de Port-au-Prince. Le président François Duvalier a réactivé le pr</w:t>
      </w:r>
      <w:r w:rsidRPr="00E8358C">
        <w:t>o</w:t>
      </w:r>
      <w:r w:rsidRPr="00E8358C">
        <w:t>blème dans sa forme la plus féroce de son régime ; en témoignent les multiples exécutions et massacres, principalement « les Vêpres de J</w:t>
      </w:r>
      <w:r w:rsidRPr="00E8358C">
        <w:t>é</w:t>
      </w:r>
      <w:r w:rsidRPr="00E8358C">
        <w:t>rémie » le 5 août 1957 par ses agents, civils et militaires, suite à la tentative d’insurrection de treize jeunes mulâtres contre le régime</w:t>
      </w:r>
      <w:r>
        <w:t> </w:t>
      </w:r>
      <w:r>
        <w:rPr>
          <w:rStyle w:val="Appelnotedebasdep"/>
        </w:rPr>
        <w:footnoteReference w:id="602"/>
      </w:r>
      <w:r w:rsidRPr="00E8358C">
        <w:t>. N’était-il pas vrai que le mouvement noiriste qui avait propulsé aussi François Duvalier au pouvoir « était tourné</w:t>
      </w:r>
      <w:r>
        <w:t xml:space="preserve"> [216]</w:t>
      </w:r>
      <w:r w:rsidRPr="00E8358C">
        <w:t xml:space="preserve"> contre la domination des mulâtres sur la vie économique, sociale et politique »</w:t>
      </w:r>
      <w:r>
        <w:t> </w:t>
      </w:r>
      <w:r>
        <w:rPr>
          <w:rStyle w:val="Appelnotedebasdep"/>
        </w:rPr>
        <w:footnoteReference w:id="603"/>
      </w:r>
      <w:r w:rsidRPr="00E8358C">
        <w:t> ?</w:t>
      </w:r>
    </w:p>
    <w:p w:rsidR="004C50DC" w:rsidRPr="00E8358C" w:rsidRDefault="004C50DC" w:rsidP="004C50DC">
      <w:pPr>
        <w:spacing w:before="120" w:after="120"/>
        <w:jc w:val="both"/>
      </w:pPr>
      <w:r w:rsidRPr="00E8358C">
        <w:t>Peut-on réellement considérer les mulâtres comme des descendants légitimes des esclavagistes ? Parce que leurs mères étaient des escl</w:t>
      </w:r>
      <w:r w:rsidRPr="00E8358C">
        <w:t>a</w:t>
      </w:r>
      <w:r w:rsidRPr="00E8358C">
        <w:t>ves noires, parfois de véritables machines à enfanter, sans aucune v</w:t>
      </w:r>
      <w:r w:rsidRPr="00E8358C">
        <w:t>a</w:t>
      </w:r>
      <w:r w:rsidRPr="00E8358C">
        <w:t xml:space="preserve">leur devant les géniteurs blancs, elles n’avaient pas eu, pour la plupart, le temps de développer des rapports maternels avec leurs enfants. D’ailleurs, peu de temps après, les enfants étaient envoyés en majorité en France pour y être instruits tandis que leurs mères restaient à Saint-Domingue sur l’habitation du maître. </w:t>
      </w:r>
    </w:p>
    <w:p w:rsidR="004C50DC" w:rsidRPr="00E8358C" w:rsidRDefault="004C50DC" w:rsidP="004C50DC">
      <w:pPr>
        <w:spacing w:before="120" w:after="120"/>
        <w:jc w:val="both"/>
      </w:pPr>
      <w:r w:rsidRPr="00E8358C">
        <w:t>Faut-il parler aussi de descendants d’esclavagistes qui bénéfici</w:t>
      </w:r>
      <w:r w:rsidRPr="00E8358C">
        <w:t>è</w:t>
      </w:r>
      <w:r w:rsidRPr="00E8358C">
        <w:t xml:space="preserve">rent seuls d’une position dominante en Haïti ? Après l’Indépendance d’Haïti, l’histoire révèle qu’il existe toujours un partage du pouvoir entre les élites noires et mulâtres. De la présidence de Rivière Hérard jusqu’à Faustin Soulouque, durant la période 1843-1859, on parlait de </w:t>
      </w:r>
      <w:r w:rsidRPr="00E8358C">
        <w:rPr>
          <w:i/>
        </w:rPr>
        <w:t>présidence de doublure</w:t>
      </w:r>
      <w:r>
        <w:t> </w:t>
      </w:r>
      <w:r w:rsidRPr="00E8358C">
        <w:rPr>
          <w:rStyle w:val="Appelnotedebasdep"/>
        </w:rPr>
        <w:footnoteReference w:id="604"/>
      </w:r>
      <w:r w:rsidRPr="00E8358C">
        <w:t>. Cette politique portait au pouvoir des prés</w:t>
      </w:r>
      <w:r w:rsidRPr="00E8358C">
        <w:t>i</w:t>
      </w:r>
      <w:r w:rsidRPr="00E8358C">
        <w:t>dents noirs ayant pour « doublures » des présidents mulâtres déte</w:t>
      </w:r>
      <w:r w:rsidRPr="00E8358C">
        <w:t>n</w:t>
      </w:r>
      <w:r w:rsidRPr="00E8358C">
        <w:t>teurs du pouvoir économique, soutenus par des puissances étrangères (France, États-Unis). De 1804 à 1915, sur vingt-six gouvernements qui se sont succédé en Haïti, vingt-cinq étaient des gouvernements militaires dont vingt ont eu à leur tête des Noirs. On ne peut pas fe</w:t>
      </w:r>
      <w:r w:rsidRPr="00E8358C">
        <w:t>r</w:t>
      </w:r>
      <w:r w:rsidRPr="00E8358C">
        <w:t>mer non plus les yeux sur une élite noire majoritaire qui s’est manife</w:t>
      </w:r>
      <w:r w:rsidRPr="00E8358C">
        <w:t>s</w:t>
      </w:r>
      <w:r w:rsidRPr="00E8358C">
        <w:t>tée sous Duvalier et sous les gouvernements d’après. L’élite noire a gouverné le pays à plus de 80%. Chaque fois que cette élite noire était en difficulté sur ses privilèges, elle détournait l’attention sur les mul</w:t>
      </w:r>
      <w:r w:rsidRPr="00E8358C">
        <w:t>â</w:t>
      </w:r>
      <w:r w:rsidRPr="00E8358C">
        <w:t xml:space="preserve">tres. </w:t>
      </w:r>
    </w:p>
    <w:p w:rsidR="004C50DC" w:rsidRPr="00E8358C" w:rsidRDefault="004C50DC" w:rsidP="004C50DC">
      <w:pPr>
        <w:spacing w:before="120" w:after="120"/>
        <w:jc w:val="both"/>
      </w:pPr>
      <w:r w:rsidRPr="00E8358C">
        <w:t>En principe, il existe toujours une collusion entre les deux élites (politiques et économiques) au détriment des intérêts de la nation ha</w:t>
      </w:r>
      <w:r w:rsidRPr="00E8358C">
        <w:t>ï</w:t>
      </w:r>
      <w:r w:rsidRPr="00E8358C">
        <w:t>tienne. L’élite « noire » a maintenu le pouvoir militaro-politique et l’élite « métisse » a plutôt conservé le pouvoir économique. Le po</w:t>
      </w:r>
      <w:r w:rsidRPr="00E8358C">
        <w:t>u</w:t>
      </w:r>
      <w:r w:rsidRPr="00E8358C">
        <w:t>voir intellectuel est partagé entre les deux. L’élite mulâtresse est to</w:t>
      </w:r>
      <w:r w:rsidRPr="00E8358C">
        <w:t>u</w:t>
      </w:r>
      <w:r w:rsidRPr="00E8358C">
        <w:t xml:space="preserve">jours accusée de bourgeoisie compradore, anti-progressiste. Elle est moins présente dans une économie de </w:t>
      </w:r>
      <w:r>
        <w:t xml:space="preserve">[217] </w:t>
      </w:r>
      <w:r w:rsidRPr="00E8358C">
        <w:t>rentabilité et d’investissement. L’élite noire s’est surtout intéressée au pouvoir pol</w:t>
      </w:r>
      <w:r w:rsidRPr="00E8358C">
        <w:t>i</w:t>
      </w:r>
      <w:r w:rsidRPr="00E8358C">
        <w:t>tique. Avec cette élite noire, l’État est devenu non pas une administr</w:t>
      </w:r>
      <w:r w:rsidRPr="00E8358C">
        <w:t>a</w:t>
      </w:r>
      <w:r w:rsidRPr="00E8358C">
        <w:t>tion au service d’un pays, mais une propriété privée, une source d’enrichissement.</w:t>
      </w:r>
    </w:p>
    <w:p w:rsidR="004C50DC" w:rsidRDefault="004C50DC" w:rsidP="004C50DC">
      <w:pPr>
        <w:pStyle w:val="Citation0"/>
        <w:rPr>
          <w:i/>
        </w:rPr>
      </w:pPr>
    </w:p>
    <w:p w:rsidR="004C50DC" w:rsidRDefault="004C50DC" w:rsidP="004C50DC">
      <w:pPr>
        <w:pStyle w:val="Citation0"/>
      </w:pPr>
      <w:r w:rsidRPr="00E8358C">
        <w:rPr>
          <w:i/>
        </w:rPr>
        <w:t xml:space="preserve">Nèg sa se Leta. Li fè sa l pito  </w:t>
      </w:r>
      <w:r w:rsidRPr="00E8358C">
        <w:t>(Cet homme personnifie l’État. Il g</w:t>
      </w:r>
      <w:r w:rsidRPr="00E8358C">
        <w:t>è</w:t>
      </w:r>
      <w:r w:rsidRPr="00E8358C">
        <w:t>re les affaires publiques comme bon lui semble)</w:t>
      </w:r>
      <w:r w:rsidRPr="00E8358C">
        <w:rPr>
          <w:i/>
        </w:rPr>
        <w:t xml:space="preserve">. </w:t>
      </w:r>
      <w:r w:rsidRPr="00E8358C">
        <w:t xml:space="preserve">L’expression </w:t>
      </w:r>
      <w:r w:rsidRPr="00E8358C">
        <w:rPr>
          <w:i/>
        </w:rPr>
        <w:t>Gran nèg se Leta</w:t>
      </w:r>
      <w:r w:rsidRPr="00E8358C">
        <w:t xml:space="preserve">  (L’homme riche est l’État) caractérise la situation de l’élite mulâtresse. </w:t>
      </w:r>
    </w:p>
    <w:p w:rsidR="004C50DC" w:rsidRPr="00E8358C" w:rsidRDefault="004C50DC" w:rsidP="004C50DC">
      <w:pPr>
        <w:pStyle w:val="Citation0"/>
      </w:pPr>
    </w:p>
    <w:p w:rsidR="004C50DC" w:rsidRPr="00E8358C" w:rsidRDefault="004C50DC" w:rsidP="004C50DC">
      <w:pPr>
        <w:spacing w:before="120" w:after="120"/>
        <w:jc w:val="both"/>
      </w:pPr>
      <w:r w:rsidRPr="00E8358C">
        <w:rPr>
          <w:lang w:eastAsia="en-CA"/>
        </w:rPr>
        <w:t>Les empreintes de la corruption sont visibles aussi dans la volonté du président Dumarsais Estimé en 1946 de créer une bourgeoisie noire en face de la bourgeoisie mulâtresse. Pour ce faire, il a eu l’appui de la faction levantine (syro-libanaise). Mais tout s’est fait au prix d’une certaine dilapidation des fonds publics</w:t>
      </w:r>
      <w:r>
        <w:rPr>
          <w:lang w:eastAsia="en-CA"/>
        </w:rPr>
        <w:t> </w:t>
      </w:r>
      <w:r>
        <w:rPr>
          <w:rStyle w:val="Appelnotedebasdep"/>
          <w:lang w:eastAsia="en-CA"/>
        </w:rPr>
        <w:footnoteReference w:id="605"/>
      </w:r>
      <w:r w:rsidRPr="00E8358C">
        <w:rPr>
          <w:lang w:eastAsia="en-CA"/>
        </w:rPr>
        <w:t xml:space="preserve">. </w:t>
      </w:r>
      <w:r w:rsidRPr="00E8358C">
        <w:t>Jusqu’à la dernière moitié du XX</w:t>
      </w:r>
      <w:r w:rsidRPr="00E8358C">
        <w:rPr>
          <w:vertAlign w:val="superscript"/>
        </w:rPr>
        <w:t>e</w:t>
      </w:r>
      <w:r w:rsidRPr="00E8358C">
        <w:t xml:space="preserve"> siècle, la couleur était le principal sujet des discours politiques et sociaux.Leslie Péan souligne :</w:t>
      </w:r>
    </w:p>
    <w:p w:rsidR="004C50DC" w:rsidRDefault="004C50DC" w:rsidP="004C50DC">
      <w:pPr>
        <w:pStyle w:val="Citation0"/>
      </w:pPr>
    </w:p>
    <w:p w:rsidR="004C50DC" w:rsidRDefault="004C50DC" w:rsidP="004C50DC">
      <w:pPr>
        <w:pStyle w:val="Citation0"/>
      </w:pPr>
      <w:r w:rsidRPr="00E8358C">
        <w:t xml:space="preserve">Du </w:t>
      </w:r>
      <w:r w:rsidRPr="00E8358C">
        <w:rPr>
          <w:i/>
        </w:rPr>
        <w:t>mulâtrisme</w:t>
      </w:r>
      <w:r w:rsidRPr="00E8358C">
        <w:t xml:space="preserve"> au </w:t>
      </w:r>
      <w:r w:rsidRPr="00E8358C">
        <w:rPr>
          <w:i/>
        </w:rPr>
        <w:t>noirisme</w:t>
      </w:r>
      <w:r w:rsidRPr="00E8358C">
        <w:t>, le chaos haïtien est borné, en haut par l’élite d’apartheid sans perspective d’avenir et en bas par le populisme de droite et de gauche qui, sous prétexte de défendre les intérêts pop</w:t>
      </w:r>
      <w:r w:rsidRPr="00E8358C">
        <w:t>u</w:t>
      </w:r>
      <w:r w:rsidRPr="00E8358C">
        <w:t>laires, pratique une politique d’enfermement sans perspectives d’avenir également</w:t>
      </w:r>
      <w:r>
        <w:t> </w:t>
      </w:r>
      <w:r>
        <w:rPr>
          <w:rStyle w:val="Appelnotedebasdep"/>
        </w:rPr>
        <w:footnoteReference w:id="606"/>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rPr>
          <w:lang w:eastAsia="ja-JP"/>
        </w:rPr>
        <w:t>Il faut souligner que la difficulté d’intégration en Haïti relativ</w:t>
      </w:r>
      <w:r w:rsidRPr="00E8358C">
        <w:rPr>
          <w:lang w:eastAsia="ja-JP"/>
        </w:rPr>
        <w:t>e</w:t>
      </w:r>
      <w:r w:rsidRPr="00E8358C">
        <w:rPr>
          <w:lang w:eastAsia="ja-JP"/>
        </w:rPr>
        <w:t>ment à la couleur est moins significative aujourd’hui. Toute une lutte a été à la base de cette situation dont héritent les Haïtiens en ce début du XXI</w:t>
      </w:r>
      <w:r w:rsidRPr="00E8358C">
        <w:rPr>
          <w:vertAlign w:val="superscript"/>
          <w:lang w:eastAsia="ja-JP"/>
        </w:rPr>
        <w:t>e</w:t>
      </w:r>
      <w:r w:rsidRPr="00E8358C">
        <w:rPr>
          <w:lang w:eastAsia="ja-JP"/>
        </w:rPr>
        <w:t xml:space="preserve"> siècle. Toutefois, certaines traces des préjugés de couleur c</w:t>
      </w:r>
      <w:r w:rsidRPr="00E8358C">
        <w:rPr>
          <w:lang w:eastAsia="ja-JP"/>
        </w:rPr>
        <w:t>a</w:t>
      </w:r>
      <w:r w:rsidRPr="00E8358C">
        <w:rPr>
          <w:lang w:eastAsia="ja-JP"/>
        </w:rPr>
        <w:t xml:space="preserve">ractérisent encore des clivages économiques et sociaux dans ce pays majoritairement peuplé de Noirs, soit 99% de la population. L’influence du modèle culturel européen alimente aussi le problème de couleur en Haïti. </w:t>
      </w:r>
      <w:r w:rsidRPr="00E8358C">
        <w:rPr>
          <w:lang w:eastAsia="en-CA"/>
        </w:rPr>
        <w:t>Leslie Péan, dans une analyse générale de l’image des Noirs dans la culture occidentale, rapporte :</w:t>
      </w:r>
    </w:p>
    <w:p w:rsidR="004C50DC" w:rsidRPr="00E8358C" w:rsidRDefault="004C50DC" w:rsidP="004C50DC">
      <w:pPr>
        <w:spacing w:before="120" w:after="120"/>
        <w:jc w:val="both"/>
        <w:rPr>
          <w:szCs w:val="22"/>
          <w:lang w:eastAsia="en-CA"/>
        </w:rPr>
      </w:pPr>
      <w:r w:rsidRPr="00E8358C">
        <w:rPr>
          <w:szCs w:val="22"/>
          <w:lang w:eastAsia="en-CA"/>
        </w:rPr>
        <w:t>Au théâtre, dans la peinture, la littérature, le Noir est vilipendé, présenté comme un monstre, laid, inférieur et une bête sexuelle. La répugnance à l’endroit du Noir fait que personne ne veut s’identifier à lui, et dans certains cas, pas même lui-même… La culture est ainsi devenue le plus court chemin pour arriver à débarrasser les Noirs de leurs origines africaines</w:t>
      </w:r>
      <w:r>
        <w:rPr>
          <w:szCs w:val="22"/>
          <w:lang w:eastAsia="en-CA"/>
        </w:rPr>
        <w:t> </w:t>
      </w:r>
      <w:r>
        <w:rPr>
          <w:rStyle w:val="Appelnotedebasdep"/>
          <w:szCs w:val="22"/>
          <w:lang w:eastAsia="en-CA"/>
        </w:rPr>
        <w:footnoteReference w:id="607"/>
      </w:r>
      <w:r w:rsidRPr="00E8358C">
        <w:rPr>
          <w:szCs w:val="22"/>
          <w:lang w:eastAsia="en-CA"/>
        </w:rPr>
        <w:t xml:space="preserve">. </w:t>
      </w:r>
    </w:p>
    <w:p w:rsidR="004C50DC" w:rsidRPr="00E8358C" w:rsidRDefault="004C50DC" w:rsidP="004C50DC">
      <w:pPr>
        <w:spacing w:before="120" w:after="120"/>
        <w:jc w:val="both"/>
      </w:pPr>
      <w:r w:rsidRPr="00E8358C">
        <w:rPr>
          <w:lang w:eastAsia="ja-JP"/>
        </w:rPr>
        <w:t>C’est pourquoi les intellectuels noiristes issus de la classe moyenne haïtienne s’opposaient</w:t>
      </w:r>
      <w:r>
        <w:rPr>
          <w:lang w:eastAsia="ja-JP"/>
        </w:rPr>
        <w:t xml:space="preserve"> [218]</w:t>
      </w:r>
      <w:r w:rsidRPr="00E8358C">
        <w:rPr>
          <w:lang w:eastAsia="ja-JP"/>
        </w:rPr>
        <w:t xml:space="preserve"> à l’idée de « l’acceptation d’une culture et d’une esthétique européennes »</w:t>
      </w:r>
      <w:r>
        <w:rPr>
          <w:lang w:eastAsia="ja-JP"/>
        </w:rPr>
        <w:t> </w:t>
      </w:r>
      <w:r>
        <w:rPr>
          <w:rStyle w:val="Appelnotedebasdep"/>
          <w:lang w:eastAsia="ja-JP"/>
        </w:rPr>
        <w:footnoteReference w:id="608"/>
      </w:r>
      <w:r w:rsidRPr="00E8358C">
        <w:rPr>
          <w:lang w:eastAsia="ja-JP"/>
        </w:rPr>
        <w:t xml:space="preserve"> et voulaient « démontrer l’importance des coutumes et des croyances africaines »</w:t>
      </w:r>
      <w:r>
        <w:rPr>
          <w:lang w:eastAsia="ja-JP"/>
        </w:rPr>
        <w:t> </w:t>
      </w:r>
      <w:r>
        <w:rPr>
          <w:rStyle w:val="Appelnotedebasdep"/>
          <w:lang w:eastAsia="ja-JP"/>
        </w:rPr>
        <w:footnoteReference w:id="609"/>
      </w:r>
      <w:r w:rsidRPr="00E8358C">
        <w:rPr>
          <w:lang w:eastAsia="ja-JP"/>
        </w:rPr>
        <w:t xml:space="preserve">. </w:t>
      </w:r>
      <w:r w:rsidRPr="00E8358C">
        <w:t>La tourn</w:t>
      </w:r>
      <w:r w:rsidRPr="00E8358C">
        <w:t>u</w:t>
      </w:r>
      <w:r w:rsidRPr="00E8358C">
        <w:t>re sémantique « hommes de couleur » est employée de manière con</w:t>
      </w:r>
      <w:r w:rsidRPr="00E8358C">
        <w:t>s</w:t>
      </w:r>
      <w:r w:rsidRPr="00E8358C">
        <w:t>ciente et inconsciente pour montrer aussi toute la différence et toute la complexité de la société haïtienne. Il est très mal venu de qualifier un mulâtre de « noir ». Les statuts sont différents selon qu’on soit mul</w:t>
      </w:r>
      <w:r w:rsidRPr="00E8358C">
        <w:t>â</w:t>
      </w:r>
      <w:r w:rsidRPr="00E8358C">
        <w:t xml:space="preserve">tre ou noir. Une différenciation épidermique qui dépasse l’entendement et qui fâche. La question de couleur est caractéristique de la mémoire coloniale esclavagiste en Haïti. Il relève de l’inconscient par rapport au vécu et  au patrimoine culturel. </w:t>
      </w:r>
    </w:p>
    <w:p w:rsidR="004C50DC" w:rsidRPr="00E8358C" w:rsidRDefault="004C50DC" w:rsidP="004C50DC">
      <w:pPr>
        <w:spacing w:before="120" w:after="120"/>
        <w:jc w:val="both"/>
      </w:pPr>
      <w:r w:rsidRPr="00E8358C">
        <w:t>La question fondamentale « le préjugé de couleur est-il la question sociale ? » a été posée par Jean Price-Mars dans une lettre ouverte</w:t>
      </w:r>
      <w:r>
        <w:t> </w:t>
      </w:r>
      <w:r>
        <w:rPr>
          <w:rStyle w:val="Appelnotedebasdep"/>
        </w:rPr>
        <w:footnoteReference w:id="610"/>
      </w:r>
      <w:r w:rsidRPr="00E8358C">
        <w:t xml:space="preserve"> à René Piquion après la publication de son ouvrage </w:t>
      </w:r>
      <w:r w:rsidRPr="00E8358C">
        <w:rPr>
          <w:i/>
        </w:rPr>
        <w:t>Manuel de négrit</w:t>
      </w:r>
      <w:r w:rsidRPr="00E8358C">
        <w:rPr>
          <w:i/>
        </w:rPr>
        <w:t>u</w:t>
      </w:r>
      <w:r w:rsidRPr="00E8358C">
        <w:rPr>
          <w:i/>
        </w:rPr>
        <w:t>de</w:t>
      </w:r>
      <w:r>
        <w:t> </w:t>
      </w:r>
      <w:r>
        <w:rPr>
          <w:rStyle w:val="Appelnotedebasdep"/>
        </w:rPr>
        <w:footnoteReference w:id="611"/>
      </w:r>
      <w:r w:rsidRPr="00E8358C">
        <w:t>. Cette question reste encore d’actualité dans le contexte sociopol</w:t>
      </w:r>
      <w:r w:rsidRPr="00E8358C">
        <w:t>i</w:t>
      </w:r>
      <w:r w:rsidRPr="00E8358C">
        <w:t>tique haïtien des années 2010. Dans sa lettre, Price-Mars précise que la question de couleur est « une pathologie de la société haïtienne et non la question sociale »</w:t>
      </w:r>
      <w:r>
        <w:t> </w:t>
      </w:r>
      <w:r>
        <w:rPr>
          <w:rStyle w:val="Appelnotedebasdep"/>
        </w:rPr>
        <w:footnoteReference w:id="612"/>
      </w:r>
      <w:r w:rsidRPr="00E8358C">
        <w:t>. Elle est loin d’être l’élément déterminant les actions politiques et sociales. Claude Roumainpartagece point de vue. Il estime que « le préjugé de couleur est un phénomène réel so</w:t>
      </w:r>
      <w:r w:rsidRPr="00E8358C">
        <w:t>u</w:t>
      </w:r>
      <w:r w:rsidRPr="00E8358C">
        <w:t>vent utilisé dans les luttes sociales et politiques en Haïti. Ce n’est pas laquestion sociale, mais c’est “une question sociale” »</w:t>
      </w:r>
      <w:r>
        <w:t> </w:t>
      </w:r>
      <w:r>
        <w:rPr>
          <w:rStyle w:val="Appelnotedebasdep"/>
        </w:rPr>
        <w:footnoteReference w:id="613"/>
      </w:r>
      <w:r w:rsidRPr="00E8358C">
        <w:t>. Le slogan p</w:t>
      </w:r>
      <w:r w:rsidRPr="00E8358C">
        <w:t>o</w:t>
      </w:r>
      <w:r w:rsidRPr="00E8358C">
        <w:t>litique « </w:t>
      </w:r>
      <w:r w:rsidRPr="00E8358C">
        <w:rPr>
          <w:i/>
        </w:rPr>
        <w:t>Dessalines pra l kay Pétion</w:t>
      </w:r>
      <w:r w:rsidRPr="00E8358C">
        <w:t> » indique les dessous de cette problématique. Certains politiciens, se réclamant fils de Dessalines, cherchent à avoir le soutien du « Blanc » pour assurer leur pouvoir. La déclaration d’un président du Sénat haïtien, le sénateur Dieuseul S</w:t>
      </w:r>
      <w:r w:rsidRPr="00E8358C">
        <w:t>i</w:t>
      </w:r>
      <w:r w:rsidRPr="00E8358C">
        <w:t xml:space="preserve">mond Desras (2013), dans une entrevue diffusée sur les stations de radios de Port-au-Prince, exprime clairement cette attitude : </w:t>
      </w:r>
    </w:p>
    <w:p w:rsidR="004C50DC" w:rsidRDefault="004C50DC" w:rsidP="004C50DC">
      <w:pPr>
        <w:pStyle w:val="Citation0"/>
        <w:rPr>
          <w:i/>
        </w:rPr>
      </w:pPr>
    </w:p>
    <w:p w:rsidR="004C50DC" w:rsidRDefault="004C50DC" w:rsidP="004C50DC">
      <w:pPr>
        <w:pStyle w:val="Citation0"/>
      </w:pPr>
      <w:r w:rsidRPr="00E8358C">
        <w:rPr>
          <w:i/>
        </w:rPr>
        <w:t>Mwen gen gwo blan dèyè m tou. Pèsòn moun pa ka fè m anyen.</w:t>
      </w:r>
      <w:r w:rsidRPr="00E8358C">
        <w:t xml:space="preserve"> (J’ai aussi des </w:t>
      </w:r>
      <w:r w:rsidRPr="00E8358C">
        <w:rPr>
          <w:i/>
        </w:rPr>
        <w:t>blancs</w:t>
      </w:r>
      <w:r w:rsidRPr="00E8358C">
        <w:t xml:space="preserve"> qui me soutiennent. Je suis confortable dans ma position). </w:t>
      </w:r>
    </w:p>
    <w:p w:rsidR="004C50DC" w:rsidRDefault="004C50DC" w:rsidP="004C50DC">
      <w:pPr>
        <w:pStyle w:val="Citation0"/>
      </w:pPr>
    </w:p>
    <w:p w:rsidR="004C50DC" w:rsidRPr="00E8358C" w:rsidRDefault="004C50DC" w:rsidP="004C50DC">
      <w:pPr>
        <w:spacing w:before="120" w:after="120"/>
        <w:jc w:val="both"/>
        <w:rPr>
          <w:szCs w:val="22"/>
        </w:rPr>
      </w:pPr>
      <w:r>
        <w:rPr>
          <w:szCs w:val="22"/>
        </w:rPr>
        <w:t>[219]</w:t>
      </w:r>
    </w:p>
    <w:p w:rsidR="004C50DC" w:rsidRPr="00E8358C" w:rsidRDefault="004C50DC" w:rsidP="004C50DC">
      <w:pPr>
        <w:spacing w:before="120" w:after="120"/>
        <w:jc w:val="both"/>
      </w:pPr>
      <w:r w:rsidRPr="00E8358C">
        <w:t>Leslie Francois Manigat, dans son intervention à l’émission « Profil » sur la chaîne de télévision Télémax en 1999 explique à sa manière ce comportement :</w:t>
      </w:r>
    </w:p>
    <w:p w:rsidR="004C50DC" w:rsidRDefault="004C50DC" w:rsidP="004C50DC">
      <w:pPr>
        <w:pStyle w:val="Citation0"/>
      </w:pPr>
    </w:p>
    <w:p w:rsidR="004C50DC" w:rsidRDefault="004C50DC" w:rsidP="004C50DC">
      <w:pPr>
        <w:pStyle w:val="Citation0"/>
      </w:pPr>
      <w:r w:rsidRPr="00E8358C">
        <w:t xml:space="preserve">Attendez, je vais vous surprendre. L’étranger n’avait pas besoin de donner un dictat au gouvernement actuel, à nos dirigeants actuels. Ils sollicitent les décisions étrangères. Ils attendent de l’étranger les moyens de solutions des problèmes nationaux.Ce n’est pas seulement une démission ou un </w:t>
      </w:r>
      <w:r w:rsidRPr="00E8358C">
        <w:rPr>
          <w:i/>
        </w:rPr>
        <w:t>so</w:t>
      </w:r>
      <w:r w:rsidRPr="00E8358C">
        <w:rPr>
          <w:i/>
        </w:rPr>
        <w:t>u</w:t>
      </w:r>
      <w:r w:rsidRPr="00E8358C">
        <w:rPr>
          <w:i/>
        </w:rPr>
        <w:t>sou</w:t>
      </w:r>
      <w:r>
        <w:t> </w:t>
      </w:r>
      <w:r>
        <w:rPr>
          <w:rStyle w:val="Appelnotedebasdep"/>
        </w:rPr>
        <w:footnoteReference w:id="614"/>
      </w:r>
      <w:r w:rsidRPr="00E8358C">
        <w:rPr>
          <w:i/>
        </w:rPr>
        <w:t xml:space="preserve">. </w:t>
      </w:r>
      <w:r w:rsidRPr="00E8358C">
        <w:t>Non. Ça va beaucoup plus loin. Il y a une volonté d’être esclave. On vous convoque à une ambassade. Le président de la République va à une ambassade recevoir des injonctions. Le président va à l’étranger pour e</w:t>
      </w:r>
      <w:r w:rsidRPr="00E8358C">
        <w:t>n</w:t>
      </w:r>
      <w:r w:rsidRPr="00E8358C">
        <w:t>tendre les récriminations et les remontrances d’un ministre de la justice étranger. Il faut aller au-delà de cela. C’est de l’atavisme de l’esclavage colonial qu’on retro</w:t>
      </w:r>
      <w:r w:rsidRPr="00E8358C">
        <w:t>u</w:t>
      </w:r>
      <w:r w:rsidRPr="00E8358C">
        <w:t>ve dans le comportement de certains Haïtiens qui considèrent que tout ce qui est bon dans le pays vient du blanc. Tout d</w:t>
      </w:r>
      <w:r w:rsidRPr="00E8358C">
        <w:t>é</w:t>
      </w:r>
      <w:r w:rsidRPr="00E8358C">
        <w:t>pend du blanc. Tout doit provenir du blanc. C’est le blanc qui a raison</w:t>
      </w:r>
      <w:r>
        <w:t> </w:t>
      </w:r>
      <w:r>
        <w:rPr>
          <w:rStyle w:val="Appelnotedebasdep"/>
        </w:rPr>
        <w:footnoteReference w:id="615"/>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Pour certains Haïtiens, l’image du « blanc » caractérise le beau, la puissance, la vérité, le pouvoir, le maître. Ses décisions ne sauraient être contestées ou remises en question. Jusqu’en 2013, il y avait une peur bleue de la figure du maître, du Blanc, dans ce pays qui a dit non à l’esclavagisme français.</w:t>
      </w:r>
    </w:p>
    <w:p w:rsidR="004C50DC" w:rsidRPr="00E8358C" w:rsidRDefault="004C50DC" w:rsidP="004C50DC">
      <w:pPr>
        <w:pStyle w:val="Citation0i"/>
      </w:pPr>
      <w:r w:rsidRPr="00E8358C">
        <w:t xml:space="preserve">Blan an fin pale. Nou pa gen anyen ankò pou n di. </w:t>
      </w:r>
    </w:p>
    <w:p w:rsidR="004C50DC" w:rsidRDefault="004C50DC" w:rsidP="004C50DC">
      <w:pPr>
        <w:pStyle w:val="Citation0"/>
      </w:pPr>
      <w:r w:rsidRPr="00E8358C">
        <w:t>[Le Blanc a parlé. Le débat est clos.]</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Jacques Roumain ne voulait pas se laisser piéger dans les débats relatifs à la question de couleur, animés surtout par les politiciens d’Haïti et qui divisent les masses populaires. Pour lui, le </w:t>
      </w:r>
      <w:r w:rsidRPr="00E8358C">
        <w:rPr>
          <w:i/>
        </w:rPr>
        <w:t>noirisme</w:t>
      </w:r>
      <w:r w:rsidRPr="00E8358C">
        <w:t xml:space="preserve"> et le </w:t>
      </w:r>
      <w:r w:rsidRPr="00E8358C">
        <w:rPr>
          <w:i/>
        </w:rPr>
        <w:t>mulâtrisme</w:t>
      </w:r>
      <w:r w:rsidRPr="00E8358C">
        <w:t xml:space="preserve"> ne cessent de creuser un fossé entre les citoyens. L’appartenance de classe est plus apte à expliquer les problèmes d’Haïti. Membre fondateur du Parti communiste haïtien, Jacques Roumain définit ainsi l’idéologie du parti en minimisant le problème épineux de la couleur : « la couleur n’est rien, la classe est tout »</w:t>
      </w:r>
      <w:r>
        <w:t> </w:t>
      </w:r>
      <w:r>
        <w:rPr>
          <w:rStyle w:val="Appelnotedebasdep"/>
        </w:rPr>
        <w:footnoteReference w:id="616"/>
      </w:r>
      <w:r w:rsidRPr="00E8358C">
        <w:t>.</w:t>
      </w:r>
    </w:p>
    <w:p w:rsidR="004C50DC" w:rsidRPr="00E8358C" w:rsidRDefault="004C50DC" w:rsidP="004C50DC">
      <w:pPr>
        <w:spacing w:before="120" w:after="120"/>
        <w:jc w:val="both"/>
      </w:pPr>
      <w:r w:rsidRPr="00E8358C">
        <w:t>Les cas de discrimination en Haïti sont encore latents. Au fur et à mesure, de plus en plus de personnes se rendent au fait, de plus en plus de citoyens en sont conscients. Plusieurs citoyens dénoncent et condamnent les cas récents de discrimination dont sont victimes ce</w:t>
      </w:r>
      <w:r w:rsidRPr="00E8358C">
        <w:t>r</w:t>
      </w:r>
      <w:r w:rsidRPr="00E8358C">
        <w:t>taines personnes et qui risquent de plonger le pays dans un chaos d</w:t>
      </w:r>
      <w:r w:rsidRPr="00E8358C">
        <w:t>u</w:t>
      </w:r>
      <w:r w:rsidRPr="00E8358C">
        <w:t>rable. Nicole Siméon souligne l’image que se font souvent des Noirs une minorité de gens de couleur :</w:t>
      </w:r>
    </w:p>
    <w:p w:rsidR="004C50DC" w:rsidRDefault="004C50DC" w:rsidP="004C50DC">
      <w:pPr>
        <w:spacing w:before="120" w:after="120"/>
        <w:jc w:val="both"/>
        <w:rPr>
          <w:szCs w:val="22"/>
        </w:rPr>
      </w:pPr>
      <w:r>
        <w:rPr>
          <w:szCs w:val="22"/>
        </w:rPr>
        <w:t>[220]</w:t>
      </w:r>
    </w:p>
    <w:p w:rsidR="004C50DC" w:rsidRDefault="004C50DC" w:rsidP="004C50DC">
      <w:pPr>
        <w:pStyle w:val="Citation0"/>
      </w:pPr>
    </w:p>
    <w:p w:rsidR="004C50DC" w:rsidRDefault="004C50DC" w:rsidP="004C50DC">
      <w:pPr>
        <w:pStyle w:val="Citation0"/>
      </w:pPr>
      <w:r w:rsidRPr="00E8358C">
        <w:t>Ce n’est pas une nouvelle, en Haïti, le Noir est soit sale, soit diab</w:t>
      </w:r>
      <w:r w:rsidRPr="00E8358C">
        <w:t>o</w:t>
      </w:r>
      <w:r w:rsidRPr="00E8358C">
        <w:t xml:space="preserve">lique. C’est surtout lié, dans un contexte socio-économique comme le nôtre, à </w:t>
      </w:r>
      <w:r w:rsidRPr="00E8358C">
        <w:rPr>
          <w:i/>
        </w:rPr>
        <w:t>ces gens-là</w:t>
      </w:r>
      <w:r w:rsidRPr="00E8358C">
        <w:t>, ceux qui sont pauvres et analphabètes</w:t>
      </w:r>
      <w:r>
        <w:t> </w:t>
      </w:r>
      <w:r>
        <w:rPr>
          <w:rStyle w:val="Appelnotedebasdep"/>
        </w:rPr>
        <w:footnoteReference w:id="617"/>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Elle parle de son expérience incompréhensible dans un magasin de Pétion-Ville appartenant à des propriétaires d’origine arabe devenus, pour la plupart, des Haïtiens. </w:t>
      </w:r>
    </w:p>
    <w:p w:rsidR="004C50DC" w:rsidRPr="00E8358C" w:rsidRDefault="004C50DC" w:rsidP="004C50DC">
      <w:pPr>
        <w:pStyle w:val="Citation0"/>
      </w:pPr>
      <w:r w:rsidRPr="00E8358C">
        <w:t>La discrimination contre une personne noire dont je fais les frais quand je visite un magasin de la rue Louverture ou au supermarché de la Rue Ogé à Pétion-Ville annonce-t-elle l’établissement, dans un pr</w:t>
      </w:r>
      <w:r w:rsidRPr="00E8358C">
        <w:t>o</w:t>
      </w:r>
      <w:r w:rsidRPr="00E8358C">
        <w:t>che avenir, d’un ordre nouveau ? Y a-t-il quelque chose que les Noirs de ce pays doivent craindre ? Car subir le racisme à l’étranger, c’est une chose. Tout aussi inacceptable, mais compréhensible. Mais le s</w:t>
      </w:r>
      <w:r w:rsidRPr="00E8358C">
        <w:t>u</w:t>
      </w:r>
      <w:r w:rsidRPr="00E8358C">
        <w:t>bir chez soi en est une tout autre</w:t>
      </w:r>
      <w:r>
        <w:t> </w:t>
      </w:r>
      <w:r>
        <w:rPr>
          <w:rStyle w:val="Appelnotedebasdep"/>
        </w:rPr>
        <w:footnoteReference w:id="618"/>
      </w:r>
      <w:r w:rsidRPr="00E8358C">
        <w:t>.</w:t>
      </w:r>
    </w:p>
    <w:p w:rsidR="004C50DC" w:rsidRPr="00E8358C" w:rsidRDefault="004C50DC" w:rsidP="004C50DC">
      <w:pPr>
        <w:spacing w:before="120" w:after="120"/>
        <w:jc w:val="both"/>
      </w:pPr>
      <w:r w:rsidRPr="00E8358C">
        <w:t>Ce sont, entre autres, des signes qui montrent que les discrimin</w:t>
      </w:r>
      <w:r w:rsidRPr="00E8358C">
        <w:t>a</w:t>
      </w:r>
      <w:r w:rsidRPr="00E8358C">
        <w:t>tions raciales sont bien présentes dans la société haïtienne. La couleur de la peau détermine si le client est un voleur potentiel, car ces restri</w:t>
      </w:r>
      <w:r w:rsidRPr="00E8358C">
        <w:t>c</w:t>
      </w:r>
      <w:r w:rsidRPr="00E8358C">
        <w:t xml:space="preserve">tions que subit Simone ne sont pas applicables aux « Blancs » et aux « Arabes ». </w:t>
      </w:r>
    </w:p>
    <w:p w:rsidR="004C50DC" w:rsidRPr="00E8358C" w:rsidRDefault="004C50DC" w:rsidP="004C50DC">
      <w:pPr>
        <w:spacing w:before="120" w:after="120"/>
        <w:jc w:val="both"/>
      </w:pPr>
      <w:r w:rsidRPr="00E8358C">
        <w:t>Les propos déplaisants en lien avec la couleur de la peau sont nombreux en Haïti. La couleur est un vivier de jurons populaires qu</w:t>
      </w:r>
      <w:r w:rsidRPr="00E8358C">
        <w:t>o</w:t>
      </w:r>
      <w:r w:rsidRPr="00E8358C">
        <w:t>tidiennement invoqués contre un voisin ou un camarade.</w:t>
      </w:r>
    </w:p>
    <w:p w:rsidR="004C50DC" w:rsidRDefault="004C50DC" w:rsidP="004C50DC">
      <w:pPr>
        <w:pStyle w:val="Citation0i"/>
      </w:pPr>
    </w:p>
    <w:p w:rsidR="004C50DC" w:rsidRPr="00E8358C" w:rsidRDefault="004C50DC" w:rsidP="004C50DC">
      <w:pPr>
        <w:pStyle w:val="Citation0i"/>
      </w:pPr>
      <w:r w:rsidRPr="00E8358C">
        <w:t>Ou pa wè m pi bèl pase w. Gad eta po tifi a non. Li tou nwè. Li sal. Lè m kole po m ak pa w se koulè drapo Duvalier a wi li bay : Nwa  ak wouj. Sak fè tifi sa nwè konsa ? Machè achte yon krèm pou w netwaye po w tande avan w vin pale avè m.</w:t>
      </w:r>
    </w:p>
    <w:p w:rsidR="004C50DC" w:rsidRDefault="004C50DC" w:rsidP="004C50DC">
      <w:pPr>
        <w:pStyle w:val="Citation0"/>
      </w:pPr>
      <w:r w:rsidRPr="00E8358C">
        <w:t>[Tu vois, je suis plus jolie que toi. Ta peau est de couleur noire. E</w:t>
      </w:r>
      <w:r w:rsidRPr="00E8358C">
        <w:t>l</w:t>
      </w:r>
      <w:r w:rsidRPr="00E8358C">
        <w:t>le est sale. Si je rapproche ma peau à la tienne, on obtiendra les couleurs du dr</w:t>
      </w:r>
      <w:r w:rsidRPr="00E8358C">
        <w:t>a</w:t>
      </w:r>
      <w:r w:rsidRPr="00E8358C">
        <w:t>peau des Duvalier : noir et rouge.Je te conseille d’acheter une crème de dépigmentation pour te nettoyer la peau et avoir un teint plus ou moins a</w:t>
      </w:r>
      <w:r w:rsidRPr="00E8358C">
        <w:t>c</w:t>
      </w:r>
      <w:r w:rsidRPr="00E8358C">
        <w:t>ceptable.]</w:t>
      </w:r>
    </w:p>
    <w:p w:rsidR="004C50DC" w:rsidRPr="00E8358C" w:rsidRDefault="004C50DC" w:rsidP="004C50DC">
      <w:pPr>
        <w:pStyle w:val="Citation0"/>
      </w:pPr>
    </w:p>
    <w:p w:rsidR="004C50DC" w:rsidRPr="00E8358C" w:rsidRDefault="004C50DC" w:rsidP="004C50DC">
      <w:pPr>
        <w:spacing w:before="120" w:after="120"/>
        <w:jc w:val="both"/>
      </w:pPr>
      <w:r w:rsidRPr="00E8358C">
        <w:t>La réaction de Latout, 41 ans, travaillant pour les Nations Unies, en dit beaucoup sur le problème de la couleur de la peau dans l’imaginaire haïtien. Les propos rapportés ici font suite à sa rencontre avec une Africaine de la Mission des Nations unies pour la stabilis</w:t>
      </w:r>
      <w:r w:rsidRPr="00E8358C">
        <w:t>a</w:t>
      </w:r>
      <w:r w:rsidRPr="00E8358C">
        <w:t>tion en Haïti (MINUSTAH).</w:t>
      </w:r>
    </w:p>
    <w:p w:rsidR="004C50DC" w:rsidRDefault="004C50DC" w:rsidP="004C50DC">
      <w:pPr>
        <w:pStyle w:val="Citation0i"/>
      </w:pPr>
    </w:p>
    <w:p w:rsidR="004C50DC" w:rsidRPr="00E8358C" w:rsidRDefault="004C50DC" w:rsidP="004C50DC">
      <w:pPr>
        <w:pStyle w:val="Citation0i"/>
      </w:pPr>
      <w:r w:rsidRPr="00E8358C">
        <w:t>M resi wè yon Afrikèn nan misyon sa ki gen yon bèl ti koulè po. Yo tout toujou</w:t>
      </w:r>
      <w:r>
        <w:t xml:space="preserve"> [221]</w:t>
      </w:r>
      <w:r w:rsidRPr="00E8358C">
        <w:t xml:space="preserve"> nwè, sal</w:t>
      </w:r>
      <w:r>
        <w:rPr>
          <w:i w:val="0"/>
        </w:rPr>
        <w:t> </w:t>
      </w:r>
      <w:r>
        <w:rPr>
          <w:rStyle w:val="Appelnotedebasdep"/>
          <w:i w:val="0"/>
        </w:rPr>
        <w:footnoteReference w:id="619"/>
      </w:r>
      <w:r w:rsidRPr="00E8358C">
        <w:t xml:space="preserve">. </w:t>
      </w:r>
    </w:p>
    <w:p w:rsidR="004C50DC" w:rsidRPr="00E8358C" w:rsidRDefault="004C50DC" w:rsidP="004C50DC">
      <w:pPr>
        <w:pStyle w:val="Citation0"/>
      </w:pPr>
      <w:r w:rsidRPr="00E8358C">
        <w:t>[Quel enchantement de voir une Africaine avec la peau claire. Général</w:t>
      </w:r>
      <w:r w:rsidRPr="00E8358C">
        <w:t>e</w:t>
      </w:r>
      <w:r w:rsidRPr="00E8358C">
        <w:t>ment, elles sont toutes de couleur noire, sale.]</w:t>
      </w:r>
    </w:p>
    <w:p w:rsidR="004C50DC" w:rsidRDefault="004C50DC" w:rsidP="004C50DC">
      <w:pPr>
        <w:pStyle w:val="Citation0c"/>
      </w:pPr>
      <w:r w:rsidRPr="00E8358C">
        <w:t>(Latout, entrevue)</w:t>
      </w:r>
    </w:p>
    <w:p w:rsidR="004C50DC" w:rsidRPr="00E8358C" w:rsidRDefault="004C50DC" w:rsidP="004C50DC">
      <w:pPr>
        <w:pStyle w:val="Citation0c"/>
      </w:pPr>
    </w:p>
    <w:p w:rsidR="004C50DC" w:rsidRPr="00E8358C" w:rsidRDefault="004C50DC" w:rsidP="004C50DC">
      <w:pPr>
        <w:spacing w:before="120" w:after="120"/>
        <w:jc w:val="both"/>
      </w:pPr>
      <w:r w:rsidRPr="00E8358C">
        <w:t>L’Africaine a été appréciée par cet homme parce que sa peau était plus claire que celle de ses camarades. Le contraste, c’est que ce sont des Noirs qui font ces remarques sur d’autres Noirs selon que la peau est foncée, moins foncée ou plus foncée. Le constat ne date pas d’aujourd’hui. Micheline Labelle avait déjà relaté comment la « différence physique » et épidermique au sein d’une même famille est « susceptible de complexer et de traumatiser pour la vie »</w:t>
      </w:r>
      <w:r w:rsidRPr="00E8358C">
        <w:rPr>
          <w:rStyle w:val="Appelnotedebasdep"/>
        </w:rPr>
        <w:footnoteReference w:id="620"/>
      </w:r>
      <w:r w:rsidRPr="00E8358C">
        <w:t xml:space="preserve">. </w:t>
      </w:r>
    </w:p>
    <w:p w:rsidR="004C50DC" w:rsidRPr="00E8358C" w:rsidRDefault="004C50DC" w:rsidP="004C50DC">
      <w:pPr>
        <w:spacing w:before="120" w:after="120"/>
        <w:jc w:val="both"/>
      </w:pPr>
      <w:r w:rsidRPr="00E8358C">
        <w:t>Aujourd’hui, les crèmes vendues ayant pour but de blanchir la peau sont très demandées sur le marché haïtien. Plus de deux siècles après l’indépendance, après la constitution de la République noire dite indivisible dans laquelle les Haïtiens doivent se retrouver, le problème de la couleur de la peau reste non résolu et est incarné dans les co</w:t>
      </w:r>
      <w:r w:rsidRPr="00E8358C">
        <w:t>m</w:t>
      </w:r>
      <w:r w:rsidRPr="00E8358C">
        <w:t xml:space="preserve">portements. Tant qu’il existera des préjugés, de la discrimination, l’exemple typique du chemin tracé par les héros haïtiens n’aura aucun sens. Le problème n’est pas seulement physique, il est social. C’est un combat à engager. Pour Samson, 34 ans, artiste et animateur de radio au Cap-Haïtien : </w:t>
      </w:r>
    </w:p>
    <w:p w:rsidR="004C50DC" w:rsidRDefault="004C50DC" w:rsidP="004C50DC">
      <w:pPr>
        <w:pStyle w:val="Citation0"/>
      </w:pPr>
    </w:p>
    <w:p w:rsidR="004C50DC" w:rsidRPr="00E8358C" w:rsidRDefault="004C50DC" w:rsidP="004C50DC">
      <w:pPr>
        <w:pStyle w:val="Citation0"/>
      </w:pPr>
      <w:r w:rsidRPr="00E8358C">
        <w:t>La question de la couleur épidermique a toujours existé en Haïti, elle d</w:t>
      </w:r>
      <w:r w:rsidRPr="00E8358C">
        <w:t>e</w:t>
      </w:r>
      <w:r w:rsidRPr="00E8358C">
        <w:t>meure encore dans le dosage. Toutefois, elle constitue de moins en moins des barrières pour qu’un citoyen haïtien puisse vivre, travai</w:t>
      </w:r>
      <w:r w:rsidRPr="00E8358C">
        <w:t>l</w:t>
      </w:r>
      <w:r w:rsidRPr="00E8358C">
        <w:t>ler et occuper des postes importants. Est-il vraiment un sujet pour p</w:t>
      </w:r>
      <w:r w:rsidRPr="00E8358C">
        <w:t>o</w:t>
      </w:r>
      <w:r w:rsidRPr="00E8358C">
        <w:t>lariser la population haïtienne ? Je ne crois pas. Le débat se situe su</w:t>
      </w:r>
      <w:r w:rsidRPr="00E8358C">
        <w:t>r</w:t>
      </w:r>
      <w:r w:rsidRPr="00E8358C">
        <w:t xml:space="preserve">tout sur les choix faits par les élites d’Haïti. </w:t>
      </w:r>
    </w:p>
    <w:p w:rsidR="004C50DC" w:rsidRDefault="004C50DC" w:rsidP="004C50DC">
      <w:pPr>
        <w:pStyle w:val="Citation0c"/>
      </w:pPr>
      <w:r w:rsidRPr="00E8358C">
        <w:t>(Samson, entrevue, 17 novembre 2013)</w:t>
      </w:r>
    </w:p>
    <w:p w:rsidR="004C50DC" w:rsidRPr="00E8358C" w:rsidRDefault="004C50DC" w:rsidP="004C50DC">
      <w:pPr>
        <w:pStyle w:val="Citation0c"/>
      </w:pPr>
    </w:p>
    <w:p w:rsidR="004C50DC" w:rsidRPr="00E8358C" w:rsidRDefault="004C50DC" w:rsidP="004C50DC">
      <w:pPr>
        <w:spacing w:before="120" w:after="120"/>
        <w:jc w:val="both"/>
      </w:pPr>
      <w:r w:rsidRPr="00E8358C">
        <w:t xml:space="preserve">Le combat contre le racisme dans lequel s’engageaient Anténor Firmin, avec </w:t>
      </w:r>
      <w:hyperlink r:id="rId50" w:history="1">
        <w:r w:rsidRPr="004C5227">
          <w:rPr>
            <w:rStyle w:val="Lienhypertexte"/>
            <w:i/>
          </w:rPr>
          <w:t>De l’Égalité des Races humaines</w:t>
        </w:r>
      </w:hyperlink>
      <w:r w:rsidRPr="00E8358C">
        <w:t xml:space="preserve"> (1885)</w:t>
      </w:r>
      <w:r>
        <w:t> </w:t>
      </w:r>
      <w:r>
        <w:rPr>
          <w:rStyle w:val="Appelnotedebasdep"/>
        </w:rPr>
        <w:footnoteReference w:id="621"/>
      </w:r>
      <w:r w:rsidRPr="00E8358C">
        <w:t xml:space="preserve">, et Hannibal Price, avec sa </w:t>
      </w:r>
      <w:hyperlink r:id="rId51" w:history="1">
        <w:r w:rsidRPr="004C5227">
          <w:rPr>
            <w:rStyle w:val="Lienhypertexte"/>
            <w:i/>
          </w:rPr>
          <w:t>Réhabilitation de la Race noire par la République d’Haïti</w:t>
        </w:r>
      </w:hyperlink>
      <w:r>
        <w:rPr>
          <w:i/>
        </w:rPr>
        <w:t xml:space="preserve"> </w:t>
      </w:r>
      <w:r w:rsidRPr="00E8358C">
        <w:t>(1905), semble n’avoir pas eu d’influence sur le comport</w:t>
      </w:r>
      <w:r w:rsidRPr="00E8358C">
        <w:t>e</w:t>
      </w:r>
      <w:r w:rsidRPr="00E8358C">
        <w:t>ment de certains Haïtiens. Les influences européennes et américaines alimentent aussi le moulin</w:t>
      </w:r>
      <w:r>
        <w:t xml:space="preserve"> [222]</w:t>
      </w:r>
      <w:r w:rsidRPr="00E8358C">
        <w:t xml:space="preserve"> d’une telle attitude. La volonté de ressembler à l’Autre, l’Européen ou l’Américain, choisi comme m</w:t>
      </w:r>
      <w:r w:rsidRPr="00E8358C">
        <w:t>o</w:t>
      </w:r>
      <w:r w:rsidRPr="00E8358C">
        <w:t>dèle représentatif, montre l’incapacité de ce peuple à surmonter ses pr</w:t>
      </w:r>
      <w:r w:rsidRPr="00E8358C">
        <w:t>o</w:t>
      </w:r>
      <w:r w:rsidRPr="00E8358C">
        <w:t xml:space="preserve">blèmes identitaires. </w:t>
      </w:r>
    </w:p>
    <w:p w:rsidR="004C50DC" w:rsidRPr="00E8358C" w:rsidRDefault="004C50DC" w:rsidP="004C50DC">
      <w:pPr>
        <w:spacing w:before="120" w:after="120"/>
        <w:jc w:val="both"/>
      </w:pPr>
      <w:r w:rsidRPr="00E8358C">
        <w:t>Le chercheur doit être très prudent sur les idées véhiculées en Ha</w:t>
      </w:r>
      <w:r w:rsidRPr="00E8358C">
        <w:t>ï</w:t>
      </w:r>
      <w:r w:rsidRPr="00E8358C">
        <w:t>ti, car les élites noires</w:t>
      </w:r>
      <w:r>
        <w:t> </w:t>
      </w:r>
      <w:r>
        <w:rPr>
          <w:rStyle w:val="Appelnotedebasdep"/>
        </w:rPr>
        <w:footnoteReference w:id="622"/>
      </w:r>
      <w:r>
        <w:t xml:space="preserve"> </w:t>
      </w:r>
      <w:r w:rsidRPr="00E8358C">
        <w:t>et métisses tantôt sont en conflit, tantôt se pa</w:t>
      </w:r>
      <w:r w:rsidRPr="00E8358C">
        <w:t>r</w:t>
      </w:r>
      <w:r w:rsidRPr="00E8358C">
        <w:t>tagent le pouvoir. Elles constituent aussi la minorité des intelle</w:t>
      </w:r>
      <w:r w:rsidRPr="00E8358C">
        <w:t>c</w:t>
      </w:r>
      <w:r w:rsidRPr="00E8358C">
        <w:t>tuels qui participent à la construction mémorielle d’Haïti. La machine de la corruption, comme l’étudie Leslie Péan</w:t>
      </w:r>
      <w:r>
        <w:t> </w:t>
      </w:r>
      <w:r>
        <w:rPr>
          <w:rStyle w:val="Appelnotedebasdep"/>
        </w:rPr>
        <w:footnoteReference w:id="623"/>
      </w:r>
      <w:r w:rsidRPr="00E8358C">
        <w:t>, est manœuvrée tour à tour par les élites noires et métisses. D’ailleurs, deux cent dix ans après l’indépendance, peu de changements significatifs se sont pr</w:t>
      </w:r>
      <w:r w:rsidRPr="00E8358C">
        <w:t>o</w:t>
      </w:r>
      <w:r w:rsidRPr="00E8358C">
        <w:t>duits dans la vie du peuple haïtien. La problématique du développ</w:t>
      </w:r>
      <w:r w:rsidRPr="00E8358C">
        <w:t>e</w:t>
      </w:r>
      <w:r w:rsidRPr="00E8358C">
        <w:t>ment économique et social, les questions agraires, ne sont pas vraiment ét</w:t>
      </w:r>
      <w:r w:rsidRPr="00E8358C">
        <w:t>u</w:t>
      </w:r>
      <w:r w:rsidRPr="00E8358C">
        <w:t xml:space="preserve">diées. Mais ce sont encore des préoccupations quotidiennes pour de nombreux Haïtiens. </w:t>
      </w:r>
    </w:p>
    <w:p w:rsidR="004C50DC" w:rsidRDefault="004C50DC" w:rsidP="004C50DC">
      <w:pPr>
        <w:spacing w:before="120" w:after="120"/>
        <w:jc w:val="both"/>
      </w:pPr>
      <w:bookmarkStart w:id="249" w:name="_Toc406489701"/>
      <w:bookmarkStart w:id="250" w:name="_Toc423347323"/>
      <w:bookmarkStart w:id="251" w:name="_Toc442280502"/>
    </w:p>
    <w:p w:rsidR="004C50DC" w:rsidRPr="00E8358C" w:rsidRDefault="004C50DC" w:rsidP="004C50DC">
      <w:pPr>
        <w:pStyle w:val="planche"/>
      </w:pPr>
      <w:bookmarkStart w:id="252" w:name="Memoire_chap_IV_5"/>
      <w:r w:rsidRPr="00E8358C">
        <w:t>4.5.</w:t>
      </w:r>
      <w:bookmarkEnd w:id="249"/>
      <w:bookmarkEnd w:id="250"/>
      <w:r>
        <w:t xml:space="preserve"> Gestion des pouvoirs publics :</w:t>
      </w:r>
      <w:r>
        <w:br/>
      </w:r>
      <w:r w:rsidRPr="00E8358C">
        <w:t>difficultés et incohérences</w:t>
      </w:r>
      <w:bookmarkEnd w:id="251"/>
    </w:p>
    <w:bookmarkEnd w:id="252"/>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Après l’indépendance, les nouveaux dirigeants d’Haïti cherchèrent à établir un système politique et social à la hauteur de la victoire contre le système esclavagiste. Ils devaient faire face aux séquelles de ce passé qui compromettait l’avenir du pays. L’acceptation de l’Autre n’était pas facile. D’abord, ils faisaient face aux sanctions économ</w:t>
      </w:r>
      <w:r w:rsidRPr="00E8358C">
        <w:t>i</w:t>
      </w:r>
      <w:r w:rsidRPr="00E8358C">
        <w:t>ques des puissances coloniales au lendemain de 1804. En même temps, ils devaient continuer à commercer de manière souterraine avec la France, les États-Unis… pour assurer la survie de la jeune n</w:t>
      </w:r>
      <w:r w:rsidRPr="00E8358C">
        <w:t>a</w:t>
      </w:r>
      <w:r w:rsidRPr="00E8358C">
        <w:t>tion. Dans ce contexte, « l’esprit de solidarité » était plus que jamais un ciment libérateur. Il était devenu un patrimoine national, cher au peuple haïtien. La fraternité créée contre l’oppression et la déshum</w:t>
      </w:r>
      <w:r w:rsidRPr="00E8358C">
        <w:t>a</w:t>
      </w:r>
      <w:r w:rsidRPr="00E8358C">
        <w:t>nisation a bien permis de résister et d’assurer la gestion du pays au-delà de l’isolement économique</w:t>
      </w:r>
      <w:r>
        <w:t xml:space="preserve"> et des conflits postcoloniaux.</w:t>
      </w:r>
    </w:p>
    <w:p w:rsidR="004C50DC" w:rsidRPr="00E8358C" w:rsidRDefault="004C50DC" w:rsidP="004C50DC">
      <w:pPr>
        <w:spacing w:before="120" w:after="120"/>
        <w:jc w:val="both"/>
      </w:pPr>
      <w:r>
        <w:br w:type="page"/>
        <w:t>[223]</w:t>
      </w:r>
    </w:p>
    <w:p w:rsidR="004C50DC" w:rsidRPr="00E8358C" w:rsidRDefault="004C50DC" w:rsidP="004C50DC">
      <w:pPr>
        <w:spacing w:before="120" w:after="120"/>
        <w:jc w:val="both"/>
      </w:pPr>
      <w:r w:rsidRPr="00E8358C">
        <w:t>D’autre part, les dirigeants devaient aussi gérer les conflits internes pour le pouvoir, car les mêmes rivalités entre les trois provinces du Nord, de l’Ouest, du Sud qu’a relatées Moreau de Saint-Méry (1797) durant l’époque coloniale se perpétuaient au XIX</w:t>
      </w:r>
      <w:r w:rsidRPr="00E8358C">
        <w:rPr>
          <w:vertAlign w:val="superscript"/>
        </w:rPr>
        <w:t>e</w:t>
      </w:r>
      <w:r w:rsidRPr="00E8358C">
        <w:t xml:space="preserve"> siècle. Le région</w:t>
      </w:r>
      <w:r w:rsidRPr="00E8358C">
        <w:t>a</w:t>
      </w:r>
      <w:r w:rsidRPr="00E8358C">
        <w:t>lisme, souvent à la base des guerres intestines, s’était cristallisé peu de temps après l’assassinat de l’empereur Jean-Jacques Dessalines avec la division de la jeune nation en deux États : le royaume du Nord go</w:t>
      </w:r>
      <w:r w:rsidRPr="00E8358C">
        <w:t>u</w:t>
      </w:r>
      <w:r w:rsidRPr="00E8358C">
        <w:t>verné par Henri Christophe dénommé Henri 1</w:t>
      </w:r>
      <w:r w:rsidRPr="00E8358C">
        <w:rPr>
          <w:vertAlign w:val="superscript"/>
        </w:rPr>
        <w:t>er</w:t>
      </w:r>
      <w:r w:rsidRPr="00E8358C">
        <w:t xml:space="preserve"> et la république de l’Ouest et du Sud dirigée par Alexandre Pétion qui se proclamait en 1816 président à vie et renvoyait la législature en 1818. Cette division était difficile à admettre par les plus nationalistes et par la masse paysanne constituée dans sa grande majorité d’anciens esclaves qui croyaient vivre enfin dans une société unie pour le mieux-être colle</w:t>
      </w:r>
      <w:r w:rsidRPr="00E8358C">
        <w:t>c</w:t>
      </w:r>
      <w:r w:rsidRPr="00E8358C">
        <w:t xml:space="preserve">tif.  </w:t>
      </w:r>
    </w:p>
    <w:p w:rsidR="004C50DC" w:rsidRPr="00E8358C" w:rsidRDefault="004C50DC" w:rsidP="004C50DC">
      <w:pPr>
        <w:spacing w:before="120" w:after="120"/>
        <w:jc w:val="both"/>
      </w:pPr>
      <w:r w:rsidRPr="00E8358C">
        <w:t>Les méthodes de gouvernement militaire répressif, de type col</w:t>
      </w:r>
      <w:r w:rsidRPr="00E8358C">
        <w:t>o</w:t>
      </w:r>
      <w:r w:rsidRPr="00E8358C">
        <w:t>nial, continuèrent à marquer le XIX</w:t>
      </w:r>
      <w:r w:rsidRPr="00E8358C">
        <w:rPr>
          <w:vertAlign w:val="superscript"/>
        </w:rPr>
        <w:t xml:space="preserve">e </w:t>
      </w:r>
      <w:r w:rsidRPr="00E8358C">
        <w:t>siècle jusqu’à la dernière déce</w:t>
      </w:r>
      <w:r w:rsidRPr="00E8358C">
        <w:t>n</w:t>
      </w:r>
      <w:r w:rsidRPr="00E8358C">
        <w:t>nie du XX</w:t>
      </w:r>
      <w:r w:rsidRPr="00E8358C">
        <w:rPr>
          <w:vertAlign w:val="superscript"/>
        </w:rPr>
        <w:t>e</w:t>
      </w:r>
      <w:r w:rsidRPr="00E8358C">
        <w:t xml:space="preserve"> siècle haïtien. Les militaires contrôlaient toutes les sphères du pouvoir et les institutions. Comme commandants de quartiers ou de paroisses, ils assuraient le maintien de l’ordre, organisaient les co</w:t>
      </w:r>
      <w:r w:rsidRPr="00E8358C">
        <w:t>r</w:t>
      </w:r>
      <w:r w:rsidRPr="00E8358C">
        <w:t>vées, faisaient office de juges, veillaient à l’exécution ou exécutaient les ordres de justice… Même le fouet du commandeur se substituait à matraque et à baïonnette. Michel Foucault explique bien cette manière de faire et d’agir : « il  n’y a pas de pouvoir, mais des rapports de pouvoir, qui naissent nécessairement, comme effets et conditions, d’autres processus »</w:t>
      </w:r>
      <w:r>
        <w:t> </w:t>
      </w:r>
      <w:r>
        <w:rPr>
          <w:rStyle w:val="Appelnotedebasdep"/>
        </w:rPr>
        <w:footnoteReference w:id="624"/>
      </w:r>
      <w:r w:rsidRPr="00E8358C">
        <w:t>.</w:t>
      </w:r>
    </w:p>
    <w:p w:rsidR="004C50DC" w:rsidRPr="00E8358C" w:rsidRDefault="004C50DC" w:rsidP="004C50DC">
      <w:pPr>
        <w:spacing w:before="120" w:after="120"/>
        <w:jc w:val="both"/>
        <w:rPr>
          <w:lang w:eastAsia="en-CA"/>
        </w:rPr>
      </w:pPr>
      <w:r w:rsidRPr="00E8358C">
        <w:t>La succession d’événements et d’actions politiques durant tout le XIX</w:t>
      </w:r>
      <w:r w:rsidRPr="00E8358C">
        <w:rPr>
          <w:vertAlign w:val="superscript"/>
        </w:rPr>
        <w:t>e</w:t>
      </w:r>
      <w:r w:rsidRPr="00E8358C">
        <w:t xml:space="preserve"> siècle illustre comment le modèle de gestion coloniale esclav</w:t>
      </w:r>
      <w:r w:rsidRPr="00E8358C">
        <w:t>a</w:t>
      </w:r>
      <w:r w:rsidRPr="00E8358C">
        <w:t>giste contribue à construire l’histoire politique haïtienne. À travers l’histoire des multiples renversements du pouvoir et des rébellions successives, on pourrait entrevoir l’avidité des élites politiques ha</w:t>
      </w:r>
      <w:r w:rsidRPr="00E8358C">
        <w:t>ï</w:t>
      </w:r>
      <w:r w:rsidRPr="00E8358C">
        <w:t>tiennes, comme ultime moyen de se créer des richesses et du même coup de s’affirmer économiquement. Cette attitude a été vivement cr</w:t>
      </w:r>
      <w:r w:rsidRPr="00E8358C">
        <w:t>i</w:t>
      </w:r>
      <w:r w:rsidRPr="00E8358C">
        <w:t xml:space="preserve">tiquée par </w:t>
      </w:r>
      <w:r w:rsidRPr="00E8358C">
        <w:rPr>
          <w:lang w:eastAsia="en-CA"/>
        </w:rPr>
        <w:t xml:space="preserve">Aimé Césaire dans </w:t>
      </w:r>
      <w:r w:rsidRPr="00E8358C">
        <w:rPr>
          <w:i/>
          <w:lang w:eastAsia="en-CA"/>
        </w:rPr>
        <w:t>La tragédie du roi Christophe</w:t>
      </w:r>
      <w:r>
        <w:rPr>
          <w:lang w:eastAsia="en-CA"/>
        </w:rPr>
        <w:t> </w:t>
      </w:r>
      <w:r>
        <w:rPr>
          <w:rStyle w:val="Appelnotedebasdep"/>
          <w:lang w:eastAsia="en-CA"/>
        </w:rPr>
        <w:footnoteReference w:id="625"/>
      </w:r>
      <w:r w:rsidRPr="00E8358C">
        <w:rPr>
          <w:lang w:eastAsia="en-CA"/>
        </w:rPr>
        <w:t>. Elle a alimenté la marginalisation de la classe paysanne et a favorisé dava</w:t>
      </w:r>
      <w:r w:rsidRPr="00E8358C">
        <w:rPr>
          <w:lang w:eastAsia="en-CA"/>
        </w:rPr>
        <w:t>n</w:t>
      </w:r>
      <w:r w:rsidRPr="00E8358C">
        <w:rPr>
          <w:lang w:eastAsia="en-CA"/>
        </w:rPr>
        <w:t>tage l’intrusion des puissances étrangères représentées généralement par des</w:t>
      </w:r>
      <w:r>
        <w:rPr>
          <w:lang w:eastAsia="en-CA"/>
        </w:rPr>
        <w:t xml:space="preserve"> [224]</w:t>
      </w:r>
      <w:r w:rsidRPr="00E8358C">
        <w:rPr>
          <w:lang w:eastAsia="en-CA"/>
        </w:rPr>
        <w:t xml:space="preserve"> négociants qui défendaient leurs intérêts et corrompaient les hommes politiques haïtiens. </w:t>
      </w:r>
    </w:p>
    <w:p w:rsidR="004C50DC" w:rsidRPr="00E8358C" w:rsidRDefault="004C50DC" w:rsidP="004C50DC">
      <w:pPr>
        <w:spacing w:before="120" w:after="120"/>
        <w:jc w:val="both"/>
        <w:rPr>
          <w:lang w:eastAsia="en-CA"/>
        </w:rPr>
      </w:pPr>
      <w:r w:rsidRPr="00E8358C">
        <w:t>Sur ce point, Leslie Jean-Robert Péan affirme que « l</w:t>
      </w:r>
      <w:r w:rsidRPr="00E8358C">
        <w:rPr>
          <w:lang w:eastAsia="en-CA"/>
        </w:rPr>
        <w:t>a corruption a surfé sur la lutte identitaire entre les Haïtiens, lutte de recherche de soi restée primordiale, dans un milieu qui n’a pas su ou pu intégrer ses appartenances multiples pour faire de sa diversité un facteur d’avancement et de progrès »</w:t>
      </w:r>
      <w:r>
        <w:rPr>
          <w:lang w:eastAsia="en-CA"/>
        </w:rPr>
        <w:t> </w:t>
      </w:r>
      <w:r>
        <w:rPr>
          <w:rStyle w:val="Appelnotedebasdep"/>
          <w:lang w:eastAsia="en-CA"/>
        </w:rPr>
        <w:footnoteReference w:id="626"/>
      </w:r>
      <w:r w:rsidRPr="00E8358C">
        <w:rPr>
          <w:lang w:eastAsia="en-CA"/>
        </w:rPr>
        <w:t xml:space="preserve">. </w:t>
      </w:r>
      <w:r w:rsidRPr="00E8358C">
        <w:t xml:space="preserve">Donc, la question de la « gouvernabilité » se posait. </w:t>
      </w:r>
      <w:r w:rsidRPr="00E8358C">
        <w:rPr>
          <w:lang w:eastAsia="en-CA"/>
        </w:rPr>
        <w:t xml:space="preserve">Par </w:t>
      </w:r>
      <w:r w:rsidRPr="00E8358C">
        <w:t xml:space="preserve">gouvernabilité, </w:t>
      </w:r>
      <w:r w:rsidRPr="00E8358C">
        <w:rPr>
          <w:lang w:eastAsia="en-CA"/>
        </w:rPr>
        <w:t>Michel Foucault e</w:t>
      </w:r>
      <w:r w:rsidRPr="00E8358C">
        <w:rPr>
          <w:lang w:eastAsia="en-CA"/>
        </w:rPr>
        <w:t>n</w:t>
      </w:r>
      <w:r w:rsidRPr="00E8358C">
        <w:rPr>
          <w:lang w:eastAsia="en-CA"/>
        </w:rPr>
        <w:t>tend « l’ensemble constitué par les institutions, les procédures, les analyses et les réflexions, les calculs et les tactiques qui permettent d’exercer cette forme bien spécifique, bien que complexe, de pouvoir, qui a pour cible principale la population, pour forme majeure de s</w:t>
      </w:r>
      <w:r w:rsidRPr="00E8358C">
        <w:rPr>
          <w:lang w:eastAsia="en-CA"/>
        </w:rPr>
        <w:t>a</w:t>
      </w:r>
      <w:r w:rsidRPr="00E8358C">
        <w:rPr>
          <w:lang w:eastAsia="en-CA"/>
        </w:rPr>
        <w:t>voir l’économie politique, pour instrument technique essentiel les di</w:t>
      </w:r>
      <w:r w:rsidRPr="00E8358C">
        <w:rPr>
          <w:lang w:eastAsia="en-CA"/>
        </w:rPr>
        <w:t>s</w:t>
      </w:r>
      <w:r w:rsidRPr="00E8358C">
        <w:rPr>
          <w:lang w:eastAsia="en-CA"/>
        </w:rPr>
        <w:t>positifs de sécurité »</w:t>
      </w:r>
      <w:r>
        <w:rPr>
          <w:lang w:eastAsia="en-CA"/>
        </w:rPr>
        <w:t> </w:t>
      </w:r>
      <w:r>
        <w:rPr>
          <w:rStyle w:val="Appelnotedebasdep"/>
          <w:lang w:eastAsia="en-CA"/>
        </w:rPr>
        <w:footnoteReference w:id="627"/>
      </w:r>
      <w:r w:rsidRPr="00E8358C">
        <w:rPr>
          <w:lang w:eastAsia="en-CA"/>
        </w:rPr>
        <w:t xml:space="preserve">. </w:t>
      </w:r>
      <w:r w:rsidRPr="00E8358C">
        <w:t>De cette analyse, nous pouvons parvenir à r</w:t>
      </w:r>
      <w:r w:rsidRPr="00E8358C">
        <w:t>e</w:t>
      </w:r>
      <w:r w:rsidRPr="00E8358C">
        <w:t>tracer les racines de l’incohérence du modèle étatique qui s’est mai</w:t>
      </w:r>
      <w:r w:rsidRPr="00E8358C">
        <w:t>n</w:t>
      </w:r>
      <w:r w:rsidRPr="00E8358C">
        <w:t>tenu jusqu’à nos jours en Haïti. Le bien-être de la population n’est plus une priorité dans les prises de décisions. Une mauvaise ge</w:t>
      </w:r>
      <w:r w:rsidRPr="00E8358C">
        <w:t>s</w:t>
      </w:r>
      <w:r w:rsidRPr="00E8358C">
        <w:t>tion des pouvoirs publics au profit des querelles de chapelles est bien vis</w:t>
      </w:r>
      <w:r w:rsidRPr="00E8358C">
        <w:t>i</w:t>
      </w:r>
      <w:r w:rsidRPr="00E8358C">
        <w:t>ble. N’est-ce pas donner raison aussi à Jan Kooiman qui soutient que la gouvernabilité est « l’ajustement, légitime et efficient, des b</w:t>
      </w:r>
      <w:r w:rsidRPr="00E8358C">
        <w:t>e</w:t>
      </w:r>
      <w:r w:rsidRPr="00E8358C">
        <w:t>soins à être gouverné aux capacités de gouverner »</w:t>
      </w:r>
      <w:r>
        <w:t> </w:t>
      </w:r>
      <w:r>
        <w:rPr>
          <w:rStyle w:val="Appelnotedebasdep"/>
        </w:rPr>
        <w:footnoteReference w:id="628"/>
      </w:r>
      <w:r w:rsidRPr="00E8358C">
        <w:t xml:space="preserve"> ?  </w:t>
      </w:r>
    </w:p>
    <w:p w:rsidR="004C50DC" w:rsidRPr="00E8358C" w:rsidRDefault="004C50DC" w:rsidP="004C50DC">
      <w:pPr>
        <w:spacing w:before="120" w:after="120"/>
        <w:jc w:val="both"/>
      </w:pPr>
      <w:r w:rsidRPr="00E8358C">
        <w:t>Leslie Jean-Robert Péan a avancé avec un luxe d’arguments les origines de la culture de  corruption et d’instabilité politique en</w:t>
      </w:r>
      <w:r w:rsidRPr="00E8358C">
        <w:rPr>
          <w:lang w:eastAsia="en-CA"/>
        </w:rPr>
        <w:t xml:space="preserve"> Haïti en établissant le lien avec le passé colonial esclavagiste</w:t>
      </w:r>
      <w:r w:rsidRPr="00E8358C">
        <w:t>. Il avance que :</w:t>
      </w:r>
    </w:p>
    <w:p w:rsidR="004C50DC" w:rsidRDefault="004C50DC" w:rsidP="004C50DC">
      <w:pPr>
        <w:pStyle w:val="Citation0"/>
      </w:pPr>
    </w:p>
    <w:p w:rsidR="004C50DC" w:rsidRDefault="004C50DC" w:rsidP="004C50DC">
      <w:pPr>
        <w:pStyle w:val="Citation0"/>
      </w:pPr>
      <w:r w:rsidRPr="00E8358C">
        <w:t>La corruption idéologique coloniale construisant aux uns et aux a</w:t>
      </w:r>
      <w:r w:rsidRPr="00E8358C">
        <w:t>u</w:t>
      </w:r>
      <w:r w:rsidRPr="00E8358C">
        <w:t>tres des identités et des représentations différentes a rapidement abouti à l’assassinat de l’empereur Dessalines en 1806 et à la guerre civile qui s’ensuivit, divisant le nouvel État en deux pays. En voulant affi</w:t>
      </w:r>
      <w:r w:rsidRPr="00E8358C">
        <w:t>r</w:t>
      </w:r>
      <w:r w:rsidRPr="00E8358C">
        <w:t>mer qui on est par rapport à l’autre, chaque camp a construit sa propre image d’ancien ou de nouveau libre, de mulâtre ou de noir, dans une lutte pour le pouvoir et l’hégémonie sur l’autre. L’ancienne métropole n’est pas restée les bras croisés. Elle a continué le combat pour miner Haïti de plusieurs façons</w:t>
      </w:r>
      <w:r>
        <w:t> </w:t>
      </w:r>
      <w:r>
        <w:rPr>
          <w:rStyle w:val="Appelnotedebasdep"/>
        </w:rPr>
        <w:footnoteReference w:id="629"/>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rPr>
          <w:lang w:eastAsia="en-CA"/>
        </w:rPr>
      </w:pPr>
      <w:r w:rsidRPr="00E8358C">
        <w:rPr>
          <w:lang w:eastAsia="en-CA"/>
        </w:rPr>
        <w:t xml:space="preserve">Aujourd’hui, l’idée de la transmission de la culture de corruption est très </w:t>
      </w:r>
      <w:r w:rsidRPr="00E8358C">
        <w:t xml:space="preserve">controversée en Haïti. Le pays « n’a </w:t>
      </w:r>
      <w:r w:rsidRPr="00E8358C">
        <w:rPr>
          <w:lang w:eastAsia="en-CA"/>
        </w:rPr>
        <w:t>pas pu se débarrasser de la corruption coloniale qui a mystifié</w:t>
      </w:r>
      <w:r>
        <w:rPr>
          <w:lang w:eastAsia="en-CA"/>
        </w:rPr>
        <w:t xml:space="preserve"> [225]</w:t>
      </w:r>
      <w:r w:rsidRPr="00E8358C">
        <w:rPr>
          <w:lang w:eastAsia="en-CA"/>
        </w:rPr>
        <w:t xml:space="preserve"> l’entendement des élites et la vision conventionnelle en imprimant à la population une culture différente de ses origines africaines »</w:t>
      </w:r>
      <w:r>
        <w:rPr>
          <w:lang w:eastAsia="en-CA"/>
        </w:rPr>
        <w:t> </w:t>
      </w:r>
      <w:r>
        <w:rPr>
          <w:rStyle w:val="Appelnotedebasdep"/>
          <w:lang w:eastAsia="en-CA"/>
        </w:rPr>
        <w:footnoteReference w:id="630"/>
      </w:r>
      <w:r w:rsidRPr="00E8358C">
        <w:rPr>
          <w:lang w:eastAsia="en-CA"/>
        </w:rPr>
        <w:t xml:space="preserve">. </w:t>
      </w:r>
      <w:r w:rsidRPr="00E8358C">
        <w:t>C’est un lourd héritage de la colonisation. N’est-il pas vrai de dire que« l</w:t>
      </w:r>
      <w:r w:rsidRPr="00E8358C">
        <w:rPr>
          <w:lang w:eastAsia="en-CA"/>
        </w:rPr>
        <w:t>a corruption en Haïti est corrélative d’un système qui a commencé avec l’esclavage, en faisant du commerce des êtres humains le socle de la construction d’un No</w:t>
      </w:r>
      <w:r w:rsidRPr="00E8358C">
        <w:rPr>
          <w:lang w:eastAsia="en-CA"/>
        </w:rPr>
        <w:t>u</w:t>
      </w:r>
      <w:r w:rsidRPr="00E8358C">
        <w:rPr>
          <w:lang w:eastAsia="en-CA"/>
        </w:rPr>
        <w:t>veau-Monde »</w:t>
      </w:r>
      <w:r>
        <w:rPr>
          <w:lang w:eastAsia="en-CA"/>
        </w:rPr>
        <w:t> </w:t>
      </w:r>
      <w:r>
        <w:rPr>
          <w:rStyle w:val="Appelnotedebasdep"/>
          <w:lang w:eastAsia="en-CA"/>
        </w:rPr>
        <w:footnoteReference w:id="631"/>
      </w:r>
      <w:r w:rsidRPr="00E8358C">
        <w:rPr>
          <w:lang w:eastAsia="en-CA"/>
        </w:rPr>
        <w:t> ?</w:t>
      </w:r>
    </w:p>
    <w:p w:rsidR="004C50DC" w:rsidRPr="00E8358C" w:rsidRDefault="004C50DC" w:rsidP="004C50DC">
      <w:pPr>
        <w:spacing w:before="120" w:after="120"/>
        <w:jc w:val="both"/>
      </w:pPr>
      <w:r w:rsidRPr="00E8358C">
        <w:t>L’histoire impose parfois des préoccupations à un peuple. Le grand problème d’Haïti après son indépendance était aussi, d’une part, l’obsession du retour possible des forces coloniales de la France en particulier et, d’autre part, la lutte contre l’isolement. Haïti était en fait isolée sur le continent américain parce que ce n’étaient pas seulement les puissances coloniales qui continuaient à pratiquer l’esclavage. La plupart des républiques latino-américaines devenues indépendantes, comme le Brésil, ont conservé l’esclavage. Les élites de ces anciennes colonies ont lutté contre les dominations espagnole, portugaise et a</w:t>
      </w:r>
      <w:r w:rsidRPr="00E8358C">
        <w:t>n</w:t>
      </w:r>
      <w:r w:rsidRPr="00E8358C">
        <w:t>glaise pour obtenir leur indépendance, mais les bourgeoisies créoles blanches, les bourgeoisies locales et métisses ont conservé l’esclavage. Il suffit de regarder les dates d’indépendance de tous les pays latino-américains et les dates où ils abolissent l’esclavage. Dans le meilleur des cas, ils conservent l’esclavage pendant vingt ans, le pire des cas restant le Brésil qui a été indépendant en 1822 et qui a aboli l’esclavage en 1888, soit soixante-six ans plus tard, deux tiers de siècle.</w:t>
      </w:r>
    </w:p>
    <w:p w:rsidR="004C50DC" w:rsidRPr="00E8358C" w:rsidRDefault="004C50DC" w:rsidP="004C50DC">
      <w:pPr>
        <w:spacing w:before="120" w:after="120"/>
        <w:jc w:val="both"/>
      </w:pPr>
      <w:r w:rsidRPr="00E8358C">
        <w:t>Haïti s’était résolue à se débarrasser de l’esclavage à la proclam</w:t>
      </w:r>
      <w:r w:rsidRPr="00E8358C">
        <w:t>a</w:t>
      </w:r>
      <w:r w:rsidRPr="00E8358C">
        <w:t>tion de son indépendance  en 1804. Elle était ainsi devenue un pays pestiféré, un mauvais exemple, d’où son isolement. Au premier congrès panaméricain de 1826, Haïti n’a pas été invitée alors qu’elle avait aidé le Vénézuela à conquérir son indépendance. De l’avis de nombreux Haïtiens, cette lutte contre l’isolement a forcé aussi le pr</w:t>
      </w:r>
      <w:r w:rsidRPr="00E8358C">
        <w:t>é</w:t>
      </w:r>
      <w:r w:rsidRPr="00E8358C">
        <w:t>sident Boyer à accepter de payer une indemnité, qu’on appelle la dette haïtienne, au roi Charles X en 1825. De ces avis, nous rapportons c</w:t>
      </w:r>
      <w:r w:rsidRPr="00E8358C">
        <w:t>e</w:t>
      </w:r>
      <w:r w:rsidRPr="00E8358C">
        <w:t>lui de Blanco, ce professeur d’histoire déjà mentionné au troisième chapitre.</w:t>
      </w:r>
    </w:p>
    <w:p w:rsidR="004C50DC" w:rsidRDefault="004C50DC" w:rsidP="004C50DC">
      <w:pPr>
        <w:pStyle w:val="Citation0"/>
      </w:pPr>
    </w:p>
    <w:p w:rsidR="004C50DC" w:rsidRPr="00E8358C" w:rsidRDefault="004C50DC" w:rsidP="004C50DC">
      <w:pPr>
        <w:pStyle w:val="Citation0"/>
      </w:pPr>
      <w:r w:rsidRPr="00E8358C">
        <w:t>Il faut replacer la signature de la reconnaissance de la dette de l’Indépendance haïtienne par Boyer dans le contexte géopolitique de l’heure. Haïti était isolée même par les pays</w:t>
      </w:r>
      <w:r>
        <w:t xml:space="preserve"> [226]</w:t>
      </w:r>
      <w:r w:rsidRPr="00E8358C">
        <w:t xml:space="preserve"> qu’elle a aidés à avoir leur indépendance. Certes, il ne devrait pas le faire. Peut-être qu’il aurait dû trouver une autre issue, car cette dette a eu des incide</w:t>
      </w:r>
      <w:r w:rsidRPr="00E8358C">
        <w:t>n</w:t>
      </w:r>
      <w:r w:rsidRPr="00E8358C">
        <w:t xml:space="preserve">ces néfastes sur le développement du pays. </w:t>
      </w:r>
    </w:p>
    <w:p w:rsidR="004C50DC" w:rsidRDefault="004C50DC" w:rsidP="004C50DC">
      <w:pPr>
        <w:pStyle w:val="Citation0c"/>
      </w:pPr>
      <w:r w:rsidRPr="00E8358C">
        <w:t>(Blanco, entrevue, 22 juillet 2013)</w:t>
      </w:r>
    </w:p>
    <w:p w:rsidR="004C50DC" w:rsidRPr="00E8358C" w:rsidRDefault="004C50DC" w:rsidP="004C50DC">
      <w:pPr>
        <w:pStyle w:val="Citation0c"/>
      </w:pPr>
    </w:p>
    <w:p w:rsidR="004C50DC" w:rsidRPr="00E8358C" w:rsidRDefault="004C50DC" w:rsidP="004C50DC">
      <w:pPr>
        <w:spacing w:before="120" w:after="120"/>
        <w:jc w:val="both"/>
      </w:pPr>
      <w:r w:rsidRPr="00E8358C">
        <w:t>Les mots de Clément, le sociologue qui nous a déjà fait part de ses avis au troisième chapitre, ne sont pas différents. Il précise que :</w:t>
      </w:r>
    </w:p>
    <w:p w:rsidR="004C50DC" w:rsidRDefault="004C50DC" w:rsidP="004C50DC">
      <w:pPr>
        <w:pStyle w:val="Citation0"/>
      </w:pPr>
    </w:p>
    <w:p w:rsidR="004C50DC" w:rsidRPr="00E8358C" w:rsidRDefault="004C50DC" w:rsidP="004C50DC">
      <w:pPr>
        <w:pStyle w:val="Citation0"/>
      </w:pPr>
      <w:r w:rsidRPr="00E8358C">
        <w:t>La dette de l’Indépendance est toujours étudiée comme un acte d</w:t>
      </w:r>
      <w:r w:rsidRPr="00E8358C">
        <w:t>é</w:t>
      </w:r>
      <w:r w:rsidRPr="00E8358C">
        <w:t xml:space="preserve">libéré de Boyer. Si on analyse le contexte politique et économique du pays, on verra qu’il a été contraint par les événements. D’abord, le pays faisait face à un isolement. En plus, Boyer a hérité d’un dossier déjà entamé par Pétion. </w:t>
      </w:r>
    </w:p>
    <w:p w:rsidR="004C50DC" w:rsidRDefault="004C50DC" w:rsidP="004C50DC">
      <w:pPr>
        <w:pStyle w:val="Citation0c"/>
      </w:pPr>
      <w:r w:rsidRPr="00E8358C">
        <w:t>(Clément, entrevue, 11 novembre 2013)</w:t>
      </w:r>
    </w:p>
    <w:p w:rsidR="004C50DC" w:rsidRPr="00E8358C" w:rsidRDefault="004C50DC" w:rsidP="004C50DC">
      <w:pPr>
        <w:pStyle w:val="Citation0c"/>
      </w:pPr>
    </w:p>
    <w:p w:rsidR="004C50DC" w:rsidRPr="00E8358C" w:rsidRDefault="004C50DC" w:rsidP="004C50DC">
      <w:pPr>
        <w:spacing w:before="120" w:after="120"/>
        <w:jc w:val="both"/>
      </w:pPr>
      <w:r w:rsidRPr="00E8358C">
        <w:t xml:space="preserve">Faut-il vraiment croire qu’Alexandre Pétion et Jean-Pierre Boyer voulaient sauver la nation en payant la dette de l’indépendance ? Peut-être qu’ils estimaient que c’était la meilleure solution, puisqu’il fallait après trouver une stabilité politique sur le plan interne. Cette dette ne profanait-elle pas la valeur de la Révolution d’Indépendance haïtienne acquise au prix du sang des esclaves ? Le professeur Leslie François Manigat parle plutôt d’une espèce de flottement de patriotisme chez le président Alexandre Pétion et le président Jean-Pierre Boyer dans le fait qu’ils aient reconnu officiellement la dette. </w:t>
      </w:r>
    </w:p>
    <w:p w:rsidR="004C50DC" w:rsidRPr="00E8358C" w:rsidRDefault="004C50DC" w:rsidP="004C50DC">
      <w:pPr>
        <w:spacing w:before="120" w:after="120"/>
        <w:jc w:val="both"/>
        <w:rPr>
          <w:lang w:eastAsia="en-CA"/>
        </w:rPr>
      </w:pPr>
      <w:r w:rsidRPr="00E8358C">
        <w:t>La folie de posséder aveuglait les élites haïtiennes. La gestion de l’habitation en tant que concept d’espace et de production qui faisait d’Haïti la « Perle des Antilles » a été abandonnée. Les canaux d’irrigation qui permettaient d’arroser les terres cultivables ont été laissés à l’abandon. Ils ont été pour la plupart détruits. Quelques ve</w:t>
      </w:r>
      <w:r w:rsidRPr="00E8358C">
        <w:t>s</w:t>
      </w:r>
      <w:r w:rsidRPr="00E8358C">
        <w:t>tiges existent encore. Le canal d’Avezac</w:t>
      </w:r>
      <w:r>
        <w:t> </w:t>
      </w:r>
      <w:r>
        <w:rPr>
          <w:rStyle w:val="Appelnotedebasdep"/>
        </w:rPr>
        <w:footnoteReference w:id="632"/>
      </w:r>
      <w:r w:rsidRPr="00E8358C">
        <w:t>, construit en 1765, est le mieux conservé. Il sert encore à arroser les plaines agricoles des loc</w:t>
      </w:r>
      <w:r w:rsidRPr="00E8358C">
        <w:t>a</w:t>
      </w:r>
      <w:r w:rsidRPr="00E8358C">
        <w:t>lités de Lévy, Mersan, Lamartine… En peu de temps, on a vu le pays s’enfoncer dans un marasme économique sans pareil. Très</w:t>
      </w:r>
      <w:r w:rsidRPr="00E8358C">
        <w:rPr>
          <w:lang w:eastAsia="en-CA"/>
        </w:rPr>
        <w:t xml:space="preserve"> tôt le « patrimonialisme et le clientélisme »</w:t>
      </w:r>
      <w:r>
        <w:rPr>
          <w:lang w:eastAsia="en-CA"/>
        </w:rPr>
        <w:t> </w:t>
      </w:r>
      <w:r>
        <w:rPr>
          <w:rStyle w:val="Appelnotedebasdep"/>
          <w:lang w:eastAsia="en-CA"/>
        </w:rPr>
        <w:footnoteReference w:id="633"/>
      </w:r>
      <w:r w:rsidRPr="00E8358C">
        <w:rPr>
          <w:lang w:eastAsia="en-CA"/>
        </w:rPr>
        <w:t xml:space="preserve"> ont pris le contrôle du bien public. Les « chercheurs de richesses », expression employée par L</w:t>
      </w:r>
      <w:r w:rsidRPr="00E8358C">
        <w:rPr>
          <w:lang w:eastAsia="en-CA"/>
        </w:rPr>
        <w:t>e</w:t>
      </w:r>
      <w:r w:rsidRPr="00E8358C">
        <w:rPr>
          <w:lang w:eastAsia="en-CA"/>
        </w:rPr>
        <w:t xml:space="preserve">slie Péan, priorisent leurs intérêts mesquins et ceux des collaborateurs étrangers au détriment de ceux du peuple. La corruption gangrène les sphères administratives et financières d’Haïti jusqu’à maintenant. </w:t>
      </w:r>
    </w:p>
    <w:p w:rsidR="004C50DC" w:rsidRPr="00E8358C" w:rsidRDefault="004C50DC" w:rsidP="004C50DC">
      <w:pPr>
        <w:pStyle w:val="p"/>
        <w:rPr>
          <w:lang w:eastAsia="en-CA"/>
        </w:rPr>
      </w:pPr>
      <w:r w:rsidRPr="00E8358C">
        <w:rPr>
          <w:lang w:eastAsia="en-CA"/>
        </w:rPr>
        <w:br w:type="page"/>
      </w:r>
      <w:bookmarkStart w:id="253" w:name="_Toc442280503"/>
      <w:r w:rsidRPr="00E8358C">
        <w:rPr>
          <w:lang w:eastAsia="en-CA"/>
        </w:rPr>
        <w:t>[227]</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254" w:name="Memoire_chap_V"/>
      <w:r w:rsidRPr="00EF76C4">
        <w:rPr>
          <w:b/>
          <w:sz w:val="24"/>
        </w:rPr>
        <w:t>Mémoire de l’esclavage en Haïti.</w:t>
      </w:r>
    </w:p>
    <w:p w:rsidR="004C50DC" w:rsidRDefault="004C50DC" w:rsidP="004C50DC">
      <w:pPr>
        <w:pStyle w:val="Titreniveau1"/>
        <w:rPr>
          <w:szCs w:val="36"/>
        </w:rPr>
      </w:pPr>
      <w:r>
        <w:rPr>
          <w:szCs w:val="36"/>
        </w:rPr>
        <w:t>Chapitre V</w:t>
      </w:r>
    </w:p>
    <w:p w:rsidR="004C50DC" w:rsidRPr="001F21A7" w:rsidRDefault="004C50DC" w:rsidP="004C50DC">
      <w:pPr>
        <w:pStyle w:val="Titreniveau2"/>
      </w:pPr>
      <w:r w:rsidRPr="000A1CB5">
        <w:t>Perceptions des mémoires</w:t>
      </w:r>
      <w:r>
        <w:br/>
      </w:r>
      <w:r w:rsidRPr="000A1CB5">
        <w:t>de l’esclavage dans les lieux matériels :</w:t>
      </w:r>
      <w:r>
        <w:br/>
      </w:r>
      <w:r w:rsidRPr="000A1CB5">
        <w:t>habitations c</w:t>
      </w:r>
      <w:r w:rsidRPr="000A1CB5">
        <w:t>o</w:t>
      </w:r>
      <w:r w:rsidRPr="000A1CB5">
        <w:t>loniales et fortifications</w:t>
      </w:r>
    </w:p>
    <w:bookmarkEnd w:id="254"/>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253"/>
    <w:p w:rsidR="004C50DC" w:rsidRDefault="004C50DC" w:rsidP="004C50DC">
      <w:pPr>
        <w:spacing w:before="120" w:after="120"/>
        <w:jc w:val="both"/>
      </w:pPr>
      <w:r w:rsidRPr="00E8358C">
        <w:t>Haïti, la première République noire, conserve et développe des particularités administratives, environnementales et culturelles qui la distinguent des anciennes colonies françaises. Cette particularité s’inscrit notamment dans « la microtoponymie locale qui a conservé assez fidèlement pour la plupart des noms de lieux, ceux de leurs a</w:t>
      </w:r>
      <w:r w:rsidRPr="00E8358C">
        <w:t>n</w:t>
      </w:r>
      <w:r w:rsidRPr="00E8358C">
        <w:t>ciens propriétaires coloniaux […] et les noms de famille (Gardère, Castera, Dupuy, Sansaricq, Casamajor, Caradeux…) »</w:t>
      </w:r>
      <w:r>
        <w:t> </w:t>
      </w:r>
      <w:r w:rsidRPr="00E8358C">
        <w:rPr>
          <w:rStyle w:val="Appelnotedebasdep"/>
        </w:rPr>
        <w:footnoteReference w:id="634"/>
      </w:r>
      <w:r w:rsidRPr="00E8358C">
        <w:t>. Les Ha</w:t>
      </w:r>
      <w:r w:rsidRPr="00E8358C">
        <w:t>ï</w:t>
      </w:r>
      <w:r w:rsidRPr="00E8358C">
        <w:t>tiens ont conservé ces noms de lieux qui renvoient à la colonie et à l’esclavage. Cette originalité ne se limite pas seulement à la valeur de ces éléments du patrimoine colonial, historique et mémoriel, mais aussi à la façon dont le citoyen haïtien cherche quotidiennement à fa</w:t>
      </w:r>
      <w:r w:rsidRPr="00E8358C">
        <w:t>i</w:t>
      </w:r>
      <w:r w:rsidRPr="00E8358C">
        <w:t>re le deuil du passé esclavagiste. Dans ce chapitre, les habitations c</w:t>
      </w:r>
      <w:r w:rsidRPr="00E8358C">
        <w:t>o</w:t>
      </w:r>
      <w:r w:rsidRPr="00E8358C">
        <w:t>loniales et les fortifications sont présentées dans leur structure, leur organisation et leur symbolisme pour permettre une meilleure co</w:t>
      </w:r>
      <w:r w:rsidRPr="00E8358C">
        <w:t>m</w:t>
      </w:r>
      <w:r w:rsidRPr="00E8358C">
        <w:t>préhension de leur utilisation comme supports des mémoires de l’esclavage.</w:t>
      </w:r>
    </w:p>
    <w:p w:rsidR="004C50DC" w:rsidRPr="00E8358C" w:rsidRDefault="004C50DC" w:rsidP="004C50DC">
      <w:pPr>
        <w:spacing w:before="120" w:after="120"/>
        <w:jc w:val="both"/>
      </w:pPr>
    </w:p>
    <w:p w:rsidR="004C50DC" w:rsidRPr="00E8358C" w:rsidRDefault="004C50DC" w:rsidP="004C50DC">
      <w:pPr>
        <w:pStyle w:val="planche"/>
      </w:pPr>
      <w:bookmarkStart w:id="255" w:name="_Toc406489658"/>
      <w:bookmarkStart w:id="256" w:name="_Toc423347326"/>
      <w:bookmarkStart w:id="257" w:name="_Toc442280505"/>
      <w:bookmarkStart w:id="258" w:name="Memoire_chap_IV_5_1"/>
      <w:r>
        <w:t>5.1. Organisation</w:t>
      </w:r>
      <w:r>
        <w:br/>
      </w:r>
      <w:r w:rsidRPr="00E8358C">
        <w:t>et type d’habitation coloniale</w:t>
      </w:r>
      <w:bookmarkEnd w:id="255"/>
      <w:bookmarkEnd w:id="256"/>
      <w:bookmarkEnd w:id="257"/>
    </w:p>
    <w:bookmarkEnd w:id="258"/>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Dans l’ancienne colonie de Saint-Domingue devenue Haïti, « l’habitation » naît avec l’arrivée des Espagnols et est ensuite instit</w:t>
      </w:r>
      <w:r w:rsidRPr="00E8358C">
        <w:t>u</w:t>
      </w:r>
      <w:r w:rsidRPr="00E8358C">
        <w:t>tionnalisée par les Français à la fin du XVII</w:t>
      </w:r>
      <w:r w:rsidRPr="00E8358C">
        <w:rPr>
          <w:vertAlign w:val="superscript"/>
        </w:rPr>
        <w:t>e</w:t>
      </w:r>
      <w:r w:rsidRPr="00E8358C">
        <w:t xml:space="preserve"> siècle. C’est en fait une exploitation agricole régie par le système concessionnaire et dont l’univers social très contrasté se caractérise par le système esclavagi</w:t>
      </w:r>
      <w:r w:rsidRPr="00E8358C">
        <w:t>s</w:t>
      </w:r>
      <w:r w:rsidRPr="00E8358C">
        <w:t>te et par le développement d’une société pluriethnique</w:t>
      </w:r>
      <w:r>
        <w:t> </w:t>
      </w:r>
      <w:r>
        <w:rPr>
          <w:rStyle w:val="Appelnotedebasdep"/>
        </w:rPr>
        <w:footnoteReference w:id="635"/>
      </w:r>
      <w:r w:rsidRPr="00E8358C">
        <w:t xml:space="preserve"> d’esclaves africains, de créoles et de maîtres (libres de couleur</w:t>
      </w:r>
      <w:r>
        <w:t> </w:t>
      </w:r>
      <w:r>
        <w:rPr>
          <w:rStyle w:val="Appelnotedebasdep"/>
        </w:rPr>
        <w:footnoteReference w:id="636"/>
      </w:r>
      <w:r w:rsidRPr="00E8358C">
        <w:t>, colons eur</w:t>
      </w:r>
      <w:r w:rsidRPr="00E8358C">
        <w:t>o</w:t>
      </w:r>
      <w:r w:rsidRPr="00E8358C">
        <w:t xml:space="preserve">péens). </w:t>
      </w:r>
    </w:p>
    <w:p w:rsidR="004C50DC" w:rsidRPr="00E95DCE" w:rsidRDefault="004C50DC" w:rsidP="004C50DC">
      <w:pPr>
        <w:spacing w:before="120" w:after="120"/>
        <w:jc w:val="both"/>
      </w:pPr>
      <w:r>
        <w:t>[228]</w:t>
      </w:r>
    </w:p>
    <w:p w:rsidR="004C50DC" w:rsidRPr="00E8358C" w:rsidRDefault="004C50DC" w:rsidP="004C50DC">
      <w:pPr>
        <w:spacing w:before="120" w:after="120"/>
        <w:jc w:val="both"/>
      </w:pPr>
      <w:r w:rsidRPr="00E8358C">
        <w:rPr>
          <w:rStyle w:val="corps"/>
        </w:rPr>
        <w:t>L’habitation coloniale, telle qu’elle est présentée dans les manuels scolaires, ne traduit pas une véritable compréhension de la dynamique sociale haïtienne. Cependant, d</w:t>
      </w:r>
      <w:r w:rsidRPr="00E8358C">
        <w:t>ans le créole haïtien, élément de co</w:t>
      </w:r>
      <w:r w:rsidRPr="00E8358C">
        <w:t>m</w:t>
      </w:r>
      <w:r w:rsidRPr="00E8358C">
        <w:t xml:space="preserve">munication de la mémoire collective, le terme </w:t>
      </w:r>
      <w:r w:rsidRPr="00E8358C">
        <w:rPr>
          <w:i/>
          <w:iCs/>
        </w:rPr>
        <w:t>bitasyon</w:t>
      </w:r>
      <w:r w:rsidRPr="00E8358C">
        <w:rPr>
          <w:iCs/>
        </w:rPr>
        <w:t xml:space="preserve"> (habitation) </w:t>
      </w:r>
      <w:r w:rsidRPr="00E8358C">
        <w:t>est très répandu. Aujourd’hui le terme d’habitation ne revêt plus le sens de grande plantation esclavagiste ; il a subi une évolution sémantique pour devenir l’espace où vivent des individus souvent issus d’une même famille dans des milieux ruraux fortement caractérisés par l’entraide et le « vivre ensemble ». L’habitation signifie la résidence de « l’habitant »</w:t>
      </w:r>
      <w:r>
        <w:t> </w:t>
      </w:r>
      <w:r>
        <w:rPr>
          <w:rStyle w:val="Appelnotedebasdep"/>
        </w:rPr>
        <w:footnoteReference w:id="637"/>
      </w:r>
      <w:r w:rsidRPr="00E8358C">
        <w:t>, terme souvent employé en Haïti et dans d’autres pays (Canada, Guyane) pour désigner le paysan ou l’exploitant agric</w:t>
      </w:r>
      <w:r w:rsidRPr="00E8358C">
        <w:t>o</w:t>
      </w:r>
      <w:r w:rsidRPr="00E8358C">
        <w:t>le, c’est-à-dire celui « qui habite là », par opposition aux administr</w:t>
      </w:r>
      <w:r w:rsidRPr="00E8358C">
        <w:t>a</w:t>
      </w:r>
      <w:r w:rsidRPr="00E8358C">
        <w:t xml:space="preserve">teurs et aux marchands qui ne résidaient pas sur place. </w:t>
      </w:r>
    </w:p>
    <w:p w:rsidR="004C50DC" w:rsidRPr="00E8358C" w:rsidRDefault="004C50DC" w:rsidP="004C50DC">
      <w:pPr>
        <w:spacing w:before="120" w:after="120"/>
        <w:jc w:val="both"/>
      </w:pPr>
      <w:r w:rsidRPr="00E8358C">
        <w:t>Saint-Domingue était la colonie la plus importante de la France au XVIII</w:t>
      </w:r>
      <w:r w:rsidRPr="00E8358C">
        <w:rPr>
          <w:vertAlign w:val="superscript"/>
        </w:rPr>
        <w:t>e</w:t>
      </w:r>
      <w:r w:rsidRPr="00E8358C">
        <w:t xml:space="preserve"> siècle. Jacques de Cauna souligne qu’elle était « la plus pe</w:t>
      </w:r>
      <w:r w:rsidRPr="00E8358C">
        <w:t>u</w:t>
      </w:r>
      <w:r w:rsidRPr="00E8358C">
        <w:t>plée, la plus riche des îles à sucre antillaises de la Caraïbe avec 8500 habitations coloniales conservées à la France par le traité de P</w:t>
      </w:r>
      <w:r w:rsidRPr="00E8358C">
        <w:t>a</w:t>
      </w:r>
      <w:r w:rsidRPr="00E8358C">
        <w:t>ris au détriment des quelques arpents de neige du Canada »</w:t>
      </w:r>
      <w:r>
        <w:t> </w:t>
      </w:r>
      <w:r>
        <w:rPr>
          <w:rStyle w:val="Appelnotedebasdep"/>
        </w:rPr>
        <w:footnoteReference w:id="638"/>
      </w:r>
      <w:r w:rsidRPr="00E8358C">
        <w:t>. Il y a lieu de se demander qui était le moteur de cette prospérité économ</w:t>
      </w:r>
      <w:r w:rsidRPr="00E8358C">
        <w:t>i</w:t>
      </w:r>
      <w:r w:rsidRPr="00E8358C">
        <w:t xml:space="preserve">que. Toute la richesse était construite sur le dos des esclaves en dehors des principes d’humanité et de respect des droits de l’homme. Il fallait tout faire pour qu’elle reste « la Reine des Antilles », « l’orgueil de la France dans le Nouveau-Monde » comme l’appelait Moreau de Saint-Méry. </w:t>
      </w:r>
    </w:p>
    <w:p w:rsidR="004C50DC" w:rsidRDefault="004C50DC" w:rsidP="004C50DC">
      <w:pPr>
        <w:spacing w:before="120" w:after="120"/>
        <w:jc w:val="both"/>
      </w:pPr>
      <w:r w:rsidRPr="00E8358C">
        <w:t>Les habitations, surtout sucrières, présentent à peu près la même configuration, la même organisation comme nous le montrent les gr</w:t>
      </w:r>
      <w:r w:rsidRPr="00E8358C">
        <w:t>a</w:t>
      </w:r>
      <w:r w:rsidRPr="00E8358C">
        <w:t>vures d’époque (Figure 16). La maison du maître est souvent située au sommet d’une colline pour un meilleur contrôle de l’habitation et des esclaves, et face aux vents dominants par rapport aux cases des escl</w:t>
      </w:r>
      <w:r w:rsidRPr="00E8358C">
        <w:t>a</w:t>
      </w:r>
      <w:r w:rsidRPr="00E8358C">
        <w:t>ves et des bâtiments d’exploitation situés en contrebas, pour prévenir les risques d’incendie et éviter,</w:t>
      </w:r>
      <w:r>
        <w:t xml:space="preserve"> [229]</w:t>
      </w:r>
      <w:r w:rsidRPr="00E8358C">
        <w:t xml:space="preserve"> dit-on, de respirer les odeurs corporelles des esclaves entassés dans les cases et celles des bagasses. Thomas Madiou soutient que « le sommet des plus hautes montagnes était occupé par des familles blanches entourées de milliers d’esclaves que le régime le plus dur maintenait dans l’ordre »</w:t>
      </w:r>
      <w:r>
        <w:t> </w:t>
      </w:r>
      <w:r>
        <w:rPr>
          <w:rStyle w:val="Appelnotedebasdep"/>
        </w:rPr>
        <w:footnoteReference w:id="639"/>
      </w:r>
      <w:r w:rsidRPr="00E8358C">
        <w:t>.</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313430" cy="2473960"/>
            <wp:effectExtent l="25400" t="25400" r="13970" b="15240"/>
            <wp:docPr id="22" name="Image 9" descr="IMG_0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descr="IMG_0292"/>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3430" cy="247396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59" w:name="_Toc417146061"/>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95DCE" w:rsidRDefault="004C50DC" w:rsidP="004C50DC">
      <w:pPr>
        <w:pStyle w:val="figst1"/>
      </w:pPr>
      <w:bookmarkStart w:id="260" w:name="Memoire_fig_16"/>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16</w:t>
      </w:r>
      <w:r w:rsidRPr="00E95DCE">
        <w:fldChar w:fldCharType="end"/>
      </w:r>
      <w:r w:rsidRPr="00E95DCE">
        <w:t>. Vue d’une habitation sucrière en 1760. Le secteur pr</w:t>
      </w:r>
      <w:r w:rsidRPr="00E95DCE">
        <w:t>é</w:t>
      </w:r>
      <w:r w:rsidRPr="00E95DCE">
        <w:t>industriel est à gauche. On remarque que l’aqueduc est un simple conduit en bois soutenu par des poteaux. À droite, en élévation, la grande case et quelques autres cases. En bas, le quartier des Nègres domestiques. Les champs de canne sont au centre en arrière-plan, séparés par une clôture de la savane au premier plan</w:t>
      </w:r>
      <w:r>
        <w:rPr>
          <w:i w:val="0"/>
        </w:rPr>
        <w:t> </w:t>
      </w:r>
      <w:r>
        <w:rPr>
          <w:rStyle w:val="Appelnotedebasdep"/>
          <w:i w:val="0"/>
        </w:rPr>
        <w:footnoteReference w:id="640"/>
      </w:r>
      <w:r w:rsidRPr="00E95DCE">
        <w:t>.</w:t>
      </w:r>
      <w:bookmarkEnd w:id="259"/>
    </w:p>
    <w:bookmarkEnd w:id="260"/>
    <w:p w:rsidR="004C50DC" w:rsidRPr="00E8358C" w:rsidRDefault="004C50DC" w:rsidP="004C50DC">
      <w:pPr>
        <w:spacing w:before="120" w:after="120"/>
        <w:jc w:val="both"/>
        <w:rPr>
          <w:i/>
          <w:szCs w:val="18"/>
        </w:rPr>
      </w:pPr>
    </w:p>
    <w:p w:rsidR="004C50DC" w:rsidRPr="00E8358C" w:rsidRDefault="004C50DC" w:rsidP="004C50DC">
      <w:pPr>
        <w:spacing w:before="120" w:after="120"/>
        <w:jc w:val="both"/>
      </w:pPr>
      <w:r w:rsidRPr="00E8358C">
        <w:t>La maison était rarement habitée par le maître. Il se faisait repr</w:t>
      </w:r>
      <w:r w:rsidRPr="00E8358C">
        <w:t>é</w:t>
      </w:r>
      <w:r w:rsidRPr="00E8358C">
        <w:t>senter par son administrateur qui avait pour responsabilité la gestion de l’habitation, qui renfermait les cases de l’économe et des guild</w:t>
      </w:r>
      <w:r w:rsidRPr="00E8358C">
        <w:t>i</w:t>
      </w:r>
      <w:r w:rsidRPr="00E8358C">
        <w:t>viers blancs, le clocher qui appelait les esclaves au travail, les réside</w:t>
      </w:r>
      <w:r w:rsidRPr="00E8358C">
        <w:t>n</w:t>
      </w:r>
      <w:r w:rsidRPr="00E8358C">
        <w:t>ces des esclaves domestiques, du cuisinier, des hôtes ; les cases à b</w:t>
      </w:r>
      <w:r w:rsidRPr="00E8358C">
        <w:t>a</w:t>
      </w:r>
      <w:r w:rsidRPr="00E8358C">
        <w:t>gasse, les magasins et les entrepôts ainsi que les ateliers (forge, cha</w:t>
      </w:r>
      <w:r w:rsidRPr="00E8358C">
        <w:t>r</w:t>
      </w:r>
      <w:r w:rsidRPr="00E8358C">
        <w:t>ronnerie, menuiserie)</w:t>
      </w:r>
      <w:r>
        <w:t> </w:t>
      </w:r>
      <w:r>
        <w:rPr>
          <w:rStyle w:val="Appelnotedebasdep"/>
        </w:rPr>
        <w:footnoteReference w:id="641"/>
      </w:r>
      <w:r w:rsidRPr="00E8358C">
        <w:t>. Les esclaves étaient regroupés dans les c</w:t>
      </w:r>
      <w:r w:rsidRPr="00E8358C">
        <w:t>a</w:t>
      </w:r>
      <w:r w:rsidRPr="00E8358C">
        <w:t xml:space="preserve">ses, soit seuls, soit en famille lorsqu’elle pouvait se constituer. </w:t>
      </w:r>
    </w:p>
    <w:p w:rsidR="004C50DC" w:rsidRPr="00E8358C" w:rsidRDefault="004C50DC" w:rsidP="004C50DC">
      <w:pPr>
        <w:spacing w:before="120" w:after="120"/>
        <w:jc w:val="both"/>
      </w:pPr>
      <w:r w:rsidRPr="00E8358C">
        <w:t>Les champs de canne à sucre ou de café, d’indigo ou encore de c</w:t>
      </w:r>
      <w:r w:rsidRPr="00E8358C">
        <w:t>a</w:t>
      </w:r>
      <w:r w:rsidRPr="00E8358C">
        <w:t>cao occupaient les</w:t>
      </w:r>
      <w:r>
        <w:t xml:space="preserve"> [230]</w:t>
      </w:r>
      <w:r w:rsidRPr="00E8358C">
        <w:t xml:space="preserve"> espaces cultivables et fournissaient des m</w:t>
      </w:r>
      <w:r w:rsidRPr="00E8358C">
        <w:t>a</w:t>
      </w:r>
      <w:r w:rsidRPr="00E8358C">
        <w:t>tières premières pour Saint-Domingue. Le taux de mortalité était considérable. Michel-Rolph Trouillot souligne que « les planteurs ou les contremaîtres préféraient souvent ne pas inscrire au registre la naissance d’un bébé noir dont la survie était peu probable compte tenu du fort taux de mortalité infantile »</w:t>
      </w:r>
      <w:r>
        <w:t> </w:t>
      </w:r>
      <w:r>
        <w:rPr>
          <w:rStyle w:val="Appelnotedebasdep"/>
        </w:rPr>
        <w:footnoteReference w:id="642"/>
      </w:r>
      <w:r w:rsidRPr="00E8358C">
        <w:t>. Par exemple, dans la sucrerie de Fleuriau, un taux moyen de mortalité de 15% a été observé, compar</w:t>
      </w:r>
      <w:r w:rsidRPr="00E8358C">
        <w:t>a</w:t>
      </w:r>
      <w:r w:rsidRPr="00E8358C">
        <w:t>tivement à celui de la natalité qui était en moyenne de 10% entre 1777 et 1788</w:t>
      </w:r>
      <w:r>
        <w:t> </w:t>
      </w:r>
      <w:r>
        <w:rPr>
          <w:rStyle w:val="Appelnotedebasdep"/>
        </w:rPr>
        <w:footnoteReference w:id="643"/>
      </w:r>
      <w:r>
        <w:rPr>
          <w:vertAlign w:val="superscript"/>
        </w:rPr>
        <w:t>.</w:t>
      </w:r>
      <w:r w:rsidRPr="00E8358C">
        <w:t xml:space="preserve"> Selon les historiens haïtiens Michel Hector et Claude Mo</w:t>
      </w:r>
      <w:r w:rsidRPr="00E8358C">
        <w:t>ï</w:t>
      </w:r>
      <w:r w:rsidRPr="00E8358C">
        <w:t>se,</w:t>
      </w:r>
    </w:p>
    <w:p w:rsidR="004C50DC" w:rsidRDefault="004C50DC" w:rsidP="004C50DC">
      <w:pPr>
        <w:pStyle w:val="Citation0"/>
      </w:pPr>
    </w:p>
    <w:p w:rsidR="004C50DC" w:rsidRDefault="004C50DC" w:rsidP="004C50DC">
      <w:pPr>
        <w:pStyle w:val="Citation0"/>
      </w:pPr>
      <w:r w:rsidRPr="00E8358C">
        <w:t>[en] période de récolte et de fabrication du sucre, les esclaves sont a</w:t>
      </w:r>
      <w:r w:rsidRPr="00E8358C">
        <w:t>s</w:t>
      </w:r>
      <w:r w:rsidRPr="00E8358C">
        <w:t>treints aux divers travaux (coupe, transport, broyage, fabrication du sucre), au total seize et même dix-huit heures par jour, sans interru</w:t>
      </w:r>
      <w:r w:rsidRPr="00E8358C">
        <w:t>p</w:t>
      </w:r>
      <w:r w:rsidRPr="00E8358C">
        <w:t>tion pendant deux ou trois semaines. L’espérance de vie d’un esclave ne dépasse pas généralement 25 ans dans ces conditions. On fait connaître à celui-ci des conditions d’existence de plus en plus inhumaines pour entretenir la di</w:t>
      </w:r>
      <w:r w:rsidRPr="00E8358C">
        <w:t>s</w:t>
      </w:r>
      <w:r w:rsidRPr="00E8358C">
        <w:t>tance des deux pôles (le maître blanc et l’esclave noir), en d’autres termes, pour perpétuer la domination du maître blanc sur l’esclave noir</w:t>
      </w:r>
      <w:r>
        <w:t> </w:t>
      </w:r>
      <w:r>
        <w:rPr>
          <w:rStyle w:val="Appelnotedebasdep"/>
        </w:rPr>
        <w:footnoteReference w:id="644"/>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Il y avait surtout un souci de rentabilité. L’exploitation de la canne à sucre et sa récolte étaient des travaux pénibles à l’époque coloniale. La cloche était aussi un élément fondamental pour le bon fonctionn</w:t>
      </w:r>
      <w:r w:rsidRPr="00E8358C">
        <w:t>e</w:t>
      </w:r>
      <w:r w:rsidRPr="00E8358C">
        <w:t>ment de l’habitation coloniale. Alexandre de Wimpffen brosse le sombre tableau du début d’une journée de travail :  </w:t>
      </w:r>
    </w:p>
    <w:p w:rsidR="004C50DC" w:rsidRDefault="004C50DC" w:rsidP="004C50DC">
      <w:pPr>
        <w:pStyle w:val="Citation0"/>
      </w:pPr>
      <w:r>
        <w:br w:type="page"/>
      </w:r>
    </w:p>
    <w:p w:rsidR="004C50DC" w:rsidRDefault="004C50DC" w:rsidP="004C50DC">
      <w:pPr>
        <w:pStyle w:val="Citation0"/>
      </w:pPr>
      <w:r w:rsidRPr="00E8358C">
        <w:t>Le claquement des fouets, les cris étouffés, les gémissements des Nègres qui ne voient naître le jour que pour le maudire, qui ne sont rappelés au sentiment de leur existence que par des sensations doulo</w:t>
      </w:r>
      <w:r w:rsidRPr="00E8358C">
        <w:t>u</w:t>
      </w:r>
      <w:r w:rsidRPr="00E8358C">
        <w:t>reuses ; voilà ce qui remplace le chant du coq matinal</w:t>
      </w:r>
      <w:r>
        <w:t> </w:t>
      </w:r>
      <w:r>
        <w:rPr>
          <w:rStyle w:val="Appelnotedebasdep"/>
        </w:rPr>
        <w:footnoteReference w:id="645"/>
      </w:r>
      <w:r>
        <w:t>.</w:t>
      </w:r>
    </w:p>
    <w:p w:rsidR="004C50DC" w:rsidRPr="00E8358C" w:rsidRDefault="004C50DC" w:rsidP="004C50DC">
      <w:pPr>
        <w:pStyle w:val="Citation0"/>
      </w:pPr>
    </w:p>
    <w:p w:rsidR="004C50DC" w:rsidRPr="00E8358C" w:rsidRDefault="004C50DC" w:rsidP="004C50DC">
      <w:pPr>
        <w:spacing w:before="120" w:after="120"/>
        <w:jc w:val="both"/>
      </w:pPr>
      <w:r w:rsidRPr="00E8358C">
        <w:t>Les bâtiments d’unités de production sont constitués de : moulin hydraulique ou à bêtes</w:t>
      </w:r>
      <w:r>
        <w:t> </w:t>
      </w:r>
      <w:r>
        <w:rPr>
          <w:rStyle w:val="Appelnotedebasdep"/>
        </w:rPr>
        <w:footnoteReference w:id="646"/>
      </w:r>
      <w:r w:rsidRPr="00E8358C">
        <w:t>, aqueduc, four, chaudières, purgerie, ét</w:t>
      </w:r>
      <w:r w:rsidRPr="00E8358C">
        <w:t>u</w:t>
      </w:r>
      <w:r w:rsidRPr="00E8358C">
        <w:t>ve… pour fabriquer le sucre très demandé en métropole française et dans l’ensemble de l’Europe. Sur les habitations pouvaient se trouver des parcs de bœufs, de chevaux, de moutons, de chèvres, sans oublier des puits et des abreuvoirs. Les jardins des esclaves étaient tolérés et cultivés par eux, car cette</w:t>
      </w:r>
      <w:r>
        <w:t xml:space="preserve"> [231]</w:t>
      </w:r>
      <w:r w:rsidRPr="00E8358C">
        <w:t xml:space="preserve"> autoproduction réduisait l’obligation qui était faite au maître d’assurer leur nourriture. Une fois qu’ils te</w:t>
      </w:r>
      <w:r w:rsidRPr="00E8358C">
        <w:t>r</w:t>
      </w:r>
      <w:r w:rsidRPr="00E8358C">
        <w:t xml:space="preserve">minaient leur journée de travail – jusqu’à douze heures sans répit dans les champs de canne à sucre, dans les étuves des moulins, auprès des fours pour obtenir la mélasse, ils devaient ensuite passer un certain nombre d’heures dans les jardins. Ce sont de petits lopins de terre qui leur sont alloués pour les cultures vivrières et l’élevage de leurs bêtes en vue d’assurer leur propre subsistance. Les situations variaient grandement d’une plantation à l’autre selon l’humanité ou le sadisme du maître ou de son représentant sur les plantations. </w:t>
      </w:r>
    </w:p>
    <w:p w:rsidR="004C50DC" w:rsidRPr="00E8358C" w:rsidRDefault="004C50DC" w:rsidP="004C50DC">
      <w:pPr>
        <w:spacing w:before="120" w:after="120"/>
        <w:jc w:val="both"/>
      </w:pPr>
      <w:r w:rsidRPr="00E8358C">
        <w:t>Plusieurs types d’habitations s’étendaient sur l’ensemble des 28 000 km</w:t>
      </w:r>
      <w:r w:rsidRPr="00E8358C">
        <w:rPr>
          <w:vertAlign w:val="superscript"/>
        </w:rPr>
        <w:t>2</w:t>
      </w:r>
      <w:r w:rsidRPr="00E8358C">
        <w:t xml:space="preserve"> de la colonie. Aujourd’hui, on ne retrouve presque pas de traces des habitations d’exploitation de coton, d’indigo, de cacao et de tabac qui pourtant étaient considérables</w:t>
      </w:r>
      <w:r>
        <w:t> </w:t>
      </w:r>
      <w:r>
        <w:rPr>
          <w:rStyle w:val="Appelnotedebasdep"/>
        </w:rPr>
        <w:footnoteReference w:id="647"/>
      </w:r>
      <w:r w:rsidRPr="00E8358C">
        <w:t>.  Saint-Domingue était su</w:t>
      </w:r>
      <w:r w:rsidRPr="00E8358C">
        <w:t>r</w:t>
      </w:r>
      <w:r w:rsidRPr="00E8358C">
        <w:t>tout constituée de plantations sucrières avec un « capital investi de 40% de toute la fortune de la colonie</w:t>
      </w:r>
      <w:r>
        <w:t> </w:t>
      </w:r>
      <w:r>
        <w:rPr>
          <w:rStyle w:val="Appelnotedebasdep"/>
        </w:rPr>
        <w:footnoteReference w:id="648"/>
      </w:r>
      <w:r w:rsidRPr="00E8358C">
        <w:t> ». Viennent ensuite les caféi</w:t>
      </w:r>
      <w:r w:rsidRPr="00E8358C">
        <w:t>è</w:t>
      </w:r>
      <w:r w:rsidRPr="00E8358C">
        <w:t>res. Le commerce du sucre était la matrice du développement de la France. Les latifundia (grandes plantations) de canne à sucre étaient préconisées dans les plaines humides à partir de la seconde moitié du XVIII</w:t>
      </w:r>
      <w:r w:rsidRPr="00E8358C">
        <w:rPr>
          <w:vertAlign w:val="superscript"/>
        </w:rPr>
        <w:t>e</w:t>
      </w:r>
      <w:r w:rsidRPr="00E8358C">
        <w:t xml:space="preserve"> siècle. Nous pouvons voir encore des vestiges de l’architecture des habitations coloniales principalement dans le département du Nord (Cap-Haïtien, Acul du Nord, Plaine-du-Nord, Limbé) ; dans le Département de l’Ouest (les plaines du Cul-de-sac, de Léogâne, de l’Arcahaie) ; dans le Nord-Ouest (plaine de Jean-Rabel) ; dans le Sud (les plaines des Cayes,  d’Aquin, de Cavaillon, de Saint-Louis du Sud), dans la Grand-Anse (les plaines autour de Jérémie) ; dans le Sud-Est (autour de Jacmel) ; dans l’Artibonite (plaine de Saint-Marc), dans les Nippes (Miragoâne, Petite Rivière des Nippes, Anse à Vau…) et dans le Plateau Central (à proximité de Mirebalais, de Hi</w:t>
      </w:r>
      <w:r w:rsidRPr="00E8358C">
        <w:t>n</w:t>
      </w:r>
      <w:r w:rsidRPr="00E8358C">
        <w:t xml:space="preserve">che). </w:t>
      </w:r>
    </w:p>
    <w:p w:rsidR="004C50DC" w:rsidRPr="00E8358C" w:rsidRDefault="004C50DC" w:rsidP="004C50DC">
      <w:pPr>
        <w:spacing w:before="120" w:after="120"/>
        <w:jc w:val="both"/>
      </w:pPr>
      <w:r w:rsidRPr="00E8358C">
        <w:t xml:space="preserve">Parallèlement à la culture de la canne à sucre, se  développait, à partir des années 1740, la culture du café qui s’intensifia en un temps record au point de concurrencer le sucre. Le café représentait la deuxième denrée la plus importante cultivée à Saint-Domingue. Sa </w:t>
      </w:r>
      <w:r>
        <w:t xml:space="preserve">[232] </w:t>
      </w:r>
      <w:r w:rsidRPr="00E8358C">
        <w:t>culture était surtout pratiquée dans les montagnes. Quelques vestiges des habitations caféières, plus ou moins bien conservés, att</w:t>
      </w:r>
      <w:r w:rsidRPr="00E8358C">
        <w:t>i</w:t>
      </w:r>
      <w:r w:rsidRPr="00E8358C">
        <w:t>rent encore les regards des curieux et des chercheurs qui s’intéressent au patrimoine en général, et à l’esclavage en particulier. Ils sont concentrés dans les massifs montagneux du Nord (Dondon, Plaisance, Pilate, Borgne, Grande Rivière du Nord, Bahon, Marmelade) ; du Nord-Ouest (Port de Paix, Saint-Louis du Nord, Anse-à-Foleur), du Nord-Est (Sainte-Suzanne, Vallière, Carice, Mont-Organisé) ; des Nippes (L’Asile, Baradères…) ; dans les mornes de la Grand-Anse (Beaumont, Roseaux, Jérémie), du Sud (les Anglais, Rendel, Plateau du Rochelois [Salagnac],Tiburon, massif de la Hotte, massif de la Se</w:t>
      </w:r>
      <w:r w:rsidRPr="00E8358C">
        <w:t>l</w:t>
      </w:r>
      <w:r w:rsidRPr="00E8358C">
        <w:t>le), du Sud-Est (Thiote, Belle Anse, Marigot), du Centre (Baptiste, Savanette) et de l’Artibonite (Les Cahos) ; et dans les hauteurs de C</w:t>
      </w:r>
      <w:r w:rsidRPr="00E8358C">
        <w:t>a</w:t>
      </w:r>
      <w:r w:rsidRPr="00E8358C">
        <w:t xml:space="preserve">baret jusqu’à Goyavier, dans la chaîne des Matheux. </w:t>
      </w:r>
    </w:p>
    <w:p w:rsidR="004C50DC" w:rsidRDefault="004C50DC" w:rsidP="004C50DC">
      <w:pPr>
        <w:spacing w:before="120" w:after="120"/>
        <w:jc w:val="both"/>
      </w:pPr>
      <w:r w:rsidRPr="00E8358C">
        <w:t>L’habitation Dion, du nom d’un ancien colon français, est un exemple de caféterie située dans la chaîne des Matheux sur les ha</w:t>
      </w:r>
      <w:r w:rsidRPr="00E8358C">
        <w:t>u</w:t>
      </w:r>
      <w:r w:rsidRPr="00E8358C">
        <w:t>teurs de Délices, sur la 5</w:t>
      </w:r>
      <w:r w:rsidRPr="00E8358C">
        <w:rPr>
          <w:vertAlign w:val="superscript"/>
        </w:rPr>
        <w:t>e</w:t>
      </w:r>
      <w:r w:rsidRPr="00E8358C">
        <w:t xml:space="preserve"> section communale de l’Arcahaie. Elle conserve encore les vestiges des réservoirs d’eau de pluie alimentés par diverses canalisations, d’un entrepôt, des logements des esclaves dans la cour centrale. Les cases en maçonnerie forment, sans conteste, le plus important groupe de logements d’esclaves inventoriés ju</w:t>
      </w:r>
      <w:r w:rsidRPr="00E8358C">
        <w:t>s</w:t>
      </w:r>
      <w:r w:rsidRPr="00E8358C">
        <w:t>qu’ici</w:t>
      </w:r>
      <w:r>
        <w:t> </w:t>
      </w:r>
      <w:r w:rsidRPr="00E8358C">
        <w:rPr>
          <w:rStyle w:val="Appelnotedebasdep"/>
        </w:rPr>
        <w:footnoteReference w:id="649"/>
      </w:r>
      <w:r w:rsidRPr="00E8358C">
        <w:t>. C’est un ensemble de cinq constructions identiques compo</w:t>
      </w:r>
      <w:r w:rsidRPr="00E8358C">
        <w:t>r</w:t>
      </w:r>
      <w:r w:rsidRPr="00E8358C">
        <w:t>tant chacun sept cases d’environ 4 mètres sur 4 mètres</w:t>
      </w:r>
      <w:r>
        <w:t> </w:t>
      </w:r>
      <w:r w:rsidRPr="00E8358C">
        <w:rPr>
          <w:rStyle w:val="Appelnotedebasdep"/>
        </w:rPr>
        <w:footnoteReference w:id="650"/>
      </w:r>
      <w:r w:rsidRPr="00E8358C">
        <w:t>. Leur arch</w:t>
      </w:r>
      <w:r w:rsidRPr="00E8358C">
        <w:t>i</w:t>
      </w:r>
      <w:r w:rsidRPr="00E8358C">
        <w:t>tecture (Figures 17 et 18) montre que les esclaves étaient considérés comme des prisonniers dans des cellules surveillées par des comma</w:t>
      </w:r>
      <w:r w:rsidRPr="00E8358C">
        <w:t>n</w:t>
      </w:r>
      <w:r w:rsidRPr="00E8358C">
        <w:t>deurs, à la différence de ceux des plaines (où étaient cultivés la canne à sucre, le coton, l’indigo), qui pouvaient se regrouper en de petites agglomérations favorisant l’entraide, bien qu’ils aient aussi été su</w:t>
      </w:r>
      <w:r w:rsidRPr="00E8358C">
        <w:t>r</w:t>
      </w:r>
      <w:r w:rsidRPr="00E8358C">
        <w:t>veillés. Des fouilles archéologiques sur l’habitation Dion devraient compléter les informations et nous permettraient sans doute de déco</w:t>
      </w:r>
      <w:r w:rsidRPr="00E8358C">
        <w:t>u</w:t>
      </w:r>
      <w:r w:rsidRPr="00E8358C">
        <w:t xml:space="preserve">vrir d’autres aspects de la vie quotidienne des esclaves à Saint-Domingue. </w:t>
      </w:r>
    </w:p>
    <w:p w:rsidR="004C50DC" w:rsidRDefault="004C50DC" w:rsidP="004C50DC">
      <w:pPr>
        <w:spacing w:before="120" w:after="120"/>
        <w:jc w:val="both"/>
      </w:pPr>
      <w:r>
        <w:t>[233]</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990975" cy="2205355"/>
            <wp:effectExtent l="25400" t="25400" r="9525" b="17145"/>
            <wp:docPr id="23" name="Image 1" descr="D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Dion"/>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0975" cy="220535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61" w:name="_Toc417146062"/>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62" w:name="Memoire_fig_17"/>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17</w:t>
      </w:r>
      <w:r w:rsidRPr="00E95DCE">
        <w:fldChar w:fldCharType="end"/>
      </w:r>
      <w:r w:rsidRPr="00E95DCE">
        <w:t>. Cases pour esclaves, habitation Dion, Chaîne des M</w:t>
      </w:r>
      <w:r w:rsidRPr="00E95DCE">
        <w:t>a</w:t>
      </w:r>
      <w:r w:rsidRPr="00E95DCE">
        <w:t>theux</w:t>
      </w:r>
      <w:bookmarkEnd w:id="261"/>
      <w:r>
        <w:t>.</w:t>
      </w:r>
      <w:r>
        <w:br/>
      </w:r>
      <w:r w:rsidRPr="00E8358C">
        <w:rPr>
          <w:szCs w:val="18"/>
        </w:rPr>
        <w:t>Sou</w:t>
      </w:r>
      <w:r w:rsidRPr="00E8358C">
        <w:rPr>
          <w:szCs w:val="18"/>
        </w:rPr>
        <w:t>r</w:t>
      </w:r>
      <w:r w:rsidRPr="00E8358C">
        <w:rPr>
          <w:szCs w:val="18"/>
        </w:rPr>
        <w:t>ce : Musée Ogier Fombrun</w:t>
      </w:r>
    </w:p>
    <w:bookmarkEnd w:id="262"/>
    <w:p w:rsidR="004C50DC" w:rsidRPr="00E8358C" w:rsidRDefault="004C50DC" w:rsidP="004C50DC">
      <w:pPr>
        <w:spacing w:before="120" w:after="120"/>
        <w:jc w:val="both"/>
        <w:rPr>
          <w:lang w:eastAsia="en-CA"/>
        </w:rPr>
      </w:pPr>
      <w:r>
        <w:rPr>
          <w:lang w:eastAsia="en-CA"/>
        </w:rPr>
        <w:br w:type="page"/>
      </w:r>
    </w:p>
    <w:p w:rsidR="004C50DC" w:rsidRPr="00E8358C" w:rsidRDefault="009B614B" w:rsidP="004C50DC">
      <w:pPr>
        <w:pStyle w:val="fig"/>
      </w:pPr>
      <w:r w:rsidRPr="00E8358C">
        <w:rPr>
          <w:noProof/>
          <w:lang w:eastAsia="fr-FR"/>
        </w:rPr>
        <w:drawing>
          <wp:inline distT="0" distB="0" distL="0" distR="0">
            <wp:extent cx="3958590" cy="2226945"/>
            <wp:effectExtent l="25400" t="25400" r="16510" b="8255"/>
            <wp:docPr id="24" name="Image 11" descr="100_0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100_0768"/>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58590" cy="222694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63" w:name="_Toc417146063"/>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lang w:eastAsia="en-CA"/>
        </w:rPr>
      </w:pPr>
      <w:bookmarkStart w:id="264" w:name="Memoire_fig_18"/>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18</w:t>
      </w:r>
      <w:r w:rsidRPr="00E95DCE">
        <w:fldChar w:fldCharType="end"/>
      </w:r>
      <w:r w:rsidRPr="00E95DCE">
        <w:t>. Cases pour esclaves, habitation Dion, Chaîne des M</w:t>
      </w:r>
      <w:r w:rsidRPr="00E95DCE">
        <w:t>a</w:t>
      </w:r>
      <w:r w:rsidRPr="00E95DCE">
        <w:t>theux</w:t>
      </w:r>
      <w:bookmarkEnd w:id="263"/>
      <w:r>
        <w:t>.</w:t>
      </w:r>
      <w:r>
        <w:br/>
      </w:r>
      <w:r w:rsidRPr="00E8358C">
        <w:rPr>
          <w:szCs w:val="18"/>
        </w:rPr>
        <w:t>Ph</w:t>
      </w:r>
      <w:r w:rsidRPr="00E8358C">
        <w:rPr>
          <w:szCs w:val="18"/>
        </w:rPr>
        <w:t>o</w:t>
      </w:r>
      <w:r w:rsidRPr="00E8358C">
        <w:rPr>
          <w:szCs w:val="18"/>
        </w:rPr>
        <w:t>tographie Jean-Ronald Augustin, décembre 2009</w:t>
      </w:r>
    </w:p>
    <w:p w:rsidR="004C50DC" w:rsidRDefault="004C50DC" w:rsidP="004C50DC">
      <w:pPr>
        <w:spacing w:before="120" w:after="120"/>
        <w:jc w:val="both"/>
      </w:pPr>
      <w:bookmarkStart w:id="265" w:name="_Toc406489659"/>
      <w:bookmarkStart w:id="266" w:name="_Toc423347327"/>
      <w:bookmarkStart w:id="267" w:name="_Toc442280506"/>
      <w:bookmarkEnd w:id="264"/>
    </w:p>
    <w:p w:rsidR="004C50DC" w:rsidRPr="00E8358C" w:rsidRDefault="004C50DC" w:rsidP="004C50DC">
      <w:pPr>
        <w:pStyle w:val="planche"/>
      </w:pPr>
      <w:bookmarkStart w:id="268" w:name="Memoire_chap_IV_5_2"/>
      <w:r w:rsidRPr="00E8358C">
        <w:t>5.2.</w:t>
      </w:r>
      <w:bookmarkStart w:id="269" w:name="_Toc406489657"/>
      <w:r w:rsidRPr="00E8358C">
        <w:t xml:space="preserve"> Place des habitations coloniales</w:t>
      </w:r>
      <w:r>
        <w:br/>
      </w:r>
      <w:r w:rsidRPr="00E8358C">
        <w:t>et des fortific</w:t>
      </w:r>
      <w:r w:rsidRPr="00E8358C">
        <w:t>a</w:t>
      </w:r>
      <w:r w:rsidRPr="00E8358C">
        <w:t>tions dans les entreprises mémorielles</w:t>
      </w:r>
      <w:r>
        <w:br/>
        <w:t>e</w:t>
      </w:r>
      <w:r w:rsidRPr="00E8358C">
        <w:t>t dans la con</w:t>
      </w:r>
      <w:r w:rsidRPr="00E8358C">
        <w:t>s</w:t>
      </w:r>
      <w:r w:rsidRPr="00E8358C">
        <w:t>truction de la nation haïtienne</w:t>
      </w:r>
      <w:bookmarkEnd w:id="266"/>
      <w:bookmarkEnd w:id="267"/>
      <w:bookmarkEnd w:id="269"/>
    </w:p>
    <w:bookmarkEnd w:id="268"/>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Les habitations coloniales et les fortifications ont toujours été au cœur de la souffrance des Noirs dans la colonie de Saint-Domingue. Elles constituaient des preuves matérielles de la résistance du système esclavagiste honteux encore enraciné dans la mémoire des desce</w:t>
      </w:r>
      <w:r w:rsidRPr="00E8358C">
        <w:t>n</w:t>
      </w:r>
      <w:r w:rsidRPr="00E8358C">
        <w:t xml:space="preserve">dants d’esclaves. Que suggèrent-elles ? Quel souvenir de l’esclavage nourrissent aujourd’hui leurs vestiges ? Continuent-ils à marquer le présent ? </w:t>
      </w:r>
    </w:p>
    <w:p w:rsidR="004C50DC" w:rsidRDefault="004C50DC" w:rsidP="004C50DC">
      <w:pPr>
        <w:spacing w:before="120" w:after="120"/>
        <w:jc w:val="both"/>
      </w:pPr>
      <w:bookmarkStart w:id="270" w:name="_Toc423347328"/>
      <w:bookmarkStart w:id="271" w:name="_Toc442280507"/>
      <w:r>
        <w:br w:type="page"/>
      </w:r>
    </w:p>
    <w:p w:rsidR="004C50DC" w:rsidRPr="00E8358C" w:rsidRDefault="004C50DC" w:rsidP="004C50DC">
      <w:pPr>
        <w:pStyle w:val="a"/>
      </w:pPr>
      <w:r>
        <w:t xml:space="preserve">5.2.1. </w:t>
      </w:r>
      <w:r w:rsidRPr="00E8358C">
        <w:t>Mémoires consignées</w:t>
      </w:r>
      <w:r>
        <w:br/>
      </w:r>
      <w:r w:rsidRPr="00E8358C">
        <w:t>dans les vestiges des habitations col</w:t>
      </w:r>
      <w:r w:rsidRPr="00E8358C">
        <w:t>o</w:t>
      </w:r>
      <w:r w:rsidRPr="00E8358C">
        <w:t>niales</w:t>
      </w:r>
      <w:bookmarkEnd w:id="270"/>
      <w:bookmarkEnd w:id="271"/>
    </w:p>
    <w:p w:rsidR="004C50DC" w:rsidRDefault="004C50DC" w:rsidP="004C50DC">
      <w:pPr>
        <w:spacing w:before="120" w:after="120"/>
        <w:jc w:val="both"/>
      </w:pPr>
    </w:p>
    <w:p w:rsidR="004C50DC" w:rsidRDefault="004C50DC" w:rsidP="004C50DC">
      <w:pPr>
        <w:spacing w:before="120" w:after="120"/>
        <w:jc w:val="both"/>
      </w:pPr>
      <w:r>
        <w:t>[234]</w:t>
      </w:r>
    </w:p>
    <w:p w:rsidR="004C50DC" w:rsidRPr="00E8358C" w:rsidRDefault="004C50DC" w:rsidP="004C50DC">
      <w:pPr>
        <w:spacing w:before="120" w:after="120"/>
        <w:jc w:val="both"/>
      </w:pPr>
      <w:r w:rsidRPr="00E8358C">
        <w:t>Les thématiques de la « mémoire de l’esclavage » et de la « patrimonialisation des lieux », témoins du système colonial, sont au croisement de plusieurs domaines de recherche. Des études ethnolog</w:t>
      </w:r>
      <w:r w:rsidRPr="00E8358C">
        <w:t>i</w:t>
      </w:r>
      <w:r w:rsidRPr="00E8358C">
        <w:t>ques, historiques, sociologiques, géographiques, archéologiques, a</w:t>
      </w:r>
      <w:r w:rsidRPr="00E8358C">
        <w:t>r</w:t>
      </w:r>
      <w:r w:rsidRPr="00E8358C">
        <w:t>chitecturales et littéraires se sont portées sur les sociétés d’habitations coloniales. Elles ont été réalisées pour la plupart en France, en Angl</w:t>
      </w:r>
      <w:r w:rsidRPr="00E8358C">
        <w:t>e</w:t>
      </w:r>
      <w:r w:rsidRPr="00E8358C">
        <w:t>terre, aux États-Unis et dans les anciennes colonies françaises, esp</w:t>
      </w:r>
      <w:r w:rsidRPr="00E8358C">
        <w:t>a</w:t>
      </w:r>
      <w:r w:rsidRPr="00E8358C">
        <w:t>gnoles, anglaises et portugaises des Amériques (Haïti, Brésil, Martin</w:t>
      </w:r>
      <w:r w:rsidRPr="00E8358C">
        <w:t>i</w:t>
      </w:r>
      <w:r w:rsidRPr="00E8358C">
        <w:t>que, Jamaïque, Cuba, etc.). Ces études exposent différentes approches de l’esclavage se rapportant aux habitations coloniales qui permettent de comprendre la portée des enjeux de leur éventuelle entrée en p</w:t>
      </w:r>
      <w:r w:rsidRPr="00E8358C">
        <w:t>a</w:t>
      </w:r>
      <w:r w:rsidRPr="00E8358C">
        <w:t>trimoine aujourd’hui.</w:t>
      </w:r>
    </w:p>
    <w:p w:rsidR="004C50DC" w:rsidRDefault="004C50DC" w:rsidP="004C50DC">
      <w:pPr>
        <w:spacing w:before="120" w:after="120"/>
        <w:jc w:val="both"/>
      </w:pPr>
      <w:r w:rsidRPr="00E95DCE">
        <w:t>L’examen des historiographies présente plusieurs réflexions sur les habitations coloniales, que nous regroupons en cinq thèmes : moteur de l’expansion économique des colonies européennes dans les Amér</w:t>
      </w:r>
      <w:r w:rsidRPr="00E95DCE">
        <w:t>i</w:t>
      </w:r>
      <w:r w:rsidRPr="00E95DCE">
        <w:t>ques ; raison d’être de la condition servile ; modèle d’une rationalis</w:t>
      </w:r>
      <w:r w:rsidRPr="00E95DCE">
        <w:t>a</w:t>
      </w:r>
      <w:r w:rsidRPr="00E95DCE">
        <w:t>tion très poussée du travail de nature proto-industrielle ; lieu d’exploitation et d’aliénation de l’esclave par les maîtres ; et espace de cohabitation et de métissage culturels.</w:t>
      </w:r>
    </w:p>
    <w:p w:rsidR="004C50DC" w:rsidRPr="00E95DCE" w:rsidRDefault="004C50DC" w:rsidP="004C50DC">
      <w:pPr>
        <w:spacing w:before="120" w:after="120"/>
        <w:jc w:val="both"/>
      </w:pPr>
    </w:p>
    <w:p w:rsidR="004C50DC" w:rsidRPr="00E8358C" w:rsidRDefault="004C50DC" w:rsidP="004C50DC">
      <w:pPr>
        <w:pStyle w:val="b"/>
      </w:pPr>
      <w:bookmarkStart w:id="272" w:name="_Toc442280508"/>
      <w:r w:rsidRPr="00E8358C">
        <w:t>5.2.1.1. Moteur de l’expansion économique des colonies eur</w:t>
      </w:r>
      <w:r w:rsidRPr="00E8358C">
        <w:t>o</w:t>
      </w:r>
      <w:r w:rsidRPr="00E8358C">
        <w:t>péennes dans les Amériques, raison d’être de la condition se</w:t>
      </w:r>
      <w:r w:rsidRPr="00E8358C">
        <w:t>r</w:t>
      </w:r>
      <w:r w:rsidRPr="00E8358C">
        <w:t>vile et modèle d’une rationalisation très poussée du travail de nature proto-industrielle</w:t>
      </w:r>
      <w:bookmarkEnd w:id="272"/>
    </w:p>
    <w:p w:rsidR="004C50DC" w:rsidRPr="00E8358C" w:rsidRDefault="004C50DC" w:rsidP="004C50DC">
      <w:pPr>
        <w:spacing w:before="120" w:after="120"/>
        <w:jc w:val="both"/>
        <w:rPr>
          <w:b/>
          <w:bCs/>
        </w:rPr>
      </w:pPr>
    </w:p>
    <w:p w:rsidR="004C50DC" w:rsidRPr="00E8358C" w:rsidRDefault="004C50DC" w:rsidP="004C50DC">
      <w:pPr>
        <w:spacing w:before="120" w:after="120"/>
        <w:jc w:val="both"/>
      </w:pPr>
      <w:r w:rsidRPr="00E8358C">
        <w:t>L’une des premières idées au sujet de la fonction des habitations veut que celle-ci ait avant tout été économique, la recherche du profit, par les propriétaires, étant devenue ensuite le principal fondement de l’esclavage dans la colonie dominguoise. Le sociologue haïtien Laë</w:t>
      </w:r>
      <w:r w:rsidRPr="00E8358C">
        <w:t>n</w:t>
      </w:r>
      <w:r w:rsidRPr="00E8358C">
        <w:t>nec Hurbon estime que ces « lieux de production de la richesse des colons constituent la raison d’être de la condition servile »</w:t>
      </w:r>
      <w:r>
        <w:t> </w:t>
      </w:r>
      <w:r>
        <w:rPr>
          <w:rStyle w:val="Appelnotedebasdep"/>
        </w:rPr>
        <w:footnoteReference w:id="651"/>
      </w:r>
      <w:r w:rsidRPr="00E8358C">
        <w:t>. Marcel Dorigny dans « Saint-Domingue à Haïti » peint un tableau de la situ</w:t>
      </w:r>
      <w:r w:rsidRPr="00E8358C">
        <w:t>a</w:t>
      </w:r>
      <w:r w:rsidRPr="00E8358C">
        <w:t>tion à Saint-Domingue vers la fin du XVIII</w:t>
      </w:r>
      <w:r w:rsidRPr="00E8358C">
        <w:rPr>
          <w:vertAlign w:val="superscript"/>
        </w:rPr>
        <w:t>e</w:t>
      </w:r>
      <w:r w:rsidRPr="00E8358C">
        <w:t xml:space="preserve"> siècle. C’était la période florissante de la « perle des Antilles » qui voulait à tout prix répondre à l’augmentation de la demande de la métropole française en denrées tropicales. À cet effet,</w:t>
      </w:r>
      <w:r>
        <w:t xml:space="preserve"> [235]</w:t>
      </w:r>
      <w:r w:rsidRPr="00E8358C">
        <w:t xml:space="preserve"> la colonie a pris « des risques inconsid</w:t>
      </w:r>
      <w:r w:rsidRPr="00E8358C">
        <w:t>é</w:t>
      </w:r>
      <w:r w:rsidRPr="00E8358C">
        <w:t>rés », jusqu’à se livrer à une vaste campagne de déboisement pour fa</w:t>
      </w:r>
      <w:r w:rsidRPr="00E8358C">
        <w:t>i</w:t>
      </w:r>
      <w:r w:rsidRPr="00E8358C">
        <w:t xml:space="preserve">re place à la culture de la canne à sucre. Cela eut des incidences non seulement sur l’environnement, mais surtout sur les êtres humains. Il fallait forcer les esclaves à travailler jusqu’au bout de leurs capacités physiques. Ce fut une véritable machine à consommer et à broyer des humains. </w:t>
      </w:r>
    </w:p>
    <w:p w:rsidR="004C50DC" w:rsidRPr="00E8358C" w:rsidRDefault="004C50DC" w:rsidP="004C50DC">
      <w:pPr>
        <w:spacing w:before="120" w:after="120"/>
        <w:jc w:val="both"/>
      </w:pPr>
      <w:r w:rsidRPr="00E8358C">
        <w:t>L’esclave était indispensable pour alimenter l’économie de la France et faire fonctionner le système colbertiste : « tout par et pour la métropole ». Selon Marcel Dorigny, la « perle des Antilles » représe</w:t>
      </w:r>
      <w:r w:rsidRPr="00E8358C">
        <w:t>n</w:t>
      </w:r>
      <w:r w:rsidRPr="00E8358C">
        <w:t>tait « une quasi-monoculture de la canne à sucre qui avait envahi et menacé la diversité agricole et, à plus long terme, l’auto-suffisance alimentaire. Une culture extensive par défrichage de la flore naturelle. Une exigence sans arrêt de la main-d’œuvre servile ». Dans les col</w:t>
      </w:r>
      <w:r w:rsidRPr="00E8358C">
        <w:t>o</w:t>
      </w:r>
      <w:r w:rsidRPr="00E8358C">
        <w:t>nies des Amériques, selon Hugh Thomas, les esclaves étaient répartis comme suit : « plantations de sucre 45,4%, plantations de café 18,2%, travaux domestiques 18,2%, mines 9,1%, champs de coton 4,5%, champs de cacao 2,3%, bâtiment 2,3% »</w:t>
      </w:r>
      <w:r>
        <w:t> </w:t>
      </w:r>
      <w:r>
        <w:rPr>
          <w:rStyle w:val="Appelnotedebasdep"/>
        </w:rPr>
        <w:footnoteReference w:id="652"/>
      </w:r>
      <w:r w:rsidRPr="00E8358C">
        <w:t>. Les plantations sucrières de la colonie de Saint-Domingue constituaient la principale base de l’économie.</w:t>
      </w:r>
    </w:p>
    <w:p w:rsidR="004C50DC" w:rsidRDefault="004C50DC" w:rsidP="004C50DC">
      <w:pPr>
        <w:spacing w:before="120" w:after="120"/>
        <w:jc w:val="both"/>
      </w:pPr>
      <w:r w:rsidRPr="00E8358C">
        <w:t>Gabriel Debien fut l’un des pionniers à démontrer dans de no</w:t>
      </w:r>
      <w:r w:rsidRPr="00E8358C">
        <w:t>m</w:t>
      </w:r>
      <w:r w:rsidRPr="00E8358C">
        <w:t>breuses monographies sur les habitations coloniales que « l’esclavage, facteur jusque-là complémentaire de la richesse coloniale, devient sa base même »</w:t>
      </w:r>
      <w:r>
        <w:t> </w:t>
      </w:r>
      <w:r>
        <w:rPr>
          <w:rStyle w:val="Appelnotedebasdep"/>
        </w:rPr>
        <w:footnoteReference w:id="653"/>
      </w:r>
      <w:r w:rsidRPr="00E8358C">
        <w:t>. Un Nouveau Monde colonial français était né à partir de la production sucrière (figure 19) vectrice de cette richesse à côté des plantations de café, d’indigo, de coton ou de cacao. À la suite des travaux de l’école de Gabriel Debien</w:t>
      </w:r>
      <w:r>
        <w:t> </w:t>
      </w:r>
      <w:r>
        <w:rPr>
          <w:rStyle w:val="Appelnotedebasdep"/>
        </w:rPr>
        <w:footnoteReference w:id="654"/>
      </w:r>
      <w:r w:rsidRPr="00E8358C">
        <w:t>, Michel-Philippe Lerebours r</w:t>
      </w:r>
      <w:r w:rsidRPr="00E8358C">
        <w:t>e</w:t>
      </w:r>
      <w:r w:rsidRPr="00E8358C">
        <w:t xml:space="preserve">prend la précédente analyse en précisant </w:t>
      </w:r>
      <w:r>
        <w:t xml:space="preserve">[236] </w:t>
      </w:r>
      <w:r w:rsidRPr="00E8358C">
        <w:t>que « Saint-Domingue était d’abord l’habitation sucrière. Celle-ci en avait fait la richesse et, à son profit, la traite et l’esclavage avaient été amplifiés et aggr</w:t>
      </w:r>
      <w:r w:rsidRPr="00E8358C">
        <w:t>a</w:t>
      </w:r>
      <w:r w:rsidRPr="00E8358C">
        <w:t>vés »</w:t>
      </w:r>
      <w:r>
        <w:t> </w:t>
      </w:r>
      <w:r>
        <w:rPr>
          <w:rStyle w:val="Appelnotedebasdep"/>
        </w:rPr>
        <w:footnoteReference w:id="655"/>
      </w:r>
      <w:r w:rsidRPr="00E8358C">
        <w:t>.</w:t>
      </w:r>
    </w:p>
    <w:p w:rsidR="004C50DC" w:rsidRPr="00E8358C" w:rsidRDefault="004C50DC" w:rsidP="004C50DC">
      <w:pPr>
        <w:spacing w:before="120" w:after="120"/>
        <w:jc w:val="both"/>
      </w:pPr>
      <w:r>
        <w:br w:type="page"/>
      </w:r>
    </w:p>
    <w:bookmarkEnd w:id="265"/>
    <w:p w:rsidR="004C50DC" w:rsidRPr="00E8358C" w:rsidRDefault="009B614B" w:rsidP="004C50DC">
      <w:pPr>
        <w:pStyle w:val="fig"/>
      </w:pPr>
      <w:r w:rsidRPr="00E8358C">
        <w:rPr>
          <w:noProof/>
          <w:lang w:eastAsia="fr-FR"/>
        </w:rPr>
        <w:drawing>
          <wp:inline distT="0" distB="0" distL="0" distR="0">
            <wp:extent cx="3743960" cy="2807970"/>
            <wp:effectExtent l="25400" t="25400" r="15240" b="11430"/>
            <wp:docPr id="25" name="Image 1" descr="IMG_1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IMG_1263"/>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43960" cy="280797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73" w:name="_Toc417146064"/>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74" w:name="Memoire_fig_19"/>
      <w:r w:rsidRPr="00E95DCE">
        <w:t xml:space="preserve">Figure </w:t>
      </w:r>
      <w:r w:rsidRPr="00E95DCE">
        <w:fldChar w:fldCharType="begin"/>
      </w:r>
      <w:r w:rsidR="00EF1554">
        <w:instrText>SEQ</w:instrText>
      </w:r>
      <w:r w:rsidRPr="00E95DCE">
        <w:instrText xml:space="preserve"> Figure \* ARABIC </w:instrText>
      </w:r>
      <w:r w:rsidRPr="00E95DCE">
        <w:fldChar w:fldCharType="separate"/>
      </w:r>
      <w:r>
        <w:rPr>
          <w:noProof/>
        </w:rPr>
        <w:t>19</w:t>
      </w:r>
      <w:r w:rsidRPr="00E95DCE">
        <w:fldChar w:fldCharType="end"/>
      </w:r>
      <w:r w:rsidRPr="00E95DCE">
        <w:t>.Moulin à sucre aux Antilles au XVIII</w:t>
      </w:r>
      <w:r w:rsidRPr="00E95DCE">
        <w:rPr>
          <w:vertAlign w:val="superscript"/>
        </w:rPr>
        <w:t>e</w:t>
      </w:r>
      <w:r w:rsidRPr="00E95DCE">
        <w:t xml:space="preserve"> siècle</w:t>
      </w:r>
      <w:bookmarkEnd w:id="273"/>
      <w:r>
        <w:t>.</w:t>
      </w:r>
      <w:r>
        <w:br/>
      </w:r>
      <w:r w:rsidRPr="00E8358C">
        <w:rPr>
          <w:szCs w:val="18"/>
        </w:rPr>
        <w:t>Source : Fond Jeanvrot, 4 S 10, Archives municipales de Bordeaux</w:t>
      </w:r>
    </w:p>
    <w:bookmarkEnd w:id="274"/>
    <w:p w:rsidR="004C50DC" w:rsidRPr="00E8358C" w:rsidRDefault="004C50DC" w:rsidP="004C50DC">
      <w:pPr>
        <w:spacing w:before="120" w:after="120"/>
        <w:jc w:val="both"/>
        <w:rPr>
          <w:i/>
          <w:szCs w:val="18"/>
        </w:rPr>
      </w:pPr>
    </w:p>
    <w:p w:rsidR="004C50DC" w:rsidRPr="00E8358C" w:rsidRDefault="004C50DC" w:rsidP="004C50DC">
      <w:pPr>
        <w:spacing w:before="120" w:after="120"/>
        <w:jc w:val="both"/>
      </w:pPr>
      <w:r w:rsidRPr="00E8358C">
        <w:rPr>
          <w:bdr w:val="none" w:sz="0" w:space="0" w:color="auto" w:frame="1"/>
        </w:rPr>
        <w:t>L’anthropologue américain Sidney W. Mintz (1986), dans ses ét</w:t>
      </w:r>
      <w:r w:rsidRPr="00E8358C">
        <w:rPr>
          <w:bdr w:val="none" w:sz="0" w:space="0" w:color="auto" w:frame="1"/>
        </w:rPr>
        <w:t>u</w:t>
      </w:r>
      <w:r w:rsidRPr="00E8358C">
        <w:rPr>
          <w:bdr w:val="none" w:sz="0" w:space="0" w:color="auto" w:frame="1"/>
        </w:rPr>
        <w:t>des sur le sucre, montre les rapports de sa production avec le trait</w:t>
      </w:r>
      <w:r w:rsidRPr="00E8358C">
        <w:rPr>
          <w:bdr w:val="none" w:sz="0" w:space="0" w:color="auto" w:frame="1"/>
        </w:rPr>
        <w:t>e</w:t>
      </w:r>
      <w:r w:rsidRPr="00E8358C">
        <w:rPr>
          <w:bdr w:val="none" w:sz="0" w:space="0" w:color="auto" w:frame="1"/>
        </w:rPr>
        <w:t>ment des esclaves. Pour l’auteur, le sucre est lié à l’intensité de l’exploitation de la terre et du travail de l’esclave. Il est le</w:t>
      </w:r>
      <w:r w:rsidRPr="00E8358C">
        <w:t xml:space="preserve"> produit fini issu des habitations sucrières. La culture intensive de la canne à sucre et la production du sucre valident symboliquement le pouvoir et l’autorité des maîtres. L’histoire du sucre est le corollaire du capit</w:t>
      </w:r>
      <w:r w:rsidRPr="00E8358C">
        <w:t>a</w:t>
      </w:r>
      <w:r w:rsidRPr="00E8358C">
        <w:t>lisme concrétisé dans l’histoire du colonialisme et surtout de l’esclavage. Aux Antilles françaises, en particulier à Saint-Domingue, soulignent Michel Hector et Claude Moïse, l’esclavage des Noirs n’a connu son véritable essor qu’avec l’extension de l’exploitation sucri</w:t>
      </w:r>
      <w:r w:rsidRPr="00E8358C">
        <w:t>è</w:t>
      </w:r>
      <w:r w:rsidRPr="00E8358C">
        <w:t>re. Celle-ci nécessite un personnel nombreux. Elle vient en tête pour la consommation des esclaves</w:t>
      </w:r>
      <w:r>
        <w:t> </w:t>
      </w:r>
      <w:r>
        <w:rPr>
          <w:rStyle w:val="Appelnotedebasdep"/>
        </w:rPr>
        <w:footnoteReference w:id="656"/>
      </w:r>
      <w:r w:rsidRPr="00E8358C">
        <w:t>.</w:t>
      </w:r>
    </w:p>
    <w:p w:rsidR="004C50DC" w:rsidRPr="00E8358C" w:rsidRDefault="004C50DC" w:rsidP="004C50DC">
      <w:pPr>
        <w:spacing w:before="120" w:after="120"/>
        <w:jc w:val="both"/>
      </w:pPr>
      <w:r w:rsidRPr="00E8358C">
        <w:t>Après l’indépendance d’Haïti, le 1</w:t>
      </w:r>
      <w:r w:rsidRPr="00E8358C">
        <w:rPr>
          <w:vertAlign w:val="superscript"/>
        </w:rPr>
        <w:t>er</w:t>
      </w:r>
      <w:r w:rsidRPr="00E8358C">
        <w:t xml:space="preserve"> janvier 1804, un système coe</w:t>
      </w:r>
      <w:r w:rsidRPr="00E8358C">
        <w:t>r</w:t>
      </w:r>
      <w:r w:rsidRPr="00E8358C">
        <w:t>citif semblable au</w:t>
      </w:r>
      <w:r>
        <w:t xml:space="preserve"> [237]</w:t>
      </w:r>
      <w:r w:rsidRPr="00E8358C">
        <w:t xml:space="preserve"> système colonial esclavagiste était établi par les nouveaux dirigeants, notamment par Jean-Pierre Boyer, système qui réglementait le travail des anciens esclaves devenus cultivateurs ou habitants des campagnes</w:t>
      </w:r>
      <w:r>
        <w:t> </w:t>
      </w:r>
      <w:r w:rsidRPr="00E8358C">
        <w:rPr>
          <w:rStyle w:val="Appelnotedebasdep"/>
        </w:rPr>
        <w:footnoteReference w:id="657"/>
      </w:r>
      <w:r w:rsidRPr="00E8358C">
        <w:t>. Les conditions étaient réunies pour maintenir le clivage social entre descendants d’esclaves et desce</w:t>
      </w:r>
      <w:r w:rsidRPr="00E8358C">
        <w:t>n</w:t>
      </w:r>
      <w:r w:rsidRPr="00E8358C">
        <w:t>dants d’affranchis. Les nouveaux dirigeants, pour la plupart anciens généraux et descendants d’affranchis, qui rêvaient d’autonomie pour la colonie dominguoise sous l’égide de la France tout en revendiquant leur titre de descendants légitimes des anciens colons, voulaient conserver une distance avec les anciens combattants esclaves. Selon Joseph D. Baguidy, Jean-Jacques Dessalines a été assassiné, le 17 o</w:t>
      </w:r>
      <w:r w:rsidRPr="00E8358C">
        <w:t>c</w:t>
      </w:r>
      <w:r w:rsidRPr="00E8358C">
        <w:t>tobre 1806, « pour avoir voulu améliorer le sort des anciens esclaves en réclamant une distribution plus juste et plus équitable des richesses nationales abandonnées par les anciens colons »</w:t>
      </w:r>
      <w:r>
        <w:t> </w:t>
      </w:r>
      <w:r>
        <w:rPr>
          <w:rStyle w:val="Appelnotedebasdep"/>
        </w:rPr>
        <w:footnoteReference w:id="658"/>
      </w:r>
      <w:r>
        <w:t>.</w:t>
      </w:r>
    </w:p>
    <w:p w:rsidR="004C50DC" w:rsidRPr="00E8358C" w:rsidRDefault="004C50DC" w:rsidP="004C50DC">
      <w:pPr>
        <w:spacing w:before="120" w:after="120"/>
        <w:jc w:val="both"/>
      </w:pPr>
      <w:r w:rsidRPr="00E8358C">
        <w:rPr>
          <w:lang w:eastAsia="ja-JP"/>
        </w:rPr>
        <w:t>La majorité des participants à notre enquête, lorsque nous les inte</w:t>
      </w:r>
      <w:r w:rsidRPr="00E8358C">
        <w:rPr>
          <w:lang w:eastAsia="ja-JP"/>
        </w:rPr>
        <w:t>r</w:t>
      </w:r>
      <w:r w:rsidRPr="00E8358C">
        <w:rPr>
          <w:lang w:eastAsia="ja-JP"/>
        </w:rPr>
        <w:t>rogeons sur les vestiges des habitations coloniales, n’éprouvent auc</w:t>
      </w:r>
      <w:r w:rsidRPr="00E8358C">
        <w:rPr>
          <w:lang w:eastAsia="ja-JP"/>
        </w:rPr>
        <w:t>u</w:t>
      </w:r>
      <w:r w:rsidRPr="00E8358C">
        <w:rPr>
          <w:lang w:eastAsia="ja-JP"/>
        </w:rPr>
        <w:t xml:space="preserve">ne difficulté à nous répondre ; d’autres préfèrent avancer qu’ils n’ont jamais visité ces lieux. Pourtant, au fil de l’entretien, ils libèrent leur pensée, sortent de leur silence et laissent filtrer leur ressentiment. La question était la suivante : « quelle est votre perception des habitations coloniales ? » </w:t>
      </w:r>
      <w:r w:rsidRPr="00E8358C">
        <w:t>Voyons d’abord ce que raconte Fanfan, 41 ans, cadre au Ministère haïtien de la Culture :</w:t>
      </w:r>
    </w:p>
    <w:p w:rsidR="004C50DC" w:rsidRPr="00E8358C" w:rsidRDefault="004C50DC" w:rsidP="004C50DC">
      <w:pPr>
        <w:pStyle w:val="Citation0"/>
      </w:pPr>
      <w:r w:rsidRPr="00E8358C">
        <w:t>Les habitations étaient de véritables enfers. Leurs vestiges nous l</w:t>
      </w:r>
      <w:r w:rsidRPr="00E8358C">
        <w:t>i</w:t>
      </w:r>
      <w:r w:rsidRPr="00E8358C">
        <w:t>vrent à première vue comme l’impression d’être présent. Au contact d’un pareil lieu, on remémore des atrocités qu’ont souffertes nos aïeux en esclavage. C’est dur, mais il faudrait qu’on les étudie pour éviter la répétition de ces actes dans notre société.</w:t>
      </w:r>
    </w:p>
    <w:p w:rsidR="004C50DC" w:rsidRPr="00E8358C" w:rsidRDefault="004C50DC" w:rsidP="004C50DC">
      <w:pPr>
        <w:pStyle w:val="Citation0c"/>
      </w:pPr>
      <w:r w:rsidRPr="00E8358C">
        <w:t>(Fanfan, entrevue, 26 mars 2013)</w:t>
      </w:r>
    </w:p>
    <w:p w:rsidR="004C50DC" w:rsidRPr="00E8358C" w:rsidRDefault="004C50DC" w:rsidP="004C50DC">
      <w:pPr>
        <w:spacing w:before="120" w:after="120"/>
        <w:jc w:val="both"/>
        <w:rPr>
          <w:lang w:eastAsia="ja-JP"/>
        </w:rPr>
      </w:pPr>
      <w:r w:rsidRPr="00E8358C">
        <w:t>Dans le discours de Fanfan, on perçoit que la plaie de l’esclavage n’est pas encore cicatrisée. Les vestiges des habitations permettent de prendre la mesure des atrocités du colonialisme dans le présent. L’organisation de l’univers « habitationnaire » démontre la stricte r</w:t>
      </w:r>
      <w:r w:rsidRPr="00E8358C">
        <w:t>i</w:t>
      </w:r>
      <w:r w:rsidRPr="00E8358C">
        <w:t>gueur d’un système bien huilé pour maintenir les esclaves dans un état de</w:t>
      </w:r>
      <w:r>
        <w:t xml:space="preserve"> [238]</w:t>
      </w:r>
      <w:r w:rsidRPr="00E8358C">
        <w:t xml:space="preserve"> soumission et de déshumanisation. Ils étaient astreints à tr</w:t>
      </w:r>
      <w:r w:rsidRPr="00E8358C">
        <w:t>a</w:t>
      </w:r>
      <w:r w:rsidRPr="00E8358C">
        <w:t>vailler dans de véritables zones agricoles délimitées et hautement su</w:t>
      </w:r>
      <w:r w:rsidRPr="00E8358C">
        <w:t>r</w:t>
      </w:r>
      <w:r w:rsidRPr="00E8358C">
        <w:t xml:space="preserve">veillées. </w:t>
      </w:r>
      <w:r w:rsidRPr="00E8358C">
        <w:rPr>
          <w:lang w:eastAsia="ja-JP"/>
        </w:rPr>
        <w:t>Élifète, 60 ans, écrivain et membre d’une association de d</w:t>
      </w:r>
      <w:r w:rsidRPr="00E8358C">
        <w:rPr>
          <w:lang w:eastAsia="ja-JP"/>
        </w:rPr>
        <w:t>é</w:t>
      </w:r>
      <w:r w:rsidRPr="00E8358C">
        <w:rPr>
          <w:lang w:eastAsia="ja-JP"/>
        </w:rPr>
        <w:t>fense des droits des migrants haïtiens à Paris, dont nous avons recuei</w:t>
      </w:r>
      <w:r w:rsidRPr="00E8358C">
        <w:rPr>
          <w:lang w:eastAsia="ja-JP"/>
        </w:rPr>
        <w:t>l</w:t>
      </w:r>
      <w:r w:rsidRPr="00E8358C">
        <w:rPr>
          <w:lang w:eastAsia="ja-JP"/>
        </w:rPr>
        <w:t>li les propos, nous conduit aussi dans cet univers d’analyse.</w:t>
      </w:r>
    </w:p>
    <w:p w:rsidR="004C50DC" w:rsidRDefault="004C50DC" w:rsidP="004C50DC">
      <w:pPr>
        <w:pStyle w:val="Citation0"/>
        <w:rPr>
          <w:lang w:eastAsia="ja-JP"/>
        </w:rPr>
      </w:pPr>
    </w:p>
    <w:p w:rsidR="004C50DC" w:rsidRPr="00E8358C" w:rsidRDefault="004C50DC" w:rsidP="004C50DC">
      <w:pPr>
        <w:pStyle w:val="Citation0"/>
        <w:rPr>
          <w:lang w:eastAsia="ja-JP"/>
        </w:rPr>
      </w:pPr>
      <w:r w:rsidRPr="00E8358C">
        <w:rPr>
          <w:lang w:eastAsia="ja-JP"/>
        </w:rPr>
        <w:t>En voyant les vestiges des habitations coloniales, je commence à prendre la mesure du système esclavagiste. C’est à la fois une machine et un sy</w:t>
      </w:r>
      <w:r w:rsidRPr="00E8358C">
        <w:rPr>
          <w:lang w:eastAsia="ja-JP"/>
        </w:rPr>
        <w:t>s</w:t>
      </w:r>
      <w:r w:rsidRPr="00E8358C">
        <w:rPr>
          <w:lang w:eastAsia="ja-JP"/>
        </w:rPr>
        <w:t>tème où tous les éléments qui le caractérisent participent à son fonctio</w:t>
      </w:r>
      <w:r w:rsidRPr="00E8358C">
        <w:rPr>
          <w:lang w:eastAsia="ja-JP"/>
        </w:rPr>
        <w:t>n</w:t>
      </w:r>
      <w:r w:rsidRPr="00E8358C">
        <w:rPr>
          <w:lang w:eastAsia="ja-JP"/>
        </w:rPr>
        <w:t>nement et à son maintien. La disposition des habitations, l’espace qui est réservé au maître, les différents lieux de production qui comprennent la disposition des moulins à sucre, des animaux, les cases souvent sans fen</w:t>
      </w:r>
      <w:r w:rsidRPr="00E8358C">
        <w:rPr>
          <w:lang w:eastAsia="ja-JP"/>
        </w:rPr>
        <w:t>ê</w:t>
      </w:r>
      <w:r w:rsidRPr="00E8358C">
        <w:rPr>
          <w:lang w:eastAsia="ja-JP"/>
        </w:rPr>
        <w:t>tres qui ne facilitent pas une bonne aération et traduit la promiscuité dans laquelle vivaient les esclaves. Un autre fait important, c’est que la maison du maître est disposée de telle façon que le vent n’apporte pas les « mauvaises odeurs d’esclaves ». Elle est souvent d’ailleurs légèrement  surélevée en hauteur pour avoir une vue d’ensemble sur les propriétés (e</w:t>
      </w:r>
      <w:r w:rsidRPr="00E8358C">
        <w:rPr>
          <w:lang w:eastAsia="ja-JP"/>
        </w:rPr>
        <w:t>s</w:t>
      </w:r>
      <w:r w:rsidRPr="00E8358C">
        <w:rPr>
          <w:lang w:eastAsia="ja-JP"/>
        </w:rPr>
        <w:t>claves, animaux, jardins…). C’est une impression terrible. Je pourrais même comparer les habitations à de véritables camps de concentration n</w:t>
      </w:r>
      <w:r w:rsidRPr="00E8358C">
        <w:rPr>
          <w:lang w:eastAsia="ja-JP"/>
        </w:rPr>
        <w:t>a</w:t>
      </w:r>
      <w:r w:rsidRPr="00E8358C">
        <w:rPr>
          <w:lang w:eastAsia="ja-JP"/>
        </w:rPr>
        <w:t>zis, durant la Deuxi</w:t>
      </w:r>
      <w:r w:rsidRPr="00E8358C">
        <w:rPr>
          <w:lang w:eastAsia="ja-JP"/>
        </w:rPr>
        <w:t>è</w:t>
      </w:r>
      <w:r w:rsidRPr="00E8358C">
        <w:rPr>
          <w:lang w:eastAsia="ja-JP"/>
        </w:rPr>
        <w:t>me Guerre mondiale. À la seule différence, c’est une mort qui est re</w:t>
      </w:r>
      <w:r w:rsidRPr="00E8358C">
        <w:rPr>
          <w:lang w:eastAsia="ja-JP"/>
        </w:rPr>
        <w:t>n</w:t>
      </w:r>
      <w:r w:rsidRPr="00E8358C">
        <w:rPr>
          <w:lang w:eastAsia="ja-JP"/>
        </w:rPr>
        <w:t>tabilisée. On tue lentement l’esclave. Il faut le presser comme un c</w:t>
      </w:r>
      <w:r w:rsidRPr="00E8358C">
        <w:rPr>
          <w:lang w:eastAsia="ja-JP"/>
        </w:rPr>
        <w:t>i</w:t>
      </w:r>
      <w:r w:rsidRPr="00E8358C">
        <w:rPr>
          <w:lang w:eastAsia="ja-JP"/>
        </w:rPr>
        <w:t>tron, comme une orange. Tout a été établi sous le couvert de dispositions légales (C</w:t>
      </w:r>
      <w:r w:rsidRPr="00E8358C">
        <w:rPr>
          <w:lang w:eastAsia="ja-JP"/>
        </w:rPr>
        <w:t>o</w:t>
      </w:r>
      <w:r w:rsidRPr="00E8358C">
        <w:rPr>
          <w:lang w:eastAsia="ja-JP"/>
        </w:rPr>
        <w:t>de noir) et d’instruments de torture (chaînes, fouet, sévices corp</w:t>
      </w:r>
      <w:r w:rsidRPr="00E8358C">
        <w:rPr>
          <w:lang w:eastAsia="ja-JP"/>
        </w:rPr>
        <w:t>o</w:t>
      </w:r>
      <w:r w:rsidRPr="00E8358C">
        <w:rPr>
          <w:lang w:eastAsia="ja-JP"/>
        </w:rPr>
        <w:t xml:space="preserve">rels…) qui heurtaient la sensibilité humaine. </w:t>
      </w:r>
    </w:p>
    <w:p w:rsidR="004C50DC" w:rsidRDefault="004C50DC" w:rsidP="004C50DC">
      <w:pPr>
        <w:pStyle w:val="Citation0c"/>
      </w:pPr>
      <w:r w:rsidRPr="00E8358C">
        <w:t>(Élifète, entrevue, 22 août 2013)</w:t>
      </w:r>
    </w:p>
    <w:p w:rsidR="004C50DC" w:rsidRPr="00E8358C" w:rsidRDefault="004C50DC" w:rsidP="004C50DC">
      <w:pPr>
        <w:pStyle w:val="Citation0c"/>
      </w:pPr>
    </w:p>
    <w:p w:rsidR="004C50DC" w:rsidRPr="00E8358C" w:rsidRDefault="004C50DC" w:rsidP="004C50DC">
      <w:pPr>
        <w:spacing w:before="120" w:after="120"/>
        <w:jc w:val="both"/>
      </w:pPr>
      <w:r w:rsidRPr="00E8358C">
        <w:t>Les mêmes dispositions de déshumanisation déjà prises contre les esclaves par les colons espagnols ont été consolidées par les Français à Saint-Domingue. Un de nos interlocuteurs, originaire de Jean Rabel, appelé Baptiste, âgé de 70 ans, qui enseigne la littérature à Bordeaux, parle des habitations coloniales comme étant des « guildives</w:t>
      </w:r>
      <w:r>
        <w:t> </w:t>
      </w:r>
      <w:r>
        <w:rPr>
          <w:rStyle w:val="Appelnotedebasdep"/>
        </w:rPr>
        <w:footnoteReference w:id="659"/>
      </w:r>
      <w:r>
        <w:t> </w:t>
      </w:r>
      <w:r w:rsidRPr="00E8358C">
        <w:t xml:space="preserve">». </w:t>
      </w:r>
    </w:p>
    <w:p w:rsidR="004C50DC" w:rsidRDefault="004C50DC" w:rsidP="004C50DC">
      <w:pPr>
        <w:pStyle w:val="Citation0"/>
      </w:pPr>
    </w:p>
    <w:p w:rsidR="004C50DC" w:rsidRPr="00E8358C" w:rsidRDefault="004C50DC" w:rsidP="004C50DC">
      <w:pPr>
        <w:pStyle w:val="Citation0"/>
        <w:rPr>
          <w:lang w:eastAsia="ja-JP"/>
        </w:rPr>
      </w:pPr>
      <w:r w:rsidRPr="00E8358C">
        <w:t xml:space="preserve">C’est un mot </w:t>
      </w:r>
      <w:r w:rsidRPr="00E8358C">
        <w:rPr>
          <w:lang w:eastAsia="ja-JP"/>
        </w:rPr>
        <w:t>de l’époque coloniale. Effectivement, à proximité de Jean-Rabel</w:t>
      </w:r>
      <w:r>
        <w:rPr>
          <w:lang w:eastAsia="ja-JP"/>
        </w:rPr>
        <w:t> </w:t>
      </w:r>
      <w:r>
        <w:rPr>
          <w:rStyle w:val="Appelnotedebasdep"/>
          <w:lang w:eastAsia="ja-JP"/>
        </w:rPr>
        <w:footnoteReference w:id="660"/>
      </w:r>
      <w:r w:rsidRPr="00E8358C">
        <w:rPr>
          <w:lang w:eastAsia="ja-JP"/>
        </w:rPr>
        <w:t>, j’habitais une région qui s’appelle « Nan Gildiv » (Gui</w:t>
      </w:r>
      <w:r w:rsidRPr="00E8358C">
        <w:rPr>
          <w:lang w:eastAsia="ja-JP"/>
        </w:rPr>
        <w:t>l</w:t>
      </w:r>
      <w:r w:rsidRPr="00E8358C">
        <w:rPr>
          <w:lang w:eastAsia="ja-JP"/>
        </w:rPr>
        <w:t xml:space="preserve">dive). C’est mon seul souvenir d’une habitation coloniale. </w:t>
      </w:r>
    </w:p>
    <w:p w:rsidR="004C50DC" w:rsidRDefault="004C50DC" w:rsidP="004C50DC">
      <w:pPr>
        <w:pStyle w:val="Citation0c"/>
      </w:pPr>
      <w:r w:rsidRPr="00E8358C">
        <w:t>(Baptiste, entrevue, 22 juillet 2013)</w:t>
      </w:r>
    </w:p>
    <w:p w:rsidR="004C50DC" w:rsidRPr="00E8358C" w:rsidRDefault="004C50DC" w:rsidP="004C50DC">
      <w:pPr>
        <w:pStyle w:val="Citation0c"/>
      </w:pPr>
    </w:p>
    <w:p w:rsidR="004C50DC" w:rsidRPr="00E8358C" w:rsidRDefault="004C50DC" w:rsidP="004C50DC">
      <w:pPr>
        <w:spacing w:before="120" w:after="120"/>
        <w:jc w:val="both"/>
      </w:pPr>
      <w:r w:rsidRPr="00E8358C">
        <w:t>Les habitations sucrières à Saint-Domingue durant tout le XVIII</w:t>
      </w:r>
      <w:r w:rsidRPr="00E8358C">
        <w:rPr>
          <w:vertAlign w:val="superscript"/>
        </w:rPr>
        <w:t>e</w:t>
      </w:r>
      <w:r w:rsidRPr="00E8358C">
        <w:t xml:space="preserve"> siècle n’arrêtent pas de se développer et de se moderniser pour sati</w:t>
      </w:r>
      <w:r w:rsidRPr="00E8358C">
        <w:t>s</w:t>
      </w:r>
      <w:r w:rsidRPr="00E8358C">
        <w:t>faire la demande accrue de sucre en Europe. Elles jettent la base d’une ère industrialisée dans la colonie. Les structures des sucreries se mu</w:t>
      </w:r>
      <w:r w:rsidRPr="00E8358C">
        <w:t>l</w:t>
      </w:r>
      <w:r w:rsidRPr="00E8358C">
        <w:t>tipliaient et évoluaient à Saint-Domingue.  Elles étaient le premier choix de production agro-industrielle avec la transformation du jus de la canne en sucre. Du moulin à bras en</w:t>
      </w:r>
      <w:r>
        <w:t xml:space="preserve"> [239]</w:t>
      </w:r>
      <w:r w:rsidRPr="00E8358C">
        <w:t xml:space="preserve"> passant par le moulin à bêtes jusqu’à la construction des aqueducs et du moulin à eau, les s</w:t>
      </w:r>
      <w:r w:rsidRPr="00E8358C">
        <w:t>u</w:t>
      </w:r>
      <w:r w:rsidRPr="00E8358C">
        <w:t>creries présentaient des modèles proto-industriels, selon l’expression de Franklin Mendels</w:t>
      </w:r>
      <w:r>
        <w:t> </w:t>
      </w:r>
      <w:r>
        <w:rPr>
          <w:rStyle w:val="Appelnotedebasdep"/>
        </w:rPr>
        <w:footnoteReference w:id="661"/>
      </w:r>
      <w:r w:rsidRPr="00E8358C">
        <w:t>. Elles formaient « la première phase du proce</w:t>
      </w:r>
      <w:r w:rsidRPr="00E8358C">
        <w:t>s</w:t>
      </w:r>
      <w:r w:rsidRPr="00E8358C">
        <w:t>sus global de la modernisation industrielle »</w:t>
      </w:r>
      <w:r>
        <w:t> </w:t>
      </w:r>
      <w:r>
        <w:rPr>
          <w:rStyle w:val="Appelnotedebasdep"/>
        </w:rPr>
        <w:footnoteReference w:id="662"/>
      </w:r>
      <w:r w:rsidRPr="00E8358C">
        <w:t xml:space="preserve"> dans la colonie. </w:t>
      </w:r>
    </w:p>
    <w:p w:rsidR="004C50DC" w:rsidRPr="00E8358C" w:rsidRDefault="004C50DC" w:rsidP="004C50DC">
      <w:pPr>
        <w:spacing w:before="120" w:after="120"/>
        <w:jc w:val="both"/>
      </w:pPr>
      <w:r w:rsidRPr="00E8358C">
        <w:t>La structure des habitations sucrières de Saint-Domingue assure une production organisée et intense nécessitant des bras et un savoir-faire technique. La fabrication du sucre respecte une disposition proto-industrielle avec un agencement linéaire des chaudières de dimensions diverses, soit de la plus grande à la plus petite. Les tiges de canne à sucre sont broyées dans un moulin produisant le jus de canne déversé dans des réservoirs pour la décantation. Dans les deux premières chaudières, l’épuration est réalisée en ajoutant de la chaux. L’écume qui se forme à la surface est retirée par la suite par les esclaves de l’atelier à l’aide des écumoires. Après, le jus épuré est chauffé dans la troisième chaudière et transformé en sirop dans la quatrième chaudi</w:t>
      </w:r>
      <w:r w:rsidRPr="00E8358C">
        <w:t>è</w:t>
      </w:r>
      <w:r w:rsidRPr="00E8358C">
        <w:t>re jusqu’à évaporation complète du vesou et il se solidifie en sucre au terme de la cuisson. Les esclaves doivent transvaser le jus de canne et le sirop rapidement d’une chaudière à l’autre, avec des cuillers de bois, puis le retirer de la dernière chaudière. Le sucre se cristallise sur des tables puis est transporté dans la purgerie et mis dans des caisses de bois où il continue à s’égoutter pendant trois semaines</w:t>
      </w:r>
      <w:r>
        <w:t> </w:t>
      </w:r>
      <w:r>
        <w:rPr>
          <w:rStyle w:val="Appelnotedebasdep"/>
        </w:rPr>
        <w:footnoteReference w:id="663"/>
      </w:r>
      <w:r w:rsidRPr="00E8358C">
        <w:t xml:space="preserve">. Tout était bien organisé. La moindre erreur pouvait gâcher la production. </w:t>
      </w:r>
    </w:p>
    <w:p w:rsidR="004C50DC" w:rsidRPr="00E8358C" w:rsidRDefault="004C50DC" w:rsidP="004C50DC">
      <w:pPr>
        <w:spacing w:before="120" w:after="120"/>
        <w:jc w:val="both"/>
      </w:pPr>
      <w:r w:rsidRPr="00E8358C">
        <w:t>Toute l’expansion économique qui a fait de Saint-Domingue la « Perle des Antilles » était fondée en grande partie sur ce modèle i</w:t>
      </w:r>
      <w:r w:rsidRPr="00E8358C">
        <w:t>n</w:t>
      </w:r>
      <w:r w:rsidRPr="00E8358C">
        <w:t>dustriel. La monoculture sucrière était destinée à l’exportation et o</w:t>
      </w:r>
      <w:r w:rsidRPr="00E8358C">
        <w:t>c</w:t>
      </w:r>
      <w:r w:rsidRPr="00E8358C">
        <w:t>cupait  les champs cultivables de la colonie. L’expansion de culture de la canne et du sucre projette Saint-Domingue au sommet des colonies les plus importantes pour la France durant tout le XVIII</w:t>
      </w:r>
      <w:r w:rsidRPr="00E8358C">
        <w:rPr>
          <w:vertAlign w:val="superscript"/>
        </w:rPr>
        <w:t>e</w:t>
      </w:r>
      <w:r w:rsidRPr="00E8358C">
        <w:t xml:space="preserve"> siècle. Dans ce contexte d’industrialisation précoce, désormais se posait aussi la question de la place des esclaves qui devaient faire fonctionner la m</w:t>
      </w:r>
      <w:r w:rsidRPr="00E8358C">
        <w:t>a</w:t>
      </w:r>
      <w:r w:rsidRPr="00E8358C">
        <w:t>chine coloniale. « Le travail y est entièrement assuré par ces hommes et ces femmes</w:t>
      </w:r>
      <w:r>
        <w:t xml:space="preserve"> [240]</w:t>
      </w:r>
      <w:r w:rsidRPr="00E8358C">
        <w:t xml:space="preserve"> déportés d’Afrique » comme le précisent Marcel Dorigny et Bernard Gainot</w:t>
      </w:r>
      <w:r>
        <w:t> </w:t>
      </w:r>
      <w:r>
        <w:rPr>
          <w:rStyle w:val="Appelnotedebasdep"/>
        </w:rPr>
        <w:footnoteReference w:id="664"/>
      </w:r>
      <w:r w:rsidRPr="00E8358C">
        <w:t xml:space="preserve">. Le travail à la chaîne était assuré par les esclaves dans les champs de canne à sucre et les moulins. </w:t>
      </w:r>
    </w:p>
    <w:p w:rsidR="004C50DC" w:rsidRDefault="004C50DC" w:rsidP="004C50DC">
      <w:pPr>
        <w:spacing w:before="120" w:after="120"/>
        <w:jc w:val="both"/>
        <w:rPr>
          <w:lang w:eastAsia="ja-JP"/>
        </w:rPr>
      </w:pPr>
      <w:r w:rsidRPr="00E8358C">
        <w:t>Après la Révolution d’indépendance haïtienne en 1804, les guild</w:t>
      </w:r>
      <w:r w:rsidRPr="00E8358C">
        <w:t>i</w:t>
      </w:r>
      <w:r w:rsidRPr="00E8358C">
        <w:t xml:space="preserve">ves conservent leur caractère proto-industriel en Haïti. La transition industrielle n’est toujours pas réalisée plus de deux siècles plus tard. </w:t>
      </w:r>
      <w:r w:rsidRPr="00E8358C">
        <w:rPr>
          <w:lang w:eastAsia="ja-JP"/>
        </w:rPr>
        <w:t>Nous pensons qu’il serait intéressant de faire un travail sur les ra</w:t>
      </w:r>
      <w:r w:rsidRPr="00E8358C">
        <w:rPr>
          <w:lang w:eastAsia="ja-JP"/>
        </w:rPr>
        <w:t>p</w:t>
      </w:r>
      <w:r w:rsidRPr="00E8358C">
        <w:rPr>
          <w:lang w:eastAsia="ja-JP"/>
        </w:rPr>
        <w:t>ports entre les habitations coloniales et les guildives en Haïti qui me</w:t>
      </w:r>
      <w:r w:rsidRPr="00E8358C">
        <w:rPr>
          <w:lang w:eastAsia="ja-JP"/>
        </w:rPr>
        <w:t>t</w:t>
      </w:r>
      <w:r w:rsidRPr="00E8358C">
        <w:rPr>
          <w:lang w:eastAsia="ja-JP"/>
        </w:rPr>
        <w:t>trait de l’avant la structure industrielle de ces habitations et leur cara</w:t>
      </w:r>
      <w:r w:rsidRPr="00E8358C">
        <w:rPr>
          <w:lang w:eastAsia="ja-JP"/>
        </w:rPr>
        <w:t>c</w:t>
      </w:r>
      <w:r w:rsidRPr="00E8358C">
        <w:rPr>
          <w:lang w:eastAsia="ja-JP"/>
        </w:rPr>
        <w:t>tère précurseur de la révolution industrielle. Les guildives gardent e</w:t>
      </w:r>
      <w:r w:rsidRPr="00E8358C">
        <w:rPr>
          <w:lang w:eastAsia="ja-JP"/>
        </w:rPr>
        <w:t>n</w:t>
      </w:r>
      <w:r w:rsidRPr="00E8358C">
        <w:rPr>
          <w:lang w:eastAsia="ja-JP"/>
        </w:rPr>
        <w:t xml:space="preserve">core la structure de la production proto-industrielle. </w:t>
      </w:r>
    </w:p>
    <w:p w:rsidR="004C50DC" w:rsidRPr="00E8358C" w:rsidRDefault="004C50DC" w:rsidP="004C50DC">
      <w:pPr>
        <w:spacing w:before="120" w:after="120"/>
        <w:jc w:val="both"/>
        <w:rPr>
          <w:lang w:eastAsia="ja-JP"/>
        </w:rPr>
      </w:pPr>
      <w:r>
        <w:rPr>
          <w:lang w:eastAsia="ja-JP"/>
        </w:rPr>
        <w:br w:type="page"/>
      </w:r>
    </w:p>
    <w:p w:rsidR="004C50DC" w:rsidRPr="00E8358C" w:rsidRDefault="004C50DC" w:rsidP="004C50DC">
      <w:pPr>
        <w:pStyle w:val="b"/>
      </w:pPr>
      <w:bookmarkStart w:id="275" w:name="_Toc406489661"/>
      <w:bookmarkStart w:id="276" w:name="_Toc442280509"/>
      <w:r w:rsidRPr="00E8358C">
        <w:t>5.2.1.2.  Lieu d’exploitation et d’aliénation de l’esclave</w:t>
      </w:r>
      <w:bookmarkEnd w:id="275"/>
      <w:bookmarkEnd w:id="276"/>
    </w:p>
    <w:p w:rsidR="004C50DC" w:rsidRDefault="004C50DC" w:rsidP="004C50DC">
      <w:pPr>
        <w:spacing w:before="120" w:after="120"/>
        <w:jc w:val="both"/>
        <w:rPr>
          <w:lang w:eastAsia="en-CA"/>
        </w:rPr>
      </w:pPr>
    </w:p>
    <w:p w:rsidR="004C50DC" w:rsidRPr="00E8358C" w:rsidRDefault="004C50DC" w:rsidP="004C50DC">
      <w:pPr>
        <w:spacing w:before="120" w:after="120"/>
        <w:jc w:val="both"/>
      </w:pPr>
      <w:r w:rsidRPr="00E8358C">
        <w:rPr>
          <w:lang w:eastAsia="en-CA"/>
        </w:rPr>
        <w:t xml:space="preserve">Devant le système esclavagiste imposé aux Noirs africains en Amérique, l’Europe hésitait entre l’indifférence et la réprobation. </w:t>
      </w:r>
      <w:r w:rsidRPr="00E8358C">
        <w:t>Sur les plantations, de nombreuses mesures étaient appliquées pour di</w:t>
      </w:r>
      <w:r w:rsidRPr="00E8358C">
        <w:t>s</w:t>
      </w:r>
      <w:r w:rsidRPr="00E8358C">
        <w:t>suader les esclaves de s’évader : le poids de « 50 livres » attaché aux pieds de l’esclave pour l’empêcher de courir ; « le masque » pour év</w:t>
      </w:r>
      <w:r w:rsidRPr="00E8358C">
        <w:t>i</w:t>
      </w:r>
      <w:r w:rsidRPr="00E8358C">
        <w:t>ter qu’il se suicide en mangeant de la terre</w:t>
      </w:r>
      <w:r>
        <w:t> </w:t>
      </w:r>
      <w:r>
        <w:rPr>
          <w:rStyle w:val="Appelnotedebasdep"/>
        </w:rPr>
        <w:footnoteReference w:id="665"/>
      </w:r>
      <w:r w:rsidRPr="00E8358C">
        <w:t> ; sans oublier « les entr</w:t>
      </w:r>
      <w:r w:rsidRPr="00E8358C">
        <w:t>a</w:t>
      </w:r>
      <w:r w:rsidRPr="00E8358C">
        <w:t>ves » qui empêchaient toute potentielle fuite dans les forêts, car l’esclave était retenu par les broussailles. La technique de l’étampage utilisée comme pour le bétail permettait d’identifier à quelle plant</w:t>
      </w:r>
      <w:r w:rsidRPr="00E8358C">
        <w:t>a</w:t>
      </w:r>
      <w:r w:rsidRPr="00E8358C">
        <w:t>tion ou à quel propriétaire appartenait tel ou tel esclave. L’esclave au moment de son baptême était aussi dans la négation de son humanité. Il était considéré comme un animal. Le baptême forcé était une ento</w:t>
      </w:r>
      <w:r w:rsidRPr="00E8358C">
        <w:t>r</w:t>
      </w:r>
      <w:r w:rsidRPr="00E8358C">
        <w:t>se aux droits humains, mais forcément aussi une animalisation, quel que soit le prétexte civilisateur ou religieux évoqué par le colonis</w:t>
      </w:r>
      <w:r w:rsidRPr="00E8358C">
        <w:t>a</w:t>
      </w:r>
      <w:r w:rsidRPr="00E8358C">
        <w:t xml:space="preserve">teur. Les esclaves constituaient un véritable cheptel.  </w:t>
      </w:r>
    </w:p>
    <w:p w:rsidR="004C50DC" w:rsidRPr="00E8358C" w:rsidRDefault="004C50DC" w:rsidP="004C50DC">
      <w:pPr>
        <w:spacing w:before="120" w:after="120"/>
        <w:jc w:val="both"/>
      </w:pPr>
      <w:r w:rsidRPr="00E8358C">
        <w:t>Des châtiments corporels étaient infligés aux esclaves pour des fautes, des erreurs et des tentatives d’évasion. Les esclaves n’étaient pas tout à fait unis sur les habitations. La délation des esclaves entre eux était encouragée par les maîtres sur simple promesse de faire jouir de certains privilèges ou de recouvrer la liberté. Les maîtres jouaient sur la</w:t>
      </w:r>
      <w:r>
        <w:t xml:space="preserve"> [241]</w:t>
      </w:r>
      <w:r w:rsidRPr="00E8358C">
        <w:t xml:space="preserve"> « différence de la couleur de l’épiderme ». La pyramide sociale du temps de la colonie de Saint-Domingue se présentait ainsi : les planteurs blancs au sommet, les affranchis au milieu et les esclaves à la base. Les enfants issus d’une union « blanc et noir », commun</w:t>
      </w:r>
      <w:r w:rsidRPr="00E8358C">
        <w:t>é</w:t>
      </w:r>
      <w:r w:rsidRPr="00E8358C">
        <w:t xml:space="preserve">ment appelés mulâtres, que le père n’avait pas reconnus ou qui n’avaient pas obtenu cette légitimité par la mère étaient considérés aussi comme esclaves. Néanmoins, ils étaient mieux traités que les esclaves noirs. Plus l’épiderme de l’esclave était foncé, moins il avait des droits dans l’ensemble des espaces coloniaux. La colonie de Saint-Domingue fut une véritable société raciste qui nourrissait des conflits internes. </w:t>
      </w:r>
    </w:p>
    <w:p w:rsidR="004C50DC" w:rsidRPr="00E8358C" w:rsidRDefault="004C50DC" w:rsidP="004C50DC">
      <w:pPr>
        <w:spacing w:before="120" w:after="120"/>
        <w:jc w:val="both"/>
      </w:pPr>
      <w:r w:rsidRPr="00E8358C">
        <w:t>Certaines habitations avaient une infirmerie dont le confort so</w:t>
      </w:r>
      <w:r w:rsidRPr="00E8358C">
        <w:t>m</w:t>
      </w:r>
      <w:r w:rsidRPr="00E8358C">
        <w:t>maire faisait que les esclaves se trouvaient parfois mieux dans les champs qu’au lit. Généralement, l’infirmerie avait des salles de consultations et des chambres pour hommes et pour femmes. Les m</w:t>
      </w:r>
      <w:r w:rsidRPr="00E8358C">
        <w:t>a</w:t>
      </w:r>
      <w:r w:rsidRPr="00E8358C">
        <w:t>lades contagieux étaient isolés dans des cases. Une « feuille d’hôpital » du mois d’avril 1789 (figure 20) montre qu’il existait des hôpitaux pour les esclaves malades sur les habitations. En principe, le Code noir de 1685 faisait obligation aux maîtres d’entretenir leurs e</w:t>
      </w:r>
      <w:r w:rsidRPr="00E8358C">
        <w:t>s</w:t>
      </w:r>
      <w:r w:rsidRPr="00E8358C">
        <w:t>claves, de leur assurer la nourriture, de leur fournir des vêtements et de leur prodiguer des soins. Des pathologies (malnutrition, mal de mâchoires surtout chez les nouveaux-nés) et des blessures graves suite à des accidents (amputation d’un bras, d’une jambe…) ont été rece</w:t>
      </w:r>
      <w:r w:rsidRPr="00E8358C">
        <w:t>n</w:t>
      </w:r>
      <w:r w:rsidRPr="00E8358C">
        <w:t>sées. Il faut signaler aussi la « fièvre de paresse</w:t>
      </w:r>
      <w:r>
        <w:t> </w:t>
      </w:r>
      <w:r w:rsidRPr="00E8358C">
        <w:rPr>
          <w:rStyle w:val="Appelnotedebasdep"/>
        </w:rPr>
        <w:footnoteReference w:id="666"/>
      </w:r>
      <w:r w:rsidRPr="00E8358C">
        <w:t> » qui semble avoir été assez récurrente. Effectivement, la paresse était une forme de s</w:t>
      </w:r>
      <w:r w:rsidRPr="00E8358C">
        <w:t>a</w:t>
      </w:r>
      <w:r w:rsidRPr="00E8358C">
        <w:t xml:space="preserve">botage, un acte de refus des conditions de travail, un acte de rébellion. Donc cette fièvre n’était pas naïve. Les esclaves avaient tout intérêt à se protéger compte tenu de la cadence de travail que le maître ou son représentant leur imposait. </w:t>
      </w:r>
    </w:p>
    <w:p w:rsidR="004C50DC" w:rsidRDefault="004C50DC" w:rsidP="004C50DC">
      <w:pPr>
        <w:spacing w:before="120" w:after="120"/>
        <w:jc w:val="both"/>
        <w:rPr>
          <w:szCs w:val="18"/>
        </w:rPr>
      </w:pPr>
      <w:r>
        <w:rPr>
          <w:szCs w:val="18"/>
        </w:rPr>
        <w:br w:type="page"/>
        <w:t>[242]</w:t>
      </w:r>
    </w:p>
    <w:p w:rsidR="004C50DC" w:rsidRPr="00E95DCE" w:rsidRDefault="004C50DC" w:rsidP="004C50DC">
      <w:pPr>
        <w:spacing w:before="120" w:after="120"/>
        <w:jc w:val="both"/>
        <w:rPr>
          <w:szCs w:val="18"/>
        </w:rPr>
      </w:pPr>
    </w:p>
    <w:p w:rsidR="004C50DC" w:rsidRPr="00E8358C" w:rsidRDefault="009B614B" w:rsidP="004C50DC">
      <w:pPr>
        <w:pStyle w:val="fig"/>
      </w:pPr>
      <w:r w:rsidRPr="00E8358C">
        <w:rPr>
          <w:noProof/>
          <w:lang w:eastAsia="fr-FR"/>
        </w:rPr>
        <w:drawing>
          <wp:inline distT="0" distB="0" distL="0" distR="0">
            <wp:extent cx="3388360" cy="3743960"/>
            <wp:effectExtent l="25400" t="25400" r="15240" b="15240"/>
            <wp:docPr id="26" name="Image 2" descr="IMG_2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IMG_2263"/>
                    <pic:cNvPicPr>
                      <a:picLocks/>
                    </pic:cNvPicPr>
                  </pic:nvPicPr>
                  <pic:blipFill>
                    <a:blip r:embed="rId56">
                      <a:extLst>
                        <a:ext uri="{28A0092B-C50C-407E-A947-70E740481C1C}">
                          <a14:useLocalDpi xmlns:a14="http://schemas.microsoft.com/office/drawing/2010/main" val="0"/>
                        </a:ext>
                      </a:extLst>
                    </a:blip>
                    <a:srcRect b="17043"/>
                    <a:stretch>
                      <a:fillRect/>
                    </a:stretch>
                  </pic:blipFill>
                  <pic:spPr bwMode="auto">
                    <a:xfrm>
                      <a:off x="0" y="0"/>
                      <a:ext cx="3388360" cy="374396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77" w:name="_Toc417146065"/>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78" w:name="Memoire_fig_20"/>
      <w:r w:rsidRPr="009A7338">
        <w:t xml:space="preserve">Figure </w:t>
      </w:r>
      <w:r w:rsidRPr="009A7338">
        <w:fldChar w:fldCharType="begin"/>
      </w:r>
      <w:r w:rsidR="00EF1554">
        <w:instrText>SEQ</w:instrText>
      </w:r>
      <w:r w:rsidRPr="009A7338">
        <w:instrText xml:space="preserve"> Figure \* ARABIC </w:instrText>
      </w:r>
      <w:r w:rsidRPr="009A7338">
        <w:fldChar w:fldCharType="separate"/>
      </w:r>
      <w:r>
        <w:rPr>
          <w:noProof/>
        </w:rPr>
        <w:t>20</w:t>
      </w:r>
      <w:r w:rsidRPr="009A7338">
        <w:fldChar w:fldCharType="end"/>
      </w:r>
      <w:r w:rsidRPr="009A7338">
        <w:t>.</w:t>
      </w:r>
      <w:r>
        <w:t xml:space="preserve"> </w:t>
      </w:r>
      <w:r w:rsidRPr="009A7338">
        <w:t>Feuille d’hôpital au mois d’avril 1789</w:t>
      </w:r>
      <w:bookmarkEnd w:id="277"/>
      <w:r>
        <w:t xml:space="preserve">. </w:t>
      </w:r>
      <w:r w:rsidRPr="00E8358C">
        <w:rPr>
          <w:szCs w:val="18"/>
        </w:rPr>
        <w:t>Source : Archives départ</w:t>
      </w:r>
      <w:r w:rsidRPr="00E8358C">
        <w:rPr>
          <w:szCs w:val="18"/>
        </w:rPr>
        <w:t>e</w:t>
      </w:r>
      <w:r w:rsidRPr="00E8358C">
        <w:rPr>
          <w:szCs w:val="18"/>
        </w:rPr>
        <w:t>mentales de la Gironde</w:t>
      </w:r>
      <w:r>
        <w:rPr>
          <w:szCs w:val="18"/>
        </w:rPr>
        <w:t xml:space="preserve">. </w:t>
      </w:r>
      <w:r w:rsidRPr="00E8358C">
        <w:rPr>
          <w:szCs w:val="18"/>
        </w:rPr>
        <w:t>Fac-similé / Musée d’Aquitaine</w:t>
      </w:r>
    </w:p>
    <w:bookmarkEnd w:id="278"/>
    <w:p w:rsidR="004C50DC" w:rsidRDefault="004C50DC" w:rsidP="004C50DC">
      <w:pPr>
        <w:spacing w:before="120" w:after="120"/>
        <w:jc w:val="both"/>
      </w:pPr>
    </w:p>
    <w:p w:rsidR="004C50DC" w:rsidRPr="00E8358C" w:rsidRDefault="004C50DC" w:rsidP="004C50DC">
      <w:pPr>
        <w:spacing w:before="120" w:after="120"/>
        <w:jc w:val="both"/>
      </w:pPr>
      <w:r w:rsidRPr="00E8358C">
        <w:t>Socialement, l’esclave était conscient qu’il était comme mort. Il était dépouillé de son identité. Son régime de travail et de châtiments était déterminé par son maître qui avait droit de vie et de mort sur lui. Rendement, profit, exploitation à outrance, châtiments étaient le pri</w:t>
      </w:r>
      <w:r w:rsidRPr="00E8358C">
        <w:t>n</w:t>
      </w:r>
      <w:r w:rsidRPr="00E8358C">
        <w:t>cipal vocabulaire utilisé sur les habitations. Il fallait prévenir et éviter les pénuries. Les esclavagistes se souciaient du renouvellement rég</w:t>
      </w:r>
      <w:r w:rsidRPr="00E8358C">
        <w:t>u</w:t>
      </w:r>
      <w:r w:rsidRPr="00E8358C">
        <w:t xml:space="preserve">lier de la main-d’œuvre servile. </w:t>
      </w:r>
    </w:p>
    <w:p w:rsidR="004C50DC" w:rsidRPr="00E8358C" w:rsidRDefault="004C50DC" w:rsidP="004C50DC">
      <w:pPr>
        <w:spacing w:before="120" w:after="120"/>
        <w:jc w:val="both"/>
      </w:pPr>
      <w:r w:rsidRPr="00E8358C">
        <w:t xml:space="preserve">L’historien de la révolution française Augustin Cochin compare </w:t>
      </w:r>
      <w:r w:rsidRPr="00E8358C">
        <w:rPr>
          <w:bCs/>
        </w:rPr>
        <w:t>les habitations à « </w:t>
      </w:r>
      <w:r w:rsidRPr="00E8358C">
        <w:t>des prisons sans murailles, des manufactures odieuses produisant du tabac, du café, du sucre, et consommant des escl</w:t>
      </w:r>
      <w:r w:rsidRPr="00E8358C">
        <w:t>a</w:t>
      </w:r>
      <w:r w:rsidRPr="00E8358C">
        <w:t>ves »</w:t>
      </w:r>
      <w:r>
        <w:t> </w:t>
      </w:r>
      <w:r>
        <w:rPr>
          <w:rStyle w:val="Appelnotedebasdep"/>
        </w:rPr>
        <w:footnoteReference w:id="667"/>
      </w:r>
      <w:r w:rsidRPr="00E8358C">
        <w:rPr>
          <w:bCs/>
        </w:rPr>
        <w:t xml:space="preserve">. Ces prisons n’étaient pas seulement physiques, elles </w:t>
      </w:r>
      <w:r>
        <w:rPr>
          <w:bCs/>
        </w:rPr>
        <w:t xml:space="preserve">[243] </w:t>
      </w:r>
      <w:r w:rsidRPr="00E8358C">
        <w:rPr>
          <w:bCs/>
        </w:rPr>
        <w:t>v</w:t>
      </w:r>
      <w:r w:rsidRPr="00E8358C">
        <w:rPr>
          <w:bCs/>
        </w:rPr>
        <w:t>i</w:t>
      </w:r>
      <w:r w:rsidRPr="00E8358C">
        <w:rPr>
          <w:bCs/>
        </w:rPr>
        <w:t>saient l’aliénation des esclaves pour les porter à accepter leur situ</w:t>
      </w:r>
      <w:r w:rsidRPr="00E8358C">
        <w:rPr>
          <w:bCs/>
        </w:rPr>
        <w:t>a</w:t>
      </w:r>
      <w:r w:rsidRPr="00E8358C">
        <w:rPr>
          <w:bCs/>
        </w:rPr>
        <w:t xml:space="preserve">tion d’infériorité. Selon </w:t>
      </w:r>
      <w:r w:rsidRPr="00E8358C">
        <w:t>Michel Hector et Claude Moïse, des cond</w:t>
      </w:r>
      <w:r w:rsidRPr="00E8358C">
        <w:t>i</w:t>
      </w:r>
      <w:r w:rsidRPr="00E8358C">
        <w:t>tions d’existence de plus en plus inhumaines leur étaient infligées pour e</w:t>
      </w:r>
      <w:r w:rsidRPr="00E8358C">
        <w:t>n</w:t>
      </w:r>
      <w:r w:rsidRPr="00E8358C">
        <w:t>tretenir la distance entre les deux pôles (le maître blanc et l’esclave noir), en d’autres termes, pour perpétuer la domination du maître blanc sur l’esclave noir</w:t>
      </w:r>
      <w:r>
        <w:t> </w:t>
      </w:r>
      <w:r w:rsidRPr="00E8358C">
        <w:rPr>
          <w:rStyle w:val="Appelnotedebasdep"/>
        </w:rPr>
        <w:footnoteReference w:id="668"/>
      </w:r>
      <w:r w:rsidRPr="00E8358C">
        <w:t xml:space="preserve">. </w:t>
      </w:r>
    </w:p>
    <w:p w:rsidR="004C50DC" w:rsidRPr="00792DC7" w:rsidRDefault="004C50DC" w:rsidP="004C50DC">
      <w:pPr>
        <w:spacing w:before="120" w:after="120"/>
        <w:jc w:val="both"/>
      </w:pPr>
      <w:r w:rsidRPr="00E8358C">
        <w:t>D’après Maurice Burac, l’univers plantationnaire est souvent décrit entre la déshumanisation de l’esclave (n’ayant d’autres recours que le suicide, le marronnage ou l’émeute) et la « revendication aristocrat</w:t>
      </w:r>
      <w:r w:rsidRPr="00E8358C">
        <w:t>i</w:t>
      </w:r>
      <w:r w:rsidRPr="00E8358C">
        <w:t>que des colons prenant souvent la forme d’une biographie rêvée se référant à un ancêtre fondateur »</w:t>
      </w:r>
      <w:r>
        <w:t> </w:t>
      </w:r>
      <w:r>
        <w:rPr>
          <w:rStyle w:val="Appelnotedebasdep"/>
        </w:rPr>
        <w:footnoteReference w:id="669"/>
      </w:r>
      <w:r w:rsidRPr="00E8358C">
        <w:t>. Elle est un espace d’aliénation et d’asservissement de la main-d’œuvre d’origine africaine, entretenu pendant des siècles et projeté encore pour longtemps</w:t>
      </w:r>
      <w:r>
        <w:t> </w:t>
      </w:r>
      <w:r>
        <w:rPr>
          <w:rStyle w:val="Appelnotedebasdep"/>
        </w:rPr>
        <w:footnoteReference w:id="670"/>
      </w:r>
      <w:r w:rsidRPr="00E8358C">
        <w:t xml:space="preserve">. Les mauvais traitements, les oppressions, ont poussé sans conteste les esclaves à la révolte. Ils n’étaient pas vraiment « zombifiés ». Les </w:t>
      </w:r>
      <w:r w:rsidRPr="00792DC7">
        <w:t>messages révol</w:t>
      </w:r>
      <w:r w:rsidRPr="00792DC7">
        <w:t>u</w:t>
      </w:r>
      <w:r w:rsidRPr="00792DC7">
        <w:t xml:space="preserve">tionnaires de chefs comme Boukman galvanisaient la communauté des esclaves. </w:t>
      </w:r>
      <w:r w:rsidRPr="00E8358C">
        <w:t xml:space="preserve">Leurs multiples révoltes cristallisaient davantage leur volonté de renverser le système esclavagiste. </w:t>
      </w:r>
      <w:r w:rsidRPr="00792DC7">
        <w:t xml:space="preserve"> Ils avaient pris con</w:t>
      </w:r>
      <w:r w:rsidRPr="00792DC7">
        <w:t>s</w:t>
      </w:r>
      <w:r w:rsidRPr="00792DC7">
        <w:t>cience de leur humanité. C’est ce qu’on retrouve dans les mots de M</w:t>
      </w:r>
      <w:r w:rsidRPr="00792DC7">
        <w:t>a</w:t>
      </w:r>
      <w:r w:rsidRPr="00792DC7">
        <w:t>rise, 26 ans, une vodouisante des Cayes qui a accepté de répondre à nos questions.</w:t>
      </w:r>
    </w:p>
    <w:p w:rsidR="004C50DC" w:rsidRDefault="004C50DC" w:rsidP="004C50DC">
      <w:pPr>
        <w:pStyle w:val="Citation0i"/>
      </w:pPr>
    </w:p>
    <w:p w:rsidR="004C50DC" w:rsidRPr="00792DC7" w:rsidRDefault="004C50DC" w:rsidP="004C50DC">
      <w:pPr>
        <w:pStyle w:val="Citation0i"/>
      </w:pPr>
      <w:r w:rsidRPr="00792DC7">
        <w:t>Pèp ayisyen pa janm dwe bliye remesye papa Boukman ki se youn nan moun ki te plis louvri je ak rasanble esklav yo. Jodia si n lib, s</w:t>
      </w:r>
      <w:r w:rsidRPr="00792DC7">
        <w:t>e</w:t>
      </w:r>
      <w:r w:rsidRPr="00792DC7">
        <w:t>remoni li te fè nan Bwa Kayiman se siy ofisyèl batay ki te pra l ban n endepandans la. Esklav yo te vin retounen moun gras a woumble sa. Kolon yo te kwè nou t ap toujou rete tèt bese jan yo te vle a. Yo te ek</w:t>
      </w:r>
      <w:r w:rsidRPr="00792DC7">
        <w:t>s</w:t>
      </w:r>
      <w:r w:rsidRPr="00792DC7">
        <w:t>plwate n, men lespwa te jèmen jiskaske nou vin lib tout bon nan Vètyè.</w:t>
      </w:r>
    </w:p>
    <w:p w:rsidR="004C50DC" w:rsidRPr="00792DC7" w:rsidRDefault="004C50DC" w:rsidP="004C50DC">
      <w:pPr>
        <w:pStyle w:val="Citation0"/>
      </w:pPr>
      <w:r w:rsidRPr="00792DC7">
        <w:t>[Le peuple haïtien doit à jamais remercier Papa Boukman. Il est r</w:t>
      </w:r>
      <w:r w:rsidRPr="00792DC7">
        <w:t>e</w:t>
      </w:r>
      <w:r w:rsidRPr="00792DC7">
        <w:t>tenu pour être la figure rassembleuse et éclairante des esclaves. La cérémonie organisée à Bois Caïman fut le signal clair du début des grandes batailles pour notre Indépendance. Cette rencontre a permis aux esclaves de reco</w:t>
      </w:r>
      <w:r w:rsidRPr="00792DC7">
        <w:t>u</w:t>
      </w:r>
      <w:r w:rsidRPr="00792DC7">
        <w:t>vrer leur humanité. Les esclavagistes croyaient que les esclaves resteraient pour toujours des zombis. Certes, ils ont été exploités, mais l’espoir d’être libres leur souriait encore jusqu’à la victoire de Vertières].</w:t>
      </w:r>
    </w:p>
    <w:p w:rsidR="004C50DC" w:rsidRDefault="004C50DC" w:rsidP="004C50DC">
      <w:pPr>
        <w:pStyle w:val="Citation0c"/>
      </w:pPr>
      <w:r w:rsidRPr="00792DC7">
        <w:t>(Marise, entrevue, 17 juin 2014)</w:t>
      </w:r>
    </w:p>
    <w:p w:rsidR="004C50DC" w:rsidRPr="00792DC7" w:rsidRDefault="004C50DC" w:rsidP="004C50DC">
      <w:pPr>
        <w:pStyle w:val="Citation0c"/>
      </w:pPr>
    </w:p>
    <w:p w:rsidR="004C50DC" w:rsidRPr="00792DC7" w:rsidRDefault="004C50DC" w:rsidP="004C50DC">
      <w:pPr>
        <w:spacing w:before="120" w:after="120"/>
        <w:jc w:val="both"/>
      </w:pPr>
      <w:r w:rsidRPr="00792DC7">
        <w:t>[244]</w:t>
      </w:r>
    </w:p>
    <w:p w:rsidR="004C50DC" w:rsidRPr="00E8358C" w:rsidRDefault="004C50DC" w:rsidP="004C50DC">
      <w:pPr>
        <w:spacing w:before="120" w:after="120"/>
        <w:jc w:val="both"/>
        <w:rPr>
          <w:szCs w:val="22"/>
          <w:shd w:val="clear" w:color="auto" w:fill="FFFFFF"/>
        </w:rPr>
      </w:pPr>
    </w:p>
    <w:p w:rsidR="004C50DC" w:rsidRPr="00E8358C" w:rsidRDefault="004C50DC" w:rsidP="004C50DC">
      <w:pPr>
        <w:pStyle w:val="b"/>
      </w:pPr>
      <w:bookmarkStart w:id="279" w:name="_Toc406489662"/>
      <w:bookmarkStart w:id="280" w:name="_Toc442280510"/>
      <w:r w:rsidRPr="00E8358C">
        <w:t>5.2.1.3. Esp</w:t>
      </w:r>
      <w:r>
        <w:t>ace de cohabitation</w:t>
      </w:r>
      <w:r>
        <w:br/>
      </w:r>
      <w:r w:rsidRPr="00E8358C">
        <w:t>et de métissage culturel</w:t>
      </w:r>
      <w:bookmarkEnd w:id="279"/>
      <w:bookmarkEnd w:id="280"/>
    </w:p>
    <w:p w:rsidR="004C50DC" w:rsidRDefault="004C50DC" w:rsidP="004C50DC">
      <w:pPr>
        <w:spacing w:before="120" w:after="120"/>
        <w:jc w:val="both"/>
      </w:pPr>
    </w:p>
    <w:p w:rsidR="004C50DC" w:rsidRPr="00E8358C" w:rsidRDefault="004C50DC" w:rsidP="004C50DC">
      <w:pPr>
        <w:spacing w:before="120" w:after="120"/>
        <w:jc w:val="both"/>
      </w:pPr>
      <w:r w:rsidRPr="00E8358C">
        <w:t>L’historien Jacques de Cauna considère les « </w:t>
      </w:r>
      <w:r w:rsidRPr="00E8358C">
        <w:rPr>
          <w:iCs/>
        </w:rPr>
        <w:t>habitations</w:t>
      </w:r>
      <w:r w:rsidRPr="00E8358C">
        <w:t xml:space="preserve"> aux isles d’Amérique française » comme le « </w:t>
      </w:r>
      <w:r w:rsidRPr="00E8358C">
        <w:rPr>
          <w:iCs/>
        </w:rPr>
        <w:t>véritable creuset de la société créole antillaise »</w:t>
      </w:r>
      <w:r>
        <w:rPr>
          <w:iCs/>
        </w:rPr>
        <w:t> </w:t>
      </w:r>
      <w:r w:rsidRPr="00E8358C">
        <w:rPr>
          <w:rStyle w:val="Appelnotedebasdep"/>
          <w:iCs/>
        </w:rPr>
        <w:footnoteReference w:id="671"/>
      </w:r>
      <w:r w:rsidRPr="00E8358C">
        <w:rPr>
          <w:i/>
          <w:iCs/>
        </w:rPr>
        <w:t>.</w:t>
      </w:r>
      <w:r w:rsidRPr="00E8358C">
        <w:t xml:space="preserve"> Dans la même veine, les anthropologues Richard Price et Sydney W. Mintz parlent de « créolisation » en s’appuyant sur l’idée selon laquelle les Africains sont venus d’horizons divers, donc de cultures variées, pour expliquer le métissage culturel ou la création d’une seule et nouvelle culture sur les habitations</w:t>
      </w:r>
      <w:r>
        <w:t> </w:t>
      </w:r>
      <w:r>
        <w:rPr>
          <w:rStyle w:val="Appelnotedebasdep"/>
        </w:rPr>
        <w:footnoteReference w:id="672"/>
      </w:r>
      <w:r w:rsidRPr="00E8358C">
        <w:t>. Ils rejo</w:t>
      </w:r>
      <w:r w:rsidRPr="00E8358C">
        <w:t>i</w:t>
      </w:r>
      <w:r w:rsidRPr="00E8358C">
        <w:t xml:space="preserve">gnent Laënnec Hurbon qui </w:t>
      </w:r>
      <w:r w:rsidRPr="00E8358C">
        <w:rPr>
          <w:bdr w:val="none" w:sz="0" w:space="0" w:color="auto" w:frame="1"/>
        </w:rPr>
        <w:t>s’oppose aussi à ceux qui prétendent que l</w:t>
      </w:r>
      <w:r w:rsidRPr="00E8358C">
        <w:t>’esclave déporté d’Afrique était passé par une amnésie culturelle pour être rivé à son statut d’esclave, c’est-à-dire à celui d’un être d</w:t>
      </w:r>
      <w:r w:rsidRPr="00E8358C">
        <w:t>é</w:t>
      </w:r>
      <w:r w:rsidRPr="00E8358C">
        <w:t>nudé, sans prédécesseurs, sans descendants, sans origine</w:t>
      </w:r>
      <w:r>
        <w:t> </w:t>
      </w:r>
      <w:r>
        <w:rPr>
          <w:rStyle w:val="Appelnotedebasdep"/>
        </w:rPr>
        <w:footnoteReference w:id="673"/>
      </w:r>
      <w:r w:rsidRPr="00E8358C">
        <w:t>. L</w:t>
      </w:r>
      <w:r w:rsidRPr="00E8358C">
        <w:rPr>
          <w:lang w:eastAsia="fr-FR"/>
        </w:rPr>
        <w:t>a première ph</w:t>
      </w:r>
      <w:r w:rsidRPr="00E8358C">
        <w:rPr>
          <w:lang w:eastAsia="fr-FR"/>
        </w:rPr>
        <w:t>a</w:t>
      </w:r>
      <w:r w:rsidRPr="00E8358C">
        <w:rPr>
          <w:lang w:eastAsia="fr-FR"/>
        </w:rPr>
        <w:t>se de révolte à Saint-Domingue a été le fruit de ce travail de constru</w:t>
      </w:r>
      <w:r w:rsidRPr="00E8358C">
        <w:rPr>
          <w:lang w:eastAsia="fr-FR"/>
        </w:rPr>
        <w:t>c</w:t>
      </w:r>
      <w:r w:rsidRPr="00E8358C">
        <w:rPr>
          <w:lang w:eastAsia="fr-FR"/>
        </w:rPr>
        <w:t>tion d’une culture propre à travers la « re-création » du ra</w:t>
      </w:r>
      <w:r w:rsidRPr="00E8358C">
        <w:rPr>
          <w:lang w:eastAsia="fr-FR"/>
        </w:rPr>
        <w:t>p</w:t>
      </w:r>
      <w:r w:rsidRPr="00E8358C">
        <w:rPr>
          <w:lang w:eastAsia="fr-FR"/>
        </w:rPr>
        <w:t>port des esclaves avec leur origine, c’est-à-dire avec l’Afrique. La « cérémonie du Bois Caïman »</w:t>
      </w:r>
      <w:r>
        <w:rPr>
          <w:lang w:eastAsia="fr-FR"/>
        </w:rPr>
        <w:t> </w:t>
      </w:r>
      <w:r>
        <w:rPr>
          <w:rStyle w:val="Appelnotedebasdep"/>
          <w:lang w:eastAsia="fr-FR"/>
        </w:rPr>
        <w:footnoteReference w:id="674"/>
      </w:r>
      <w:r w:rsidRPr="00E8358C">
        <w:rPr>
          <w:lang w:eastAsia="fr-FR"/>
        </w:rPr>
        <w:t xml:space="preserve"> a encouragé une reconnaissance mutuelle. A</w:t>
      </w:r>
      <w:r w:rsidRPr="00E8358C">
        <w:rPr>
          <w:lang w:eastAsia="fr-FR"/>
        </w:rPr>
        <w:t>u</w:t>
      </w:r>
      <w:r w:rsidRPr="00E8358C">
        <w:rPr>
          <w:lang w:eastAsia="fr-FR"/>
        </w:rPr>
        <w:t>tour du statut d’esclave, un nouveau lien social a été tissé au-delà des a</w:t>
      </w:r>
      <w:r w:rsidRPr="00E8358C">
        <w:rPr>
          <w:lang w:eastAsia="fr-FR"/>
        </w:rPr>
        <w:t>p</w:t>
      </w:r>
      <w:r w:rsidRPr="00E8358C">
        <w:rPr>
          <w:lang w:eastAsia="fr-FR"/>
        </w:rPr>
        <w:t>partenances ethniques différentes et dispersées</w:t>
      </w:r>
      <w:r>
        <w:rPr>
          <w:lang w:eastAsia="fr-FR"/>
        </w:rPr>
        <w:t> </w:t>
      </w:r>
      <w:r>
        <w:rPr>
          <w:rStyle w:val="Appelnotedebasdep"/>
          <w:lang w:eastAsia="fr-FR"/>
        </w:rPr>
        <w:footnoteReference w:id="675"/>
      </w:r>
      <w:r w:rsidRPr="00E8358C">
        <w:t>.</w:t>
      </w:r>
    </w:p>
    <w:p w:rsidR="004C50DC" w:rsidRPr="00E8358C" w:rsidRDefault="004C50DC" w:rsidP="004C50DC">
      <w:pPr>
        <w:spacing w:before="120" w:after="120"/>
        <w:jc w:val="both"/>
        <w:rPr>
          <w:lang w:eastAsia="fr-FR"/>
        </w:rPr>
      </w:pPr>
      <w:r w:rsidRPr="00E8358C">
        <w:rPr>
          <w:lang w:eastAsia="fr-FR"/>
        </w:rPr>
        <w:t>Édouard Glissant</w:t>
      </w:r>
      <w:r>
        <w:rPr>
          <w:lang w:eastAsia="fr-FR"/>
        </w:rPr>
        <w:t> </w:t>
      </w:r>
      <w:r>
        <w:rPr>
          <w:rStyle w:val="Appelnotedebasdep"/>
          <w:lang w:eastAsia="fr-FR"/>
        </w:rPr>
        <w:footnoteReference w:id="676"/>
      </w:r>
      <w:r w:rsidRPr="00E8358C">
        <w:rPr>
          <w:lang w:eastAsia="fr-FR"/>
        </w:rPr>
        <w:t>, après Léopold Sédar Senghor et Aimé Césa</w:t>
      </w:r>
      <w:r w:rsidRPr="00E8358C">
        <w:rPr>
          <w:lang w:eastAsia="fr-FR"/>
        </w:rPr>
        <w:t>i</w:t>
      </w:r>
      <w:r w:rsidRPr="00E8358C">
        <w:rPr>
          <w:lang w:eastAsia="fr-FR"/>
        </w:rPr>
        <w:t xml:space="preserve">re, explique à sa manière ce brassage culturel en opposant au </w:t>
      </w:r>
      <w:r w:rsidRPr="00E8358C">
        <w:rPr>
          <w:i/>
          <w:lang w:eastAsia="fr-FR"/>
        </w:rPr>
        <w:t>devenir-esclave du monde</w:t>
      </w:r>
      <w:r w:rsidRPr="00E8358C">
        <w:rPr>
          <w:lang w:eastAsia="fr-FR"/>
        </w:rPr>
        <w:t xml:space="preserve">, la </w:t>
      </w:r>
      <w:r w:rsidRPr="00E8358C">
        <w:rPr>
          <w:i/>
          <w:lang w:eastAsia="fr-FR"/>
        </w:rPr>
        <w:t xml:space="preserve">créolisation </w:t>
      </w:r>
      <w:r w:rsidRPr="00E8358C">
        <w:rPr>
          <w:lang w:eastAsia="fr-FR"/>
        </w:rPr>
        <w:t>du monde. Dominique de Villepin n’a-t-il pas raison d’écrire que « les peuples mis en esclavage ont tracé un nouveau chemin pour l’humanité. Privés de leur destin et de leur histoire, les esclaves ont tissé une solidarité nouvelle. Privés de leur langue, ils ont inventé un langage</w:t>
      </w:r>
      <w:r>
        <w:rPr>
          <w:lang w:eastAsia="fr-FR"/>
        </w:rPr>
        <w:t xml:space="preserve"> [245]</w:t>
      </w:r>
      <w:r w:rsidRPr="00E8358C">
        <w:rPr>
          <w:lang w:eastAsia="fr-FR"/>
        </w:rPr>
        <w:t xml:space="preserve"> propre portant la trace de to</w:t>
      </w:r>
      <w:r w:rsidRPr="00E8358C">
        <w:rPr>
          <w:lang w:eastAsia="fr-FR"/>
        </w:rPr>
        <w:t>u</w:t>
      </w:r>
      <w:r w:rsidRPr="00E8358C">
        <w:rPr>
          <w:lang w:eastAsia="fr-FR"/>
        </w:rPr>
        <w:t>tes les cultures. En inventant le métissage, ils ont ouvert le cœur et l’esprit des hommes »</w:t>
      </w:r>
      <w:r>
        <w:rPr>
          <w:lang w:eastAsia="fr-FR"/>
        </w:rPr>
        <w:t> </w:t>
      </w:r>
      <w:r>
        <w:rPr>
          <w:rStyle w:val="Appelnotedebasdep"/>
          <w:lang w:eastAsia="fr-FR"/>
        </w:rPr>
        <w:footnoteReference w:id="677"/>
      </w:r>
      <w:r w:rsidRPr="00E8358C">
        <w:rPr>
          <w:lang w:eastAsia="fr-FR"/>
        </w:rPr>
        <w:t xml:space="preserve">. </w:t>
      </w:r>
      <w:r w:rsidRPr="00E8358C">
        <w:t xml:space="preserve">Selon Benissoit, 36 ans, médiateur culturel rencontré à Dessalines : </w:t>
      </w:r>
    </w:p>
    <w:p w:rsidR="004C50DC" w:rsidRDefault="004C50DC" w:rsidP="004C50DC">
      <w:pPr>
        <w:pStyle w:val="Citation0"/>
      </w:pPr>
    </w:p>
    <w:p w:rsidR="004C50DC" w:rsidRPr="00E8358C" w:rsidRDefault="004C50DC" w:rsidP="004C50DC">
      <w:pPr>
        <w:pStyle w:val="Citation0"/>
      </w:pPr>
      <w:r w:rsidRPr="00E8358C">
        <w:t>Le créole haïtien est le résultat d’un métissage linguistique réalisé par les esclaves. C’est le produit de leur intelligence, de leur savoir-faire et de leur stratégie d’adaptation en situation difficile. En ce sens, les habitations ont été des écoles de création et de survie.</w:t>
      </w:r>
    </w:p>
    <w:p w:rsidR="004C50DC" w:rsidRDefault="004C50DC" w:rsidP="004C50DC">
      <w:pPr>
        <w:pStyle w:val="Citation0c"/>
      </w:pPr>
      <w:r w:rsidRPr="00E8358C">
        <w:t xml:space="preserve">(Benissoit, entrevue, </w:t>
      </w:r>
      <w:r>
        <w:t>8 septembre 2013)</w:t>
      </w:r>
    </w:p>
    <w:p w:rsidR="004C50DC" w:rsidRPr="00E8358C" w:rsidRDefault="004C50DC" w:rsidP="004C50DC">
      <w:pPr>
        <w:pStyle w:val="Citation0c"/>
      </w:pPr>
    </w:p>
    <w:p w:rsidR="004C50DC" w:rsidRPr="00E8358C" w:rsidRDefault="004C50DC" w:rsidP="004C50DC">
      <w:pPr>
        <w:spacing w:before="120" w:after="120"/>
        <w:jc w:val="both"/>
      </w:pPr>
      <w:r w:rsidRPr="00E8358C">
        <w:rPr>
          <w:lang w:eastAsia="fr-FR"/>
        </w:rPr>
        <w:t>Dans les plantations, les esclaves ont pu reconsidérer, « décentrer le patrimoine»</w:t>
      </w:r>
      <w:r>
        <w:rPr>
          <w:lang w:eastAsia="fr-FR"/>
        </w:rPr>
        <w:t> </w:t>
      </w:r>
      <w:r>
        <w:rPr>
          <w:rStyle w:val="Appelnotedebasdep"/>
          <w:lang w:eastAsia="fr-FR"/>
        </w:rPr>
        <w:footnoteReference w:id="678"/>
      </w:r>
      <w:r w:rsidRPr="00E8358C">
        <w:rPr>
          <w:lang w:eastAsia="fr-FR"/>
        </w:rPr>
        <w:t>, en réalisant ce métissage culturel. L</w:t>
      </w:r>
      <w:r w:rsidRPr="00E8358C">
        <w:rPr>
          <w:bdr w:val="none" w:sz="0" w:space="0" w:color="auto" w:frame="1"/>
        </w:rPr>
        <w:t>’habitation fut l</w:t>
      </w:r>
      <w:r w:rsidRPr="00E8358C">
        <w:t>e premier lieu de « mutation inter-raciale où s’est forgée cette identité socioculturelle spécifique des îles, principalement avec l’introduction de l’industrie sucrière à partir du milieu du XVII</w:t>
      </w:r>
      <w:r w:rsidRPr="00E8358C">
        <w:rPr>
          <w:vertAlign w:val="superscript"/>
        </w:rPr>
        <w:t xml:space="preserve">e </w:t>
      </w:r>
      <w:r w:rsidRPr="00E8358C">
        <w:t>siècle et son inévitable corollaire, l’esclavage des Noirs »</w:t>
      </w:r>
      <w:r>
        <w:t> </w:t>
      </w:r>
      <w:r>
        <w:rPr>
          <w:rStyle w:val="Appelnotedebasdep"/>
        </w:rPr>
        <w:footnoteReference w:id="679"/>
      </w:r>
      <w:r w:rsidRPr="00E8358C">
        <w:t>. A</w:t>
      </w:r>
      <w:r w:rsidRPr="00E8358C">
        <w:t>u</w:t>
      </w:r>
      <w:r w:rsidRPr="00E8358C">
        <w:t>jourd’hui, les anciennes colonies des Amériques conservent et perp</w:t>
      </w:r>
      <w:r w:rsidRPr="00E8358C">
        <w:t>é</w:t>
      </w:r>
      <w:r w:rsidRPr="00E8358C">
        <w:t xml:space="preserve">tuent des pratiques religieuses </w:t>
      </w:r>
      <w:r w:rsidRPr="00E8358C">
        <w:rPr>
          <w:bdr w:val="none" w:sz="0" w:space="0" w:color="auto" w:frame="1"/>
        </w:rPr>
        <w:t>(</w:t>
      </w:r>
      <w:r w:rsidRPr="00E8358C">
        <w:rPr>
          <w:i/>
          <w:bdr w:val="none" w:sz="0" w:space="0" w:color="auto" w:frame="1"/>
        </w:rPr>
        <w:t xml:space="preserve">vodou </w:t>
      </w:r>
      <w:r w:rsidRPr="00E8358C">
        <w:rPr>
          <w:bdr w:val="none" w:sz="0" w:space="0" w:color="auto" w:frame="1"/>
        </w:rPr>
        <w:t xml:space="preserve">en Haïti, </w:t>
      </w:r>
      <w:r w:rsidRPr="00E8358C">
        <w:rPr>
          <w:i/>
          <w:bdr w:val="none" w:sz="0" w:space="0" w:color="auto" w:frame="1"/>
        </w:rPr>
        <w:t>santeria</w:t>
      </w:r>
      <w:r w:rsidRPr="00E8358C">
        <w:rPr>
          <w:bdr w:val="none" w:sz="0" w:space="0" w:color="auto" w:frame="1"/>
        </w:rPr>
        <w:t xml:space="preserve"> à Cuba, </w:t>
      </w:r>
      <w:r w:rsidRPr="00E8358C">
        <w:rPr>
          <w:i/>
          <w:bdr w:val="none" w:sz="0" w:space="0" w:color="auto" w:frame="1"/>
        </w:rPr>
        <w:t>ca</w:t>
      </w:r>
      <w:r w:rsidRPr="00E8358C">
        <w:rPr>
          <w:i/>
          <w:bdr w:val="none" w:sz="0" w:space="0" w:color="auto" w:frame="1"/>
        </w:rPr>
        <w:t>n</w:t>
      </w:r>
      <w:r w:rsidRPr="00E8358C">
        <w:rPr>
          <w:i/>
          <w:bdr w:val="none" w:sz="0" w:space="0" w:color="auto" w:frame="1"/>
        </w:rPr>
        <w:t>domblé</w:t>
      </w:r>
      <w:r w:rsidRPr="00E8358C">
        <w:rPr>
          <w:bdr w:val="none" w:sz="0" w:space="0" w:color="auto" w:frame="1"/>
        </w:rPr>
        <w:t xml:space="preserve"> au Brésil) et des rythmes musicaux (</w:t>
      </w:r>
      <w:r w:rsidRPr="00E8358C">
        <w:rPr>
          <w:i/>
          <w:bdr w:val="none" w:sz="0" w:space="0" w:color="auto" w:frame="1"/>
        </w:rPr>
        <w:t>rara, racine, petro, ibo, yanvalou, samba</w:t>
      </w:r>
      <w:r w:rsidRPr="00E8358C">
        <w:rPr>
          <w:bdr w:val="none" w:sz="0" w:space="0" w:color="auto" w:frame="1"/>
        </w:rPr>
        <w:t xml:space="preserve">) qui sont des éléments de l’identité de ces sociétés.  </w:t>
      </w:r>
    </w:p>
    <w:p w:rsidR="004C50DC" w:rsidRPr="00E8358C" w:rsidRDefault="004C50DC" w:rsidP="004C50DC">
      <w:pPr>
        <w:spacing w:before="120" w:after="120"/>
        <w:jc w:val="both"/>
      </w:pPr>
      <w:r w:rsidRPr="00E8358C">
        <w:t xml:space="preserve">La présence des esclavagistes français à Cuba après l’insurrection de 1791 à Saint-Domingue a favorisé au sein des plantations de café un syncrétisme musical original appelé </w:t>
      </w:r>
      <w:r w:rsidRPr="00E8358C">
        <w:rPr>
          <w:i/>
        </w:rPr>
        <w:t>tumba francesa</w:t>
      </w:r>
      <w:r w:rsidRPr="00E8358C">
        <w:t xml:space="preserve"> (</w:t>
      </w:r>
      <w:r w:rsidRPr="00E8358C">
        <w:rPr>
          <w:i/>
        </w:rPr>
        <w:t>tumba</w:t>
      </w:r>
      <w:r w:rsidRPr="00E8358C">
        <w:t xml:space="preserve">étantle son du tambour fruit d’un croisement culturel des tambours africains et </w:t>
      </w:r>
      <w:r w:rsidRPr="00E8358C">
        <w:rPr>
          <w:i/>
        </w:rPr>
        <w:t>francesa</w:t>
      </w:r>
      <w:r w:rsidRPr="00E8358C">
        <w:t xml:space="preserve"> en référence à la contredanse française créolisée) au début du XIX</w:t>
      </w:r>
      <w:r w:rsidRPr="00E8358C">
        <w:rPr>
          <w:vertAlign w:val="superscript"/>
        </w:rPr>
        <w:t>e</w:t>
      </w:r>
      <w:r w:rsidRPr="00E8358C">
        <w:t xml:space="preserve"> siècle</w:t>
      </w:r>
      <w:r>
        <w:t> </w:t>
      </w:r>
      <w:r>
        <w:rPr>
          <w:rStyle w:val="Appelnotedebasdep"/>
        </w:rPr>
        <w:footnoteReference w:id="680"/>
      </w:r>
      <w:r w:rsidRPr="00E8358C">
        <w:t>. Arrivés en Louisiane en 1809, après avoir été cha</w:t>
      </w:r>
      <w:r w:rsidRPr="00E8358C">
        <w:t>s</w:t>
      </w:r>
      <w:r w:rsidRPr="00E8358C">
        <w:t>sés de Cuba par les Espagnols, ces Français ont donné naissance à un creuset culturel qui doit beaucoup aux littératures, aux langues et aux cultures africaine, française, hispanique et anglo-saxonne</w:t>
      </w:r>
      <w:r>
        <w:t> </w:t>
      </w:r>
      <w:r>
        <w:rPr>
          <w:rStyle w:val="Appelnotedebasdep"/>
        </w:rPr>
        <w:footnoteReference w:id="681"/>
      </w:r>
      <w:r w:rsidRPr="00E8358C">
        <w:t xml:space="preserve">. </w:t>
      </w:r>
    </w:p>
    <w:p w:rsidR="004C50DC" w:rsidRDefault="004C50DC" w:rsidP="004C50DC">
      <w:pPr>
        <w:spacing w:before="120" w:after="120"/>
        <w:jc w:val="both"/>
      </w:pPr>
      <w:r>
        <w:t>[246]</w:t>
      </w:r>
    </w:p>
    <w:p w:rsidR="004C50DC" w:rsidRPr="00E8358C" w:rsidRDefault="004C50DC" w:rsidP="004C50DC">
      <w:pPr>
        <w:spacing w:before="120" w:after="120"/>
        <w:jc w:val="both"/>
      </w:pPr>
      <w:r w:rsidRPr="00E8358C">
        <w:t>Aujourd’hui, l’habitation (</w:t>
      </w:r>
      <w:r w:rsidRPr="00E8358C">
        <w:rPr>
          <w:i/>
        </w:rPr>
        <w:t>bitasyon</w:t>
      </w:r>
      <w:r w:rsidRPr="00E8358C">
        <w:t xml:space="preserve">, </w:t>
      </w:r>
      <w:r w:rsidRPr="00E8358C">
        <w:rPr>
          <w:i/>
        </w:rPr>
        <w:t>lakou</w:t>
      </w:r>
      <w:r>
        <w:t> </w:t>
      </w:r>
      <w:r>
        <w:rPr>
          <w:rStyle w:val="Appelnotedebasdep"/>
        </w:rPr>
        <w:footnoteReference w:id="682"/>
      </w:r>
      <w:r w:rsidRPr="00E8358C">
        <w:t xml:space="preserve"> en Haïti) devient ce lieu où généralement le paysan antillais « accumule les traditions, les préserve et les systématise »</w:t>
      </w:r>
      <w:r>
        <w:t> </w:t>
      </w:r>
      <w:r>
        <w:rPr>
          <w:rStyle w:val="Appelnotedebasdep"/>
        </w:rPr>
        <w:footnoteReference w:id="683"/>
      </w:r>
      <w:r w:rsidRPr="00E8358C">
        <w:t>. Ces traditions, imputables à des regi</w:t>
      </w:r>
      <w:r w:rsidRPr="00E8358C">
        <w:t>s</w:t>
      </w:r>
      <w:r w:rsidRPr="00E8358C">
        <w:t>tres de mémoire basés sur l’expérience transmise servent d’ailleurs d’arguments à la superposition d’autres configurations identitaires qui s’en emparent comme outil de légitimation d’une authenticité culture</w:t>
      </w:r>
      <w:r w:rsidRPr="00E8358C">
        <w:t>l</w:t>
      </w:r>
      <w:r w:rsidRPr="00E8358C">
        <w:t>le</w:t>
      </w:r>
      <w:r>
        <w:t> </w:t>
      </w:r>
      <w:r>
        <w:rPr>
          <w:rStyle w:val="Appelnotedebasdep"/>
        </w:rPr>
        <w:footnoteReference w:id="684"/>
      </w:r>
      <w:r w:rsidRPr="00E8358C">
        <w:t>. Jean Price-Mars, dans une critique postcoloniale, allait plus loin pour expliquer que la forme d’État instaurée au lendemain de l’indépendance haïtienne, favorisant une classe dominante, reprenait l’image de l’oppression brutale et de la violence nue du régime escl</w:t>
      </w:r>
      <w:r w:rsidRPr="00E8358C">
        <w:t>a</w:t>
      </w:r>
      <w:r w:rsidRPr="00E8358C">
        <w:t>vagiste</w:t>
      </w:r>
      <w:r>
        <w:t> </w:t>
      </w:r>
      <w:r>
        <w:rPr>
          <w:rStyle w:val="Appelnotedebasdep"/>
        </w:rPr>
        <w:footnoteReference w:id="685"/>
      </w:r>
      <w:r w:rsidRPr="00E8358C">
        <w:t>. Le système sociopolitique haïtien, dans son fonctionn</w:t>
      </w:r>
      <w:r w:rsidRPr="00E8358C">
        <w:t>e</w:t>
      </w:r>
      <w:r w:rsidRPr="00E8358C">
        <w:t>ment, est reconnu comme une imitation politique et sociale de la col</w:t>
      </w:r>
      <w:r w:rsidRPr="00E8358C">
        <w:t>o</w:t>
      </w:r>
      <w:r w:rsidRPr="00E8358C">
        <w:t>nie de Saint-Domingue. Pour reprendre les mots de Bertrand Badie</w:t>
      </w:r>
      <w:r>
        <w:t> </w:t>
      </w:r>
      <w:r>
        <w:rPr>
          <w:rStyle w:val="Appelnotedebasdep"/>
        </w:rPr>
        <w:footnoteReference w:id="686"/>
      </w:r>
      <w:r w:rsidRPr="00E8358C">
        <w:t>, « un mimétisme organisationnel politique était adopté reconstruisant enc</w:t>
      </w:r>
      <w:r w:rsidRPr="00E8358C">
        <w:t>o</w:t>
      </w:r>
      <w:r w:rsidRPr="00E8358C">
        <w:t xml:space="preserve">re l’idée de dépendance </w:t>
      </w:r>
      <w:r w:rsidRPr="00792DC7">
        <w:t>culturelle. Cette réalité socioculturelle s’est retrouvée encore au centre des controverses qui évoquent les r</w:t>
      </w:r>
      <w:r w:rsidRPr="00792DC7">
        <w:t>e</w:t>
      </w:r>
      <w:r w:rsidRPr="00792DC7">
        <w:t>lations existantes entre les</w:t>
      </w:r>
      <w:r w:rsidRPr="00E8358C">
        <w:t xml:space="preserve"> gouvernements successifs après l’indépendance et le </w:t>
      </w:r>
      <w:r w:rsidRPr="00E8358C">
        <w:rPr>
          <w:i/>
        </w:rPr>
        <w:t xml:space="preserve">peyi andeyò, </w:t>
      </w:r>
      <w:r w:rsidRPr="00E8358C">
        <w:t>“pays en dehors”</w:t>
      </w:r>
      <w:r>
        <w:t> </w:t>
      </w:r>
      <w:r>
        <w:rPr>
          <w:rStyle w:val="Appelnotedebasdep"/>
        </w:rPr>
        <w:footnoteReference w:id="687"/>
      </w:r>
      <w:r w:rsidRPr="00E8358C">
        <w:t xml:space="preserve"> habité en maj</w:t>
      </w:r>
      <w:r w:rsidRPr="00E8358C">
        <w:t>o</w:t>
      </w:r>
      <w:r w:rsidRPr="00E8358C">
        <w:t>rité par les paysans ».</w:t>
      </w:r>
    </w:p>
    <w:p w:rsidR="004C50DC" w:rsidRDefault="004C50DC" w:rsidP="004C50DC">
      <w:pPr>
        <w:spacing w:before="120" w:after="120"/>
        <w:jc w:val="both"/>
        <w:rPr>
          <w:rStyle w:val="corps"/>
        </w:rPr>
      </w:pPr>
      <w:r w:rsidRPr="00E8358C">
        <w:rPr>
          <w:rStyle w:val="googqs-tidbit"/>
        </w:rPr>
        <w:t xml:space="preserve">Sous un autre angle, Michel-Rolph Trouillot dans </w:t>
      </w:r>
      <w:r w:rsidRPr="00E8358C">
        <w:rPr>
          <w:rStyle w:val="googqs-tidbit"/>
          <w:i/>
          <w:iCs/>
        </w:rPr>
        <w:t>Silencing the Past</w:t>
      </w:r>
      <w:r w:rsidRPr="00E8358C">
        <w:rPr>
          <w:rStyle w:val="googqs-tidbit"/>
        </w:rPr>
        <w:t xml:space="preserve"> nous interpelle sur la suppression </w:t>
      </w:r>
      <w:r w:rsidRPr="00E8358C">
        <w:rPr>
          <w:rStyle w:val="corps"/>
        </w:rPr>
        <w:t>des faits et des traces dans l’histoire officielle haïtienne. Cette suppression est apparente surtout dans l’arrêt du développement technologique qui a marqué le passage de la colonie à l’État indépendant. Les canaux d’irrigation de l’ère coloniale n’ont pas été conservés, entretenus ou utilisés rationnell</w:t>
      </w:r>
      <w:r w:rsidRPr="00E8358C">
        <w:rPr>
          <w:rStyle w:val="corps"/>
        </w:rPr>
        <w:t>e</w:t>
      </w:r>
      <w:r w:rsidRPr="00E8358C">
        <w:rPr>
          <w:rStyle w:val="corps"/>
        </w:rPr>
        <w:t xml:space="preserve">ment, et de nouvelles techniques d’irrigation, </w:t>
      </w:r>
      <w:r w:rsidRPr="00E8358C">
        <w:t>de conservation de l’eau dans le sol et de lutte contre l’érosion</w:t>
      </w:r>
      <w:r w:rsidRPr="00E8358C">
        <w:rPr>
          <w:rStyle w:val="corps"/>
        </w:rPr>
        <w:t xml:space="preserve"> n’ont presque pas été dévelo</w:t>
      </w:r>
      <w:r w:rsidRPr="00E8358C">
        <w:rPr>
          <w:rStyle w:val="corps"/>
        </w:rPr>
        <w:t>p</w:t>
      </w:r>
      <w:r w:rsidRPr="00E8358C">
        <w:rPr>
          <w:rStyle w:val="corps"/>
        </w:rPr>
        <w:t>pées. Les instruments aratoires n’ont pas été modernisés et diversifiés. Ces pans</w:t>
      </w:r>
      <w:r>
        <w:rPr>
          <w:rStyle w:val="corps"/>
        </w:rPr>
        <w:t xml:space="preserve"> [247]</w:t>
      </w:r>
      <w:r w:rsidRPr="00E8358C">
        <w:rPr>
          <w:rStyle w:val="corps"/>
        </w:rPr>
        <w:t xml:space="preserve"> d’ombre constituent un obstacle à la compréhension du passé et du présent par la génération actuelle, car « le passé n’existe pas indépendamment du présent</w:t>
      </w:r>
      <w:r w:rsidRPr="00E8358C">
        <w:rPr>
          <w:rStyle w:val="corps"/>
          <w:i/>
        </w:rPr>
        <w:t> </w:t>
      </w:r>
      <w:r w:rsidRPr="00E8358C">
        <w:rPr>
          <w:rStyle w:val="corps"/>
        </w:rPr>
        <w:t>»</w:t>
      </w:r>
      <w:r w:rsidRPr="00E8358C">
        <w:rPr>
          <w:rStyle w:val="Appelnotedebasdep"/>
          <w:iCs/>
        </w:rPr>
        <w:footnoteReference w:id="688"/>
      </w:r>
      <w:r w:rsidRPr="00E8358C">
        <w:rPr>
          <w:rStyle w:val="corps"/>
        </w:rPr>
        <w:t>. En faisant ce rapproch</w:t>
      </w:r>
      <w:r w:rsidRPr="00E8358C">
        <w:rPr>
          <w:rStyle w:val="corps"/>
        </w:rPr>
        <w:t>e</w:t>
      </w:r>
      <w:r w:rsidRPr="00E8358C">
        <w:rPr>
          <w:rStyle w:val="corps"/>
        </w:rPr>
        <w:t>ment, Trouillot veut attirer notre attention sur les rapports qu’entretiennent le passé et la mémoire avec le présent, notamment sur les habitations coloniales et les fortifications.</w:t>
      </w:r>
    </w:p>
    <w:p w:rsidR="004C50DC" w:rsidRPr="00E8358C" w:rsidRDefault="004C50DC" w:rsidP="004C50DC">
      <w:pPr>
        <w:spacing w:before="120" w:after="120"/>
        <w:jc w:val="both"/>
        <w:rPr>
          <w:rStyle w:val="corps"/>
        </w:rPr>
      </w:pPr>
    </w:p>
    <w:p w:rsidR="004C50DC" w:rsidRPr="00E8358C" w:rsidRDefault="004C50DC" w:rsidP="004C50DC">
      <w:pPr>
        <w:pStyle w:val="planche"/>
      </w:pPr>
      <w:bookmarkStart w:id="281" w:name="_Toc406489663"/>
      <w:bookmarkStart w:id="282" w:name="_Toc423347329"/>
      <w:bookmarkStart w:id="283" w:name="_Toc442280511"/>
      <w:bookmarkStart w:id="284" w:name="Memoire_chap_IV_5_3"/>
      <w:r>
        <w:t xml:space="preserve">5.3. </w:t>
      </w:r>
      <w:r w:rsidRPr="00E8358C">
        <w:t>Structurati</w:t>
      </w:r>
      <w:r>
        <w:t>on générale d’une fortification</w:t>
      </w:r>
      <w:r>
        <w:br/>
      </w:r>
      <w:r w:rsidRPr="00E8358C">
        <w:t>coloniale et postc</w:t>
      </w:r>
      <w:r w:rsidRPr="00E8358C">
        <w:t>o</w:t>
      </w:r>
      <w:r w:rsidRPr="00E8358C">
        <w:t>loniale haïtienne</w:t>
      </w:r>
      <w:bookmarkEnd w:id="281"/>
      <w:bookmarkEnd w:id="282"/>
      <w:bookmarkEnd w:id="283"/>
    </w:p>
    <w:bookmarkEnd w:id="284"/>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Généralement, une fortification est un ouvrage ou un ensemble d’ouvrages de défense d’un pays édifiée pour servir d’obstacle à l’ennemi et pour repousser ses potentiels assauts. La fortification a été l’institution la plus importante après les habitations dans la colonie dominguoise. La ligne de fortifications défendait les intérêts de la France à Saint-Domingue contre les menaces des Anglais et des Esp</w:t>
      </w:r>
      <w:r w:rsidRPr="00E8358C">
        <w:t>a</w:t>
      </w:r>
      <w:r w:rsidRPr="00E8358C">
        <w:t xml:space="preserve">gnols. </w:t>
      </w:r>
    </w:p>
    <w:p w:rsidR="004C50DC" w:rsidRPr="00E8358C" w:rsidRDefault="004C50DC" w:rsidP="004C50DC">
      <w:pPr>
        <w:spacing w:before="120" w:after="120"/>
        <w:jc w:val="both"/>
      </w:pPr>
      <w:r w:rsidRPr="00792DC7">
        <w:t>Plusieurs fortifications</w:t>
      </w:r>
      <w:r>
        <w:t> </w:t>
      </w:r>
      <w:r>
        <w:rPr>
          <w:rStyle w:val="Appelnotedebasdep"/>
        </w:rPr>
        <w:footnoteReference w:id="689"/>
      </w:r>
      <w:r w:rsidRPr="00792DC7">
        <w:t xml:space="preserve"> construites avant l’indépendance d’Haïti sont classées « patrimoine national ». Elles témoignent des dispos</w:t>
      </w:r>
      <w:r w:rsidRPr="00792DC7">
        <w:t>i</w:t>
      </w:r>
      <w:r w:rsidRPr="00792DC7">
        <w:t xml:space="preserve">tions de défense et de l’architecture coloniale de la colonie de Saint-Domingue. </w:t>
      </w:r>
      <w:r w:rsidRPr="00E8358C">
        <w:t>Nous pouvons citer, entre autres, les fortifications de Fort-Liberté [Batterie Saint-Charles (1742), batterie de l’Anse (1756), ba</w:t>
      </w:r>
      <w:r w:rsidRPr="00E8358C">
        <w:t>t</w:t>
      </w:r>
      <w:r w:rsidRPr="00E8358C">
        <w:t>terie Saint-Frédéric (1740-1741), fort La Bouque (1736) et fort Da</w:t>
      </w:r>
      <w:r w:rsidRPr="00E8358C">
        <w:t>u</w:t>
      </w:r>
      <w:r w:rsidRPr="00E8358C">
        <w:t>phin (1730)], du</w:t>
      </w:r>
      <w:r>
        <w:t xml:space="preserve"> [248]</w:t>
      </w:r>
      <w:r w:rsidRPr="00E8358C">
        <w:t xml:space="preserve"> Cap-Haïtien [forts Saint-Joseph (1748), fort aux Dames (XVII</w:t>
      </w:r>
      <w:r w:rsidRPr="00E8358C">
        <w:rPr>
          <w:vertAlign w:val="superscript"/>
        </w:rPr>
        <w:t>e</w:t>
      </w:r>
      <w:r w:rsidRPr="00E8358C">
        <w:t xml:space="preserve"> siècle), fort Magny (XVIII</w:t>
      </w:r>
      <w:r w:rsidRPr="00E8358C">
        <w:rPr>
          <w:vertAlign w:val="superscript"/>
        </w:rPr>
        <w:t>e</w:t>
      </w:r>
      <w:r w:rsidRPr="00E8358C">
        <w:t xml:space="preserve"> siècle), fort Belly (XVII</w:t>
      </w:r>
      <w:r w:rsidRPr="00E8358C">
        <w:rPr>
          <w:vertAlign w:val="superscript"/>
        </w:rPr>
        <w:t>e</w:t>
      </w:r>
      <w:r w:rsidRPr="00E8358C">
        <w:t xml:space="preserve"> siècle) et surtout Picolet (1736-1741)</w:t>
      </w:r>
      <w:r>
        <w:t> </w:t>
      </w:r>
      <w:r>
        <w:rPr>
          <w:rStyle w:val="Appelnotedebasdep"/>
        </w:rPr>
        <w:footnoteReference w:id="690"/>
      </w:r>
      <w:r w:rsidRPr="00E8358C">
        <w:t>], de Port-de-Paix (Grand-Fort et Petit-Fort de la Pointe des Pères), du Môle Saint-Nicolas [Batterie de Vallières, Batterie de Grasse, Poudrière du Mole Saint-Nicolas (1665), Fort Vieux Quartier, Fort du Ralliement, Fort Georges], de Saint-Marc (le fort Diamant), de Petite-Rivière de l’Artibonite (fort de la Crête à Pierrot, 1790) et le Gibraltar de la C</w:t>
      </w:r>
      <w:r w:rsidRPr="00E8358C">
        <w:t>a</w:t>
      </w:r>
      <w:r w:rsidRPr="00E8358C">
        <w:t>raïbe (casernes, poudrière monumentale, batteries diverses)</w:t>
      </w:r>
      <w:r>
        <w:t> </w:t>
      </w:r>
      <w:r>
        <w:rPr>
          <w:rStyle w:val="Appelnotedebasdep"/>
        </w:rPr>
        <w:footnoteReference w:id="691"/>
      </w:r>
      <w:r w:rsidRPr="00E8358C">
        <w:t>. Nous pouvons également voir les ruines du Fort-l’Islet sur la rade de Port-au-Prince sans oublier les forts Bizoton et Mercredi. Le sud d’Haïti conserve aussi quelques vestiges de fortifications qui supportent les expressions de la mémoire du passé colonial comme le Grand-Fort-Saint-Louis (1705) construit sur une île en face du fort des Oliviers. Ce dernier, daté du XVIII</w:t>
      </w:r>
      <w:r w:rsidRPr="00E8358C">
        <w:rPr>
          <w:vertAlign w:val="superscript"/>
        </w:rPr>
        <w:t>e</w:t>
      </w:r>
      <w:r w:rsidRPr="00E8358C">
        <w:t>siècle, est érigé en amont de la baie de Saint-Louis du Sud</w:t>
      </w:r>
      <w:r>
        <w:t> </w:t>
      </w:r>
      <w:r>
        <w:rPr>
          <w:rStyle w:val="Appelnotedebasdep"/>
        </w:rPr>
        <w:footnoteReference w:id="692"/>
      </w:r>
      <w:r w:rsidRPr="00E8358C">
        <w:t xml:space="preserve">. </w:t>
      </w:r>
    </w:p>
    <w:p w:rsidR="004C50DC" w:rsidRPr="00E8358C" w:rsidRDefault="004C50DC" w:rsidP="004C50DC">
      <w:pPr>
        <w:spacing w:before="120" w:after="120"/>
        <w:jc w:val="both"/>
      </w:pPr>
      <w:r w:rsidRPr="00E8358C">
        <w:t>Aujourd’hui, l’île de la Tortue conserve encore quelques ruines, particulièrement les « pans de murs de la Batterie Haute réaménagée par Labatut en 1776, des canons abandonnés sur les sites des deux batteries de la rade et de laTour d’Ogeron »</w:t>
      </w:r>
      <w:r>
        <w:t> </w:t>
      </w:r>
      <w:r>
        <w:rPr>
          <w:rStyle w:val="Appelnotedebasdep"/>
        </w:rPr>
        <w:footnoteReference w:id="693"/>
      </w:r>
      <w:r w:rsidRPr="00E8358C">
        <w:t xml:space="preserve"> et leFort de la Roche (1640) (figure 21) juché au sommet d’un rocher escarpé dénommé tour à tour Refuge, Fort de La Rochelle, Fort de Rocher, puis « Fort de la Tortue » ou « Fort Levasseur » à l’époque des flibustiers avant d’être ensuite baptisé Fort Saint-Sacrement en 1648 après la mort de Levasseur. Le Fort de Mirebalais, ou Fort Anglais, érigé durant l’occupation anglaise d’une bonne partie de Saint-Domingue (1793-1798)</w:t>
      </w:r>
      <w:r>
        <w:t> </w:t>
      </w:r>
      <w:r>
        <w:rPr>
          <w:rStyle w:val="Appelnotedebasdep"/>
        </w:rPr>
        <w:footnoteReference w:id="694"/>
      </w:r>
      <w:r w:rsidRPr="00E8358C">
        <w:t>, est « l’un des témoins les plus importants de la lutte que m</w:t>
      </w:r>
      <w:r w:rsidRPr="00E8358C">
        <w:t>e</w:t>
      </w:r>
      <w:r w:rsidRPr="00E8358C">
        <w:t>na le général Toussaint Louverture contre les envahisseurs britann</w:t>
      </w:r>
      <w:r w:rsidRPr="00E8358C">
        <w:t>i</w:t>
      </w:r>
      <w:r w:rsidRPr="00E8358C">
        <w:t>ques »</w:t>
      </w:r>
      <w:r>
        <w:t> </w:t>
      </w:r>
      <w:r>
        <w:rPr>
          <w:rStyle w:val="Appelnotedebasdep"/>
        </w:rPr>
        <w:footnoteReference w:id="695"/>
      </w:r>
      <w:r w:rsidRPr="00E8358C">
        <w:t>. Certaines poudreries et batteries menacées de disparition sont encore visibles. D’autres forts ont été détruits sous les effets de la n</w:t>
      </w:r>
      <w:r w:rsidRPr="00E8358C">
        <w:t>a</w:t>
      </w:r>
      <w:r w:rsidRPr="00E8358C">
        <w:t>ture et des</w:t>
      </w:r>
      <w:r>
        <w:t xml:space="preserve"> [249]</w:t>
      </w:r>
      <w:r w:rsidRPr="00E8358C">
        <w:t xml:space="preserve"> intempéries, ou vandalisés comme le fort Saint-Clair et les forts du Bel-Air. Le fort Saint-Joseph et le fort Rebours (fort Dimanche) ont quant à eux pratiquement disparu à la suite de l’aménagement anarchique et du développement accéléré de la ville de Port-au-Prince à la fin du XX</w:t>
      </w:r>
      <w:r w:rsidRPr="00E8358C">
        <w:rPr>
          <w:vertAlign w:val="superscript"/>
        </w:rPr>
        <w:t>e</w:t>
      </w:r>
      <w:r w:rsidRPr="00E8358C">
        <w:t xml:space="preserve"> siècle. </w:t>
      </w:r>
    </w:p>
    <w:p w:rsidR="004C50DC" w:rsidRPr="00E8358C" w:rsidRDefault="004C50DC" w:rsidP="004C50DC">
      <w:pPr>
        <w:spacing w:before="120" w:after="120"/>
        <w:jc w:val="both"/>
      </w:pPr>
      <w:r>
        <w:br w:type="page"/>
      </w:r>
    </w:p>
    <w:p w:rsidR="004C50DC" w:rsidRPr="00E8358C" w:rsidRDefault="009B614B" w:rsidP="004C50DC">
      <w:pPr>
        <w:pStyle w:val="fig"/>
      </w:pPr>
      <w:r w:rsidRPr="00E8358C">
        <w:rPr>
          <w:noProof/>
          <w:lang w:eastAsia="fr-FR"/>
        </w:rPr>
        <w:drawing>
          <wp:inline distT="0" distB="0" distL="0" distR="0">
            <wp:extent cx="3700780" cy="2527935"/>
            <wp:effectExtent l="25400" t="25400" r="7620" b="12065"/>
            <wp:docPr id="27" name="Image 4" descr="http://upload.wikimedia.org/wikipedia/commons/thumb/9/9e/FortRoche-381-259.jpg/250px-FortRoche-381-2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http://upload.wikimedia.org/wikipedia/commons/thumb/9/9e/FortRoche-381-259.jpg/250px-FortRoche-381-259.jpg"/>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00780" cy="2527935"/>
                    </a:xfrm>
                    <a:prstGeom prst="rect">
                      <a:avLst/>
                    </a:prstGeom>
                    <a:noFill/>
                    <a:ln w="19050" cmpd="sng">
                      <a:solidFill>
                        <a:srgbClr val="000000"/>
                      </a:solidFill>
                      <a:miter lim="800000"/>
                      <a:headEnd/>
                      <a:tailEnd/>
                    </a:ln>
                    <a:effectLst/>
                  </pic:spPr>
                </pic:pic>
              </a:graphicData>
            </a:graphic>
          </wp:inline>
        </w:drawing>
      </w:r>
    </w:p>
    <w:p w:rsidR="004C50DC" w:rsidRPr="00E8358C" w:rsidRDefault="004C50DC" w:rsidP="004C50DC">
      <w:pPr>
        <w:pStyle w:val="figst1"/>
        <w:rPr>
          <w:szCs w:val="18"/>
        </w:rPr>
      </w:pPr>
      <w:bookmarkStart w:id="285" w:name="_Toc417146066"/>
      <w:bookmarkStart w:id="286" w:name="Memoire_fig_21"/>
      <w:r w:rsidRPr="00B63290">
        <w:t xml:space="preserve">Figure </w:t>
      </w:r>
      <w:r w:rsidRPr="00B63290">
        <w:fldChar w:fldCharType="begin"/>
      </w:r>
      <w:r w:rsidR="00EF1554">
        <w:instrText>SEQ</w:instrText>
      </w:r>
      <w:r w:rsidRPr="00B63290">
        <w:instrText xml:space="preserve"> Figure \* ARABIC </w:instrText>
      </w:r>
      <w:r w:rsidRPr="00B63290">
        <w:fldChar w:fldCharType="separate"/>
      </w:r>
      <w:r>
        <w:rPr>
          <w:noProof/>
        </w:rPr>
        <w:t>21</w:t>
      </w:r>
      <w:r w:rsidRPr="00B63290">
        <w:fldChar w:fldCharType="end"/>
      </w:r>
      <w:r w:rsidRPr="00B63290">
        <w:t>. Fort de la Roche, île de la Tortue, 1640</w:t>
      </w:r>
      <w:bookmarkEnd w:id="285"/>
      <w:r>
        <w:t xml:space="preserve">. </w:t>
      </w:r>
      <w:r w:rsidRPr="00E8358C">
        <w:rPr>
          <w:szCs w:val="18"/>
        </w:rPr>
        <w:t>Source : Illustration de l’Histoire des aventuriers d’Alexandre E</w:t>
      </w:r>
      <w:r w:rsidRPr="00E8358C">
        <w:rPr>
          <w:szCs w:val="18"/>
        </w:rPr>
        <w:t>x</w:t>
      </w:r>
      <w:r w:rsidRPr="00E8358C">
        <w:rPr>
          <w:szCs w:val="18"/>
        </w:rPr>
        <w:t>quemelin, édition hollandaise, 1678.</w:t>
      </w:r>
    </w:p>
    <w:p w:rsidR="004C50DC" w:rsidRPr="00E8358C" w:rsidRDefault="004C50DC" w:rsidP="004C50DC">
      <w:pPr>
        <w:pStyle w:val="figst1"/>
        <w:rPr>
          <w:szCs w:val="18"/>
        </w:rPr>
      </w:pPr>
      <w:hyperlink r:id="rId58" w:history="1">
        <w:r w:rsidRPr="00E8358C">
          <w:rPr>
            <w:rStyle w:val="Lienhypertexte"/>
            <w:szCs w:val="18"/>
          </w:rPr>
          <w:t>http://www.timogrubing.de/portfolio/laden-der-traeume/karte-tortuga/</w:t>
        </w:r>
      </w:hyperlink>
      <w:bookmarkEnd w:id="286"/>
    </w:p>
    <w:p w:rsidR="004C50DC" w:rsidRPr="00B63290" w:rsidRDefault="004C50DC" w:rsidP="004C50DC">
      <w:pPr>
        <w:pStyle w:val="p"/>
      </w:pPr>
      <w:r w:rsidRPr="00E8358C">
        <w:rPr>
          <w:b/>
        </w:rPr>
        <w:br w:type="page"/>
      </w:r>
      <w:r w:rsidRPr="00B63290">
        <w:t>[250]</w:t>
      </w:r>
    </w:p>
    <w:p w:rsidR="004C50DC" w:rsidRPr="00B63290" w:rsidRDefault="004C50DC" w:rsidP="004C50DC">
      <w:pPr>
        <w:spacing w:before="120" w:after="120"/>
        <w:jc w:val="both"/>
      </w:pPr>
    </w:p>
    <w:p w:rsidR="004C50DC" w:rsidRPr="00B63290" w:rsidRDefault="004C50DC" w:rsidP="004C50DC">
      <w:pPr>
        <w:pStyle w:val="suite"/>
      </w:pPr>
      <w:r>
        <w:t>Carte des fortifications</w:t>
      </w:r>
      <w:r>
        <w:br/>
      </w:r>
      <w:r w:rsidRPr="00B63290">
        <w:t>construites entre les XVII</w:t>
      </w:r>
      <w:r w:rsidRPr="00B63290">
        <w:rPr>
          <w:vertAlign w:val="superscript"/>
        </w:rPr>
        <w:t>e</w:t>
      </w:r>
      <w:r w:rsidRPr="00B63290">
        <w:t xml:space="preserve"> et XVIII</w:t>
      </w:r>
      <w:r w:rsidRPr="00B63290">
        <w:rPr>
          <w:vertAlign w:val="superscript"/>
        </w:rPr>
        <w:t>e</w:t>
      </w:r>
      <w:r w:rsidRPr="00B63290">
        <w:t xml:space="preserve"> siècles</w:t>
      </w:r>
    </w:p>
    <w:p w:rsidR="004C50DC" w:rsidRPr="00E8358C" w:rsidRDefault="009B614B" w:rsidP="004C50DC">
      <w:pPr>
        <w:spacing w:before="120" w:after="120"/>
        <w:ind w:left="-1440" w:firstLine="0"/>
        <w:jc w:val="both"/>
      </w:pPr>
      <w:r w:rsidRPr="00E8358C">
        <w:rPr>
          <w:noProof/>
          <w:lang w:eastAsia="fr-FR"/>
        </w:rPr>
        <w:drawing>
          <wp:inline distT="0" distB="0" distL="0" distR="0">
            <wp:extent cx="6110605" cy="4711700"/>
            <wp:effectExtent l="25400" t="25400" r="10795" b="12700"/>
            <wp:docPr id="28"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0605" cy="47117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87" w:name="_Toc417146067"/>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bookmarkStart w:id="288" w:name="Memoire_fig_22"/>
      <w:r w:rsidRPr="00B63290">
        <w:t xml:space="preserve">Figure </w:t>
      </w:r>
      <w:r w:rsidRPr="00B63290">
        <w:fldChar w:fldCharType="begin"/>
      </w:r>
      <w:r w:rsidR="00EF1554">
        <w:instrText>SEQ</w:instrText>
      </w:r>
      <w:r w:rsidRPr="00B63290">
        <w:instrText xml:space="preserve"> Figure \* ARABIC </w:instrText>
      </w:r>
      <w:r w:rsidRPr="00B63290">
        <w:fldChar w:fldCharType="separate"/>
      </w:r>
      <w:r>
        <w:rPr>
          <w:noProof/>
        </w:rPr>
        <w:t>22</w:t>
      </w:r>
      <w:r w:rsidRPr="00B63290">
        <w:fldChar w:fldCharType="end"/>
      </w:r>
      <w:r w:rsidRPr="00B63290">
        <w:t>.</w:t>
      </w:r>
      <w:r>
        <w:t xml:space="preserve"> </w:t>
      </w:r>
      <w:r w:rsidRPr="00B63290">
        <w:t>Carte des fortifications construites entre les XVII</w:t>
      </w:r>
      <w:r w:rsidRPr="00B63290">
        <w:rPr>
          <w:vertAlign w:val="superscript"/>
        </w:rPr>
        <w:t>e</w:t>
      </w:r>
      <w:r w:rsidRPr="00B63290">
        <w:t xml:space="preserve"> et XVIII</w:t>
      </w:r>
      <w:r w:rsidRPr="00B63290">
        <w:rPr>
          <w:vertAlign w:val="superscript"/>
        </w:rPr>
        <w:t>e</w:t>
      </w:r>
      <w:r w:rsidRPr="00B63290">
        <w:t xml:space="preserve"> siècles</w:t>
      </w:r>
      <w:bookmarkEnd w:id="287"/>
      <w:r>
        <w:t xml:space="preserve">. </w:t>
      </w:r>
      <w:r w:rsidRPr="00E8358C">
        <w:rPr>
          <w:szCs w:val="18"/>
        </w:rPr>
        <w:t xml:space="preserve"> Source : J.-R. Augustin, 2015</w:t>
      </w:r>
      <w:r>
        <w:rPr>
          <w:i w:val="0"/>
          <w:szCs w:val="18"/>
        </w:rPr>
        <w:t> </w:t>
      </w:r>
      <w:r>
        <w:rPr>
          <w:rStyle w:val="Appelnotedebasdep"/>
          <w:i w:val="0"/>
          <w:szCs w:val="18"/>
        </w:rPr>
        <w:footnoteReference w:id="696"/>
      </w:r>
      <w:r>
        <w:rPr>
          <w:i w:val="0"/>
          <w:szCs w:val="18"/>
        </w:rPr>
        <w:t>.</w:t>
      </w:r>
    </w:p>
    <w:bookmarkEnd w:id="288"/>
    <w:p w:rsidR="004C50DC" w:rsidRDefault="004C50DC" w:rsidP="004C50DC">
      <w:pPr>
        <w:pStyle w:val="p"/>
      </w:pPr>
      <w:r>
        <w:br w:type="page"/>
        <w:t>[251]</w:t>
      </w:r>
    </w:p>
    <w:p w:rsidR="004C50DC" w:rsidRPr="00E8358C" w:rsidRDefault="004C50DC" w:rsidP="004C50DC">
      <w:pPr>
        <w:pStyle w:val="p"/>
        <w:rPr>
          <w:i/>
        </w:rPr>
      </w:pPr>
    </w:p>
    <w:p w:rsidR="004C50DC" w:rsidRDefault="004C50DC" w:rsidP="004C50DC">
      <w:pPr>
        <w:pStyle w:val="suite"/>
      </w:pPr>
      <w:r w:rsidRPr="00B63290">
        <w:t>Tableau interprétatif de la carte des fortifications coloniales</w:t>
      </w:r>
      <w:r>
        <w:br/>
      </w:r>
      <w:r w:rsidRPr="00B63290">
        <w:t>(XVII</w:t>
      </w:r>
      <w:r w:rsidRPr="00B63290">
        <w:rPr>
          <w:vertAlign w:val="superscript"/>
        </w:rPr>
        <w:t>e</w:t>
      </w:r>
      <w:r w:rsidRPr="00B63290">
        <w:t xml:space="preserve"> – XVIII</w:t>
      </w:r>
      <w:r w:rsidRPr="00B63290">
        <w:rPr>
          <w:vertAlign w:val="superscript"/>
        </w:rPr>
        <w:t>e</w:t>
      </w:r>
      <w:r w:rsidRPr="00B63290">
        <w:t xml:space="preserve"> siècles)</w:t>
      </w:r>
    </w:p>
    <w:p w:rsidR="004C50DC" w:rsidRPr="00B63290" w:rsidRDefault="004C50DC" w:rsidP="004C50DC">
      <w:pPr>
        <w:pStyle w:val="suite"/>
      </w:pPr>
    </w:p>
    <w:tbl>
      <w:tblPr>
        <w:tblpPr w:leftFromText="187" w:rightFromText="187" w:vertAnchor="text" w:horzAnchor="margin"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638"/>
        <w:gridCol w:w="2700"/>
        <w:gridCol w:w="3798"/>
      </w:tblGrid>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Département</w:t>
            </w:r>
          </w:p>
        </w:tc>
        <w:tc>
          <w:tcPr>
            <w:tcW w:w="2700" w:type="dxa"/>
          </w:tcPr>
          <w:p w:rsidR="004C50DC" w:rsidRPr="00B63290" w:rsidRDefault="004C50DC" w:rsidP="004C50DC">
            <w:pPr>
              <w:ind w:firstLine="0"/>
              <w:jc w:val="both"/>
              <w:rPr>
                <w:bCs/>
                <w:sz w:val="20"/>
                <w:szCs w:val="22"/>
              </w:rPr>
            </w:pPr>
            <w:r w:rsidRPr="00B63290">
              <w:rPr>
                <w:bCs/>
                <w:sz w:val="20"/>
                <w:szCs w:val="22"/>
              </w:rPr>
              <w:t>Ville</w:t>
            </w:r>
          </w:p>
        </w:tc>
        <w:tc>
          <w:tcPr>
            <w:tcW w:w="3798" w:type="dxa"/>
          </w:tcPr>
          <w:p w:rsidR="004C50DC" w:rsidRPr="00B63290" w:rsidRDefault="004C50DC" w:rsidP="004C50DC">
            <w:pPr>
              <w:ind w:firstLine="0"/>
              <w:jc w:val="both"/>
              <w:rPr>
                <w:bCs/>
                <w:sz w:val="20"/>
                <w:szCs w:val="22"/>
              </w:rPr>
            </w:pPr>
            <w:r w:rsidRPr="00B63290">
              <w:rPr>
                <w:bCs/>
                <w:sz w:val="20"/>
                <w:szCs w:val="22"/>
              </w:rPr>
              <w:t>Forts</w:t>
            </w:r>
          </w:p>
        </w:tc>
      </w:tr>
      <w:tr w:rsidR="004C50DC" w:rsidRPr="00E8358C">
        <w:trPr>
          <w:trHeight w:val="3544"/>
        </w:trPr>
        <w:tc>
          <w:tcPr>
            <w:tcW w:w="1638" w:type="dxa"/>
          </w:tcPr>
          <w:p w:rsidR="004C50DC" w:rsidRPr="00B63290" w:rsidRDefault="004C50DC" w:rsidP="004C50DC">
            <w:pPr>
              <w:ind w:firstLine="0"/>
              <w:jc w:val="both"/>
              <w:rPr>
                <w:bCs/>
                <w:sz w:val="20"/>
                <w:szCs w:val="22"/>
              </w:rPr>
            </w:pPr>
            <w:r w:rsidRPr="00B63290">
              <w:rPr>
                <w:bCs/>
                <w:sz w:val="20"/>
                <w:szCs w:val="22"/>
              </w:rPr>
              <w:t>Nord-Ouest</w:t>
            </w:r>
          </w:p>
        </w:tc>
        <w:tc>
          <w:tcPr>
            <w:tcW w:w="2700" w:type="dxa"/>
          </w:tcPr>
          <w:p w:rsidR="004C50DC" w:rsidRPr="00B63290" w:rsidRDefault="004C50DC" w:rsidP="004C50DC">
            <w:pPr>
              <w:ind w:firstLine="0"/>
              <w:jc w:val="both"/>
              <w:rPr>
                <w:sz w:val="20"/>
                <w:szCs w:val="22"/>
              </w:rPr>
            </w:pPr>
            <w:r w:rsidRPr="00B63290">
              <w:rPr>
                <w:sz w:val="20"/>
                <w:szCs w:val="22"/>
              </w:rPr>
              <w:t xml:space="preserve">Môle Saint-Nicolas  </w:t>
            </w:r>
          </w:p>
          <w:p w:rsidR="004C50DC" w:rsidRPr="00B63290" w:rsidRDefault="004C50DC" w:rsidP="004C50DC">
            <w:pPr>
              <w:ind w:firstLine="0"/>
              <w:jc w:val="both"/>
              <w:rPr>
                <w:sz w:val="20"/>
                <w:szCs w:val="22"/>
              </w:rPr>
            </w:pPr>
          </w:p>
          <w:p w:rsidR="004C50DC" w:rsidRPr="00B63290" w:rsidRDefault="004C50DC" w:rsidP="004C50DC">
            <w:pPr>
              <w:ind w:firstLine="0"/>
              <w:jc w:val="both"/>
              <w:rPr>
                <w:sz w:val="20"/>
                <w:szCs w:val="22"/>
              </w:rPr>
            </w:pPr>
          </w:p>
          <w:p w:rsidR="004C50DC" w:rsidRPr="00B63290" w:rsidRDefault="004C50DC" w:rsidP="004C50DC">
            <w:pPr>
              <w:ind w:firstLine="0"/>
              <w:jc w:val="both"/>
              <w:rPr>
                <w:sz w:val="20"/>
                <w:szCs w:val="22"/>
              </w:rPr>
            </w:pPr>
          </w:p>
          <w:p w:rsidR="004C50DC" w:rsidRPr="00B63290" w:rsidRDefault="004C50DC" w:rsidP="004C50DC">
            <w:pPr>
              <w:ind w:firstLine="0"/>
              <w:jc w:val="both"/>
              <w:rPr>
                <w:sz w:val="20"/>
                <w:szCs w:val="22"/>
              </w:rPr>
            </w:pPr>
          </w:p>
          <w:p w:rsidR="004C50DC" w:rsidRPr="00B63290" w:rsidRDefault="004C50DC" w:rsidP="004C50DC">
            <w:pPr>
              <w:ind w:firstLine="0"/>
              <w:jc w:val="both"/>
              <w:rPr>
                <w:sz w:val="20"/>
                <w:szCs w:val="22"/>
              </w:rPr>
            </w:pPr>
            <w:r w:rsidRPr="00B63290">
              <w:rPr>
                <w:sz w:val="20"/>
                <w:szCs w:val="22"/>
              </w:rPr>
              <w:t>île de la Tortue</w:t>
            </w:r>
          </w:p>
          <w:p w:rsidR="004C50DC" w:rsidRPr="00B63290" w:rsidRDefault="004C50DC" w:rsidP="004C50DC">
            <w:pPr>
              <w:ind w:firstLine="0"/>
              <w:jc w:val="both"/>
              <w:rPr>
                <w:sz w:val="20"/>
                <w:szCs w:val="22"/>
              </w:rPr>
            </w:pPr>
          </w:p>
          <w:p w:rsidR="004C50DC" w:rsidRPr="00B63290" w:rsidRDefault="004C50DC" w:rsidP="004C50DC">
            <w:pPr>
              <w:ind w:firstLine="0"/>
              <w:jc w:val="both"/>
              <w:rPr>
                <w:sz w:val="20"/>
                <w:szCs w:val="22"/>
              </w:rPr>
            </w:pPr>
          </w:p>
          <w:p w:rsidR="004C50DC" w:rsidRPr="00B63290" w:rsidRDefault="004C50DC" w:rsidP="004C50DC">
            <w:pPr>
              <w:ind w:firstLine="0"/>
              <w:jc w:val="both"/>
              <w:rPr>
                <w:sz w:val="20"/>
              </w:rPr>
            </w:pPr>
            <w:r w:rsidRPr="00B63290">
              <w:rPr>
                <w:sz w:val="20"/>
                <w:szCs w:val="22"/>
              </w:rPr>
              <w:t xml:space="preserve"> Port-de-Paix</w:t>
            </w:r>
          </w:p>
        </w:tc>
        <w:tc>
          <w:tcPr>
            <w:tcW w:w="3798" w:type="dxa"/>
          </w:tcPr>
          <w:p w:rsidR="004C50DC" w:rsidRPr="00B63290" w:rsidRDefault="004C50DC" w:rsidP="004C50DC">
            <w:pPr>
              <w:ind w:firstLine="0"/>
              <w:jc w:val="both"/>
              <w:rPr>
                <w:bCs/>
                <w:sz w:val="20"/>
                <w:szCs w:val="22"/>
              </w:rPr>
            </w:pPr>
            <w:r w:rsidRPr="00B63290">
              <w:rPr>
                <w:bCs/>
                <w:sz w:val="20"/>
                <w:szCs w:val="22"/>
              </w:rPr>
              <w:t>Le Gibraltar de la Caraïbe</w:t>
            </w:r>
          </w:p>
          <w:p w:rsidR="004C50DC" w:rsidRPr="00B63290" w:rsidRDefault="004C50DC" w:rsidP="004C50DC">
            <w:pPr>
              <w:ind w:firstLine="0"/>
              <w:jc w:val="both"/>
              <w:rPr>
                <w:bCs/>
                <w:sz w:val="20"/>
                <w:szCs w:val="22"/>
              </w:rPr>
            </w:pPr>
            <w:r w:rsidRPr="00B63290">
              <w:rPr>
                <w:bCs/>
                <w:sz w:val="20"/>
                <w:szCs w:val="22"/>
              </w:rPr>
              <w:t>Batterie de Vallières</w:t>
            </w:r>
          </w:p>
          <w:p w:rsidR="004C50DC" w:rsidRPr="00B63290" w:rsidRDefault="004C50DC" w:rsidP="004C50DC">
            <w:pPr>
              <w:ind w:firstLine="0"/>
              <w:jc w:val="both"/>
              <w:rPr>
                <w:bCs/>
                <w:sz w:val="20"/>
                <w:szCs w:val="22"/>
              </w:rPr>
            </w:pPr>
            <w:r w:rsidRPr="00B63290">
              <w:rPr>
                <w:bCs/>
                <w:sz w:val="20"/>
                <w:szCs w:val="22"/>
              </w:rPr>
              <w:t>Batterie de Grasse</w:t>
            </w:r>
          </w:p>
          <w:p w:rsidR="004C50DC" w:rsidRPr="00B63290" w:rsidRDefault="004C50DC" w:rsidP="004C50DC">
            <w:pPr>
              <w:ind w:firstLine="0"/>
              <w:jc w:val="both"/>
              <w:rPr>
                <w:bCs/>
                <w:sz w:val="20"/>
                <w:szCs w:val="22"/>
              </w:rPr>
            </w:pPr>
            <w:r w:rsidRPr="00B63290">
              <w:rPr>
                <w:bCs/>
                <w:sz w:val="20"/>
                <w:szCs w:val="22"/>
              </w:rPr>
              <w:t xml:space="preserve">Poudrière du Mole Saint-Nicolas  </w:t>
            </w:r>
          </w:p>
          <w:p w:rsidR="004C50DC" w:rsidRPr="00B63290" w:rsidRDefault="004C50DC" w:rsidP="004C50DC">
            <w:pPr>
              <w:ind w:firstLine="0"/>
              <w:jc w:val="both"/>
              <w:rPr>
                <w:bCs/>
                <w:sz w:val="20"/>
                <w:szCs w:val="22"/>
              </w:rPr>
            </w:pPr>
            <w:r w:rsidRPr="00B63290">
              <w:rPr>
                <w:bCs/>
                <w:sz w:val="20"/>
                <w:szCs w:val="22"/>
              </w:rPr>
              <w:t>Fort Vieux Quartier</w:t>
            </w:r>
          </w:p>
          <w:p w:rsidR="004C50DC" w:rsidRPr="00B63290" w:rsidRDefault="004C50DC" w:rsidP="004C50DC">
            <w:pPr>
              <w:ind w:firstLine="0"/>
              <w:jc w:val="both"/>
              <w:rPr>
                <w:bCs/>
                <w:sz w:val="20"/>
                <w:szCs w:val="22"/>
              </w:rPr>
            </w:pPr>
            <w:r w:rsidRPr="00B63290">
              <w:rPr>
                <w:bCs/>
                <w:sz w:val="20"/>
                <w:szCs w:val="22"/>
              </w:rPr>
              <w:t xml:space="preserve">Fort du Ralliement </w:t>
            </w:r>
          </w:p>
          <w:p w:rsidR="004C50DC" w:rsidRPr="00B63290" w:rsidRDefault="004C50DC" w:rsidP="004C50DC">
            <w:pPr>
              <w:ind w:firstLine="0"/>
              <w:jc w:val="both"/>
              <w:rPr>
                <w:bCs/>
                <w:sz w:val="20"/>
                <w:szCs w:val="22"/>
              </w:rPr>
            </w:pPr>
            <w:r w:rsidRPr="00B63290">
              <w:rPr>
                <w:bCs/>
                <w:sz w:val="20"/>
                <w:szCs w:val="22"/>
              </w:rPr>
              <w:t>Fort du morne à Cabris</w:t>
            </w:r>
          </w:p>
          <w:p w:rsidR="004C50DC" w:rsidRPr="00B63290" w:rsidRDefault="004C50DC" w:rsidP="004C50DC">
            <w:pPr>
              <w:ind w:firstLine="0"/>
              <w:jc w:val="both"/>
              <w:rPr>
                <w:bCs/>
                <w:sz w:val="20"/>
                <w:szCs w:val="22"/>
              </w:rPr>
            </w:pPr>
            <w:r w:rsidRPr="00B63290">
              <w:rPr>
                <w:bCs/>
                <w:sz w:val="20"/>
                <w:szCs w:val="22"/>
              </w:rPr>
              <w:t>Fort Georges</w:t>
            </w:r>
          </w:p>
          <w:p w:rsidR="004C50DC" w:rsidRPr="00B63290" w:rsidRDefault="004C50DC" w:rsidP="004C50DC">
            <w:pPr>
              <w:ind w:firstLine="0"/>
              <w:jc w:val="both"/>
              <w:rPr>
                <w:bCs/>
                <w:sz w:val="20"/>
                <w:szCs w:val="22"/>
              </w:rPr>
            </w:pPr>
            <w:r w:rsidRPr="00B63290">
              <w:rPr>
                <w:bCs/>
                <w:sz w:val="20"/>
                <w:szCs w:val="22"/>
              </w:rPr>
              <w:t>Batterie Haute</w:t>
            </w:r>
          </w:p>
          <w:p w:rsidR="004C50DC" w:rsidRPr="00B63290" w:rsidRDefault="004C50DC" w:rsidP="004C50DC">
            <w:pPr>
              <w:ind w:firstLine="0"/>
              <w:jc w:val="both"/>
              <w:rPr>
                <w:bCs/>
                <w:sz w:val="20"/>
                <w:szCs w:val="22"/>
              </w:rPr>
            </w:pPr>
            <w:r w:rsidRPr="00B63290">
              <w:rPr>
                <w:bCs/>
                <w:sz w:val="20"/>
                <w:szCs w:val="22"/>
              </w:rPr>
              <w:t xml:space="preserve">Batterie de la rade </w:t>
            </w:r>
          </w:p>
          <w:p w:rsidR="004C50DC" w:rsidRPr="00B63290" w:rsidRDefault="004C50DC" w:rsidP="004C50DC">
            <w:pPr>
              <w:ind w:firstLine="0"/>
              <w:jc w:val="both"/>
              <w:rPr>
                <w:bCs/>
                <w:sz w:val="20"/>
                <w:szCs w:val="22"/>
              </w:rPr>
            </w:pPr>
            <w:r w:rsidRPr="00B63290">
              <w:rPr>
                <w:bCs/>
                <w:sz w:val="20"/>
                <w:szCs w:val="22"/>
              </w:rPr>
              <w:t>La Tour d’Ogeron</w:t>
            </w:r>
          </w:p>
          <w:p w:rsidR="004C50DC" w:rsidRPr="00B63290" w:rsidRDefault="004C50DC" w:rsidP="004C50DC">
            <w:pPr>
              <w:ind w:firstLine="0"/>
              <w:jc w:val="both"/>
              <w:rPr>
                <w:sz w:val="20"/>
                <w:szCs w:val="22"/>
              </w:rPr>
            </w:pPr>
            <w:r w:rsidRPr="00B63290">
              <w:rPr>
                <w:bCs/>
                <w:sz w:val="20"/>
                <w:szCs w:val="22"/>
              </w:rPr>
              <w:t>Fort Levasseur</w:t>
            </w:r>
          </w:p>
          <w:p w:rsidR="004C50DC" w:rsidRPr="00B63290" w:rsidRDefault="004C50DC" w:rsidP="004C50DC">
            <w:pPr>
              <w:ind w:firstLine="0"/>
              <w:jc w:val="both"/>
              <w:rPr>
                <w:bCs/>
                <w:sz w:val="20"/>
                <w:szCs w:val="22"/>
              </w:rPr>
            </w:pPr>
            <w:r w:rsidRPr="00B63290">
              <w:rPr>
                <w:bCs/>
                <w:sz w:val="20"/>
                <w:szCs w:val="22"/>
              </w:rPr>
              <w:t xml:space="preserve">Grand-Fort </w:t>
            </w:r>
          </w:p>
          <w:p w:rsidR="004C50DC" w:rsidRPr="00B63290" w:rsidRDefault="004C50DC" w:rsidP="004C50DC">
            <w:pPr>
              <w:ind w:firstLine="0"/>
              <w:jc w:val="both"/>
              <w:rPr>
                <w:bCs/>
                <w:sz w:val="20"/>
                <w:szCs w:val="22"/>
              </w:rPr>
            </w:pPr>
            <w:r w:rsidRPr="00B63290">
              <w:rPr>
                <w:bCs/>
                <w:sz w:val="20"/>
                <w:szCs w:val="22"/>
              </w:rPr>
              <w:t>Petit-Fort de la Pointe des Pères</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 xml:space="preserve">Nord </w:t>
            </w:r>
          </w:p>
        </w:tc>
        <w:tc>
          <w:tcPr>
            <w:tcW w:w="2700" w:type="dxa"/>
          </w:tcPr>
          <w:p w:rsidR="004C50DC" w:rsidRPr="00B63290" w:rsidRDefault="004C50DC" w:rsidP="004C50DC">
            <w:pPr>
              <w:ind w:firstLine="0"/>
              <w:jc w:val="both"/>
              <w:rPr>
                <w:bCs/>
                <w:sz w:val="20"/>
                <w:szCs w:val="22"/>
                <w:shd w:val="clear" w:color="auto" w:fill="FFFFFF"/>
              </w:rPr>
            </w:pPr>
            <w:r w:rsidRPr="00B63290">
              <w:rPr>
                <w:bCs/>
                <w:sz w:val="20"/>
                <w:szCs w:val="22"/>
              </w:rPr>
              <w:t xml:space="preserve">Cap-Haïtien </w:t>
            </w:r>
          </w:p>
          <w:p w:rsidR="004C50DC" w:rsidRPr="00B63290" w:rsidRDefault="004C50DC" w:rsidP="004C50DC">
            <w:pPr>
              <w:ind w:firstLine="0"/>
              <w:jc w:val="both"/>
              <w:rPr>
                <w:bCs/>
                <w:sz w:val="20"/>
                <w:szCs w:val="22"/>
              </w:rPr>
            </w:pPr>
          </w:p>
        </w:tc>
        <w:tc>
          <w:tcPr>
            <w:tcW w:w="3798" w:type="dxa"/>
          </w:tcPr>
          <w:p w:rsidR="004C50DC" w:rsidRPr="00B63290" w:rsidRDefault="004C50DC" w:rsidP="004C50DC">
            <w:pPr>
              <w:ind w:firstLine="0"/>
              <w:jc w:val="both"/>
              <w:rPr>
                <w:bCs/>
                <w:sz w:val="20"/>
                <w:szCs w:val="22"/>
              </w:rPr>
            </w:pPr>
            <w:r w:rsidRPr="00B63290">
              <w:rPr>
                <w:bCs/>
                <w:sz w:val="20"/>
                <w:szCs w:val="22"/>
              </w:rPr>
              <w:t>Forts Saint-Joseph</w:t>
            </w:r>
          </w:p>
          <w:p w:rsidR="004C50DC" w:rsidRPr="00B63290" w:rsidRDefault="004C50DC" w:rsidP="004C50DC">
            <w:pPr>
              <w:ind w:firstLine="0"/>
              <w:jc w:val="both"/>
              <w:rPr>
                <w:bCs/>
                <w:sz w:val="20"/>
                <w:szCs w:val="22"/>
              </w:rPr>
            </w:pPr>
            <w:r w:rsidRPr="00B63290">
              <w:rPr>
                <w:bCs/>
                <w:sz w:val="20"/>
                <w:szCs w:val="22"/>
              </w:rPr>
              <w:t xml:space="preserve"> Fort aux Dames </w:t>
            </w:r>
          </w:p>
          <w:p w:rsidR="004C50DC" w:rsidRPr="00B63290" w:rsidRDefault="004C50DC" w:rsidP="004C50DC">
            <w:pPr>
              <w:ind w:firstLine="0"/>
              <w:jc w:val="both"/>
              <w:rPr>
                <w:bCs/>
                <w:sz w:val="20"/>
                <w:szCs w:val="22"/>
              </w:rPr>
            </w:pPr>
            <w:r w:rsidRPr="00B63290">
              <w:rPr>
                <w:bCs/>
                <w:sz w:val="20"/>
                <w:szCs w:val="22"/>
              </w:rPr>
              <w:t>Fort Picolet,</w:t>
            </w:r>
          </w:p>
          <w:p w:rsidR="004C50DC" w:rsidRPr="00B63290" w:rsidRDefault="004C50DC" w:rsidP="004C50DC">
            <w:pPr>
              <w:ind w:firstLine="0"/>
              <w:jc w:val="both"/>
              <w:rPr>
                <w:bCs/>
                <w:sz w:val="20"/>
                <w:szCs w:val="22"/>
              </w:rPr>
            </w:pPr>
            <w:r w:rsidRPr="00B63290">
              <w:rPr>
                <w:bCs/>
                <w:sz w:val="20"/>
                <w:szCs w:val="22"/>
              </w:rPr>
              <w:t>Fort Magny</w:t>
            </w:r>
          </w:p>
          <w:p w:rsidR="004C50DC" w:rsidRPr="00B63290" w:rsidRDefault="004C50DC" w:rsidP="004C50DC">
            <w:pPr>
              <w:ind w:firstLine="0"/>
              <w:jc w:val="both"/>
              <w:rPr>
                <w:bCs/>
                <w:sz w:val="20"/>
                <w:szCs w:val="22"/>
              </w:rPr>
            </w:pPr>
            <w:r w:rsidRPr="00B63290">
              <w:rPr>
                <w:bCs/>
                <w:sz w:val="20"/>
                <w:szCs w:val="22"/>
              </w:rPr>
              <w:t>Fort Belly</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Nord-Est</w:t>
            </w:r>
          </w:p>
        </w:tc>
        <w:tc>
          <w:tcPr>
            <w:tcW w:w="2700" w:type="dxa"/>
          </w:tcPr>
          <w:p w:rsidR="004C50DC" w:rsidRPr="00B63290" w:rsidRDefault="004C50DC" w:rsidP="004C50DC">
            <w:pPr>
              <w:ind w:firstLine="0"/>
              <w:jc w:val="both"/>
              <w:rPr>
                <w:bCs/>
                <w:sz w:val="20"/>
                <w:szCs w:val="22"/>
              </w:rPr>
            </w:pPr>
            <w:r w:rsidRPr="00B63290">
              <w:rPr>
                <w:bCs/>
                <w:sz w:val="20"/>
                <w:szCs w:val="22"/>
              </w:rPr>
              <w:t>Fort-Liberté</w:t>
            </w:r>
          </w:p>
        </w:tc>
        <w:tc>
          <w:tcPr>
            <w:tcW w:w="3798" w:type="dxa"/>
          </w:tcPr>
          <w:p w:rsidR="004C50DC" w:rsidRPr="00B63290" w:rsidRDefault="004C50DC" w:rsidP="004C50DC">
            <w:pPr>
              <w:ind w:firstLine="0"/>
              <w:jc w:val="both"/>
              <w:rPr>
                <w:bCs/>
                <w:sz w:val="20"/>
                <w:szCs w:val="22"/>
              </w:rPr>
            </w:pPr>
            <w:r w:rsidRPr="00B63290">
              <w:rPr>
                <w:bCs/>
                <w:sz w:val="20"/>
                <w:szCs w:val="22"/>
              </w:rPr>
              <w:t>Fort Dauphin</w:t>
            </w:r>
          </w:p>
          <w:p w:rsidR="004C50DC" w:rsidRPr="00B63290" w:rsidRDefault="004C50DC" w:rsidP="004C50DC">
            <w:pPr>
              <w:ind w:firstLine="0"/>
              <w:jc w:val="both"/>
              <w:rPr>
                <w:bCs/>
                <w:sz w:val="20"/>
                <w:szCs w:val="22"/>
              </w:rPr>
            </w:pPr>
            <w:r w:rsidRPr="00B63290">
              <w:rPr>
                <w:bCs/>
                <w:sz w:val="20"/>
                <w:szCs w:val="22"/>
              </w:rPr>
              <w:t>Fort La Bouque</w:t>
            </w:r>
          </w:p>
          <w:p w:rsidR="004C50DC" w:rsidRPr="00B63290" w:rsidRDefault="004C50DC" w:rsidP="004C50DC">
            <w:pPr>
              <w:ind w:firstLine="0"/>
              <w:jc w:val="both"/>
              <w:rPr>
                <w:bCs/>
                <w:sz w:val="20"/>
                <w:szCs w:val="22"/>
              </w:rPr>
            </w:pPr>
            <w:r w:rsidRPr="00B63290">
              <w:rPr>
                <w:bCs/>
                <w:sz w:val="20"/>
                <w:szCs w:val="22"/>
              </w:rPr>
              <w:t>Batterie de l’Anse</w:t>
            </w:r>
          </w:p>
          <w:p w:rsidR="004C50DC" w:rsidRPr="00B63290" w:rsidRDefault="004C50DC" w:rsidP="004C50DC">
            <w:pPr>
              <w:ind w:firstLine="0"/>
              <w:jc w:val="both"/>
              <w:rPr>
                <w:bCs/>
                <w:sz w:val="20"/>
                <w:szCs w:val="22"/>
              </w:rPr>
            </w:pPr>
            <w:r w:rsidRPr="00B63290">
              <w:rPr>
                <w:bCs/>
                <w:sz w:val="20"/>
                <w:szCs w:val="22"/>
              </w:rPr>
              <w:t>Batterie Saint-Frédéric</w:t>
            </w:r>
          </w:p>
          <w:p w:rsidR="004C50DC" w:rsidRPr="00B63290" w:rsidRDefault="004C50DC" w:rsidP="004C50DC">
            <w:pPr>
              <w:ind w:firstLine="0"/>
              <w:jc w:val="both"/>
              <w:rPr>
                <w:bCs/>
                <w:sz w:val="20"/>
                <w:szCs w:val="22"/>
              </w:rPr>
            </w:pPr>
            <w:r w:rsidRPr="00B63290">
              <w:rPr>
                <w:bCs/>
                <w:sz w:val="20"/>
                <w:szCs w:val="22"/>
              </w:rPr>
              <w:t>Batterie Saint-Charles</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Artibonite</w:t>
            </w:r>
          </w:p>
        </w:tc>
        <w:tc>
          <w:tcPr>
            <w:tcW w:w="2700" w:type="dxa"/>
          </w:tcPr>
          <w:p w:rsidR="004C50DC" w:rsidRPr="00B63290" w:rsidRDefault="004C50DC" w:rsidP="004C50DC">
            <w:pPr>
              <w:ind w:firstLine="0"/>
              <w:jc w:val="both"/>
              <w:rPr>
                <w:bCs/>
                <w:sz w:val="20"/>
                <w:szCs w:val="22"/>
              </w:rPr>
            </w:pPr>
            <w:r w:rsidRPr="00B63290">
              <w:rPr>
                <w:bCs/>
                <w:sz w:val="20"/>
                <w:szCs w:val="22"/>
              </w:rPr>
              <w:t xml:space="preserve">Saint-Marc </w:t>
            </w:r>
          </w:p>
          <w:p w:rsidR="004C50DC" w:rsidRPr="00B63290" w:rsidRDefault="004C50DC" w:rsidP="004C50DC">
            <w:pPr>
              <w:ind w:firstLine="0"/>
              <w:jc w:val="both"/>
              <w:rPr>
                <w:bCs/>
                <w:sz w:val="20"/>
                <w:szCs w:val="22"/>
              </w:rPr>
            </w:pPr>
            <w:r w:rsidRPr="00B63290">
              <w:rPr>
                <w:bCs/>
                <w:sz w:val="20"/>
                <w:szCs w:val="22"/>
              </w:rPr>
              <w:t>Petite Rivière de l’Artibonite</w:t>
            </w:r>
          </w:p>
        </w:tc>
        <w:tc>
          <w:tcPr>
            <w:tcW w:w="3798" w:type="dxa"/>
          </w:tcPr>
          <w:p w:rsidR="004C50DC" w:rsidRPr="00B63290" w:rsidRDefault="004C50DC" w:rsidP="004C50DC">
            <w:pPr>
              <w:ind w:firstLine="0"/>
              <w:jc w:val="both"/>
              <w:rPr>
                <w:bCs/>
                <w:sz w:val="20"/>
                <w:szCs w:val="22"/>
              </w:rPr>
            </w:pPr>
            <w:r w:rsidRPr="00B63290">
              <w:rPr>
                <w:bCs/>
                <w:sz w:val="20"/>
                <w:szCs w:val="22"/>
              </w:rPr>
              <w:t xml:space="preserve">Fort Diamant </w:t>
            </w:r>
          </w:p>
          <w:p w:rsidR="004C50DC" w:rsidRPr="00B63290" w:rsidRDefault="004C50DC" w:rsidP="004C50DC">
            <w:pPr>
              <w:ind w:firstLine="0"/>
              <w:jc w:val="both"/>
              <w:rPr>
                <w:bCs/>
                <w:sz w:val="20"/>
                <w:szCs w:val="22"/>
              </w:rPr>
            </w:pPr>
            <w:r w:rsidRPr="00B63290">
              <w:rPr>
                <w:bCs/>
                <w:sz w:val="20"/>
                <w:szCs w:val="22"/>
              </w:rPr>
              <w:t>Fort de la Crête à Pierrot</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Centre</w:t>
            </w:r>
          </w:p>
        </w:tc>
        <w:tc>
          <w:tcPr>
            <w:tcW w:w="2700" w:type="dxa"/>
          </w:tcPr>
          <w:p w:rsidR="004C50DC" w:rsidRPr="00B63290" w:rsidRDefault="004C50DC" w:rsidP="004C50DC">
            <w:pPr>
              <w:ind w:firstLine="0"/>
              <w:jc w:val="both"/>
              <w:rPr>
                <w:bCs/>
                <w:sz w:val="20"/>
                <w:szCs w:val="22"/>
              </w:rPr>
            </w:pPr>
            <w:r w:rsidRPr="00B63290">
              <w:rPr>
                <w:bCs/>
                <w:sz w:val="20"/>
                <w:szCs w:val="22"/>
              </w:rPr>
              <w:t>Mirebalais</w:t>
            </w:r>
          </w:p>
        </w:tc>
        <w:tc>
          <w:tcPr>
            <w:tcW w:w="3798" w:type="dxa"/>
          </w:tcPr>
          <w:p w:rsidR="004C50DC" w:rsidRPr="00B63290" w:rsidRDefault="004C50DC" w:rsidP="004C50DC">
            <w:pPr>
              <w:ind w:firstLine="0"/>
              <w:jc w:val="both"/>
              <w:rPr>
                <w:bCs/>
                <w:sz w:val="20"/>
                <w:szCs w:val="22"/>
              </w:rPr>
            </w:pPr>
            <w:r w:rsidRPr="00B63290">
              <w:rPr>
                <w:bCs/>
                <w:sz w:val="20"/>
                <w:szCs w:val="22"/>
              </w:rPr>
              <w:t>Le Fort de Mirebalais, ou Fort Anglais</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Ouest</w:t>
            </w:r>
          </w:p>
        </w:tc>
        <w:tc>
          <w:tcPr>
            <w:tcW w:w="2700" w:type="dxa"/>
          </w:tcPr>
          <w:p w:rsidR="004C50DC" w:rsidRPr="00B63290" w:rsidRDefault="004C50DC" w:rsidP="004C50DC">
            <w:pPr>
              <w:ind w:firstLine="0"/>
              <w:jc w:val="both"/>
              <w:rPr>
                <w:bCs/>
                <w:sz w:val="20"/>
                <w:szCs w:val="22"/>
              </w:rPr>
            </w:pPr>
            <w:r w:rsidRPr="00B63290">
              <w:rPr>
                <w:bCs/>
                <w:sz w:val="20"/>
                <w:szCs w:val="22"/>
              </w:rPr>
              <w:t>Port-au-Prince</w:t>
            </w:r>
          </w:p>
        </w:tc>
        <w:tc>
          <w:tcPr>
            <w:tcW w:w="3798" w:type="dxa"/>
          </w:tcPr>
          <w:p w:rsidR="004C50DC" w:rsidRPr="00B63290" w:rsidRDefault="004C50DC" w:rsidP="004C50DC">
            <w:pPr>
              <w:ind w:firstLine="0"/>
              <w:jc w:val="both"/>
              <w:rPr>
                <w:bCs/>
                <w:sz w:val="20"/>
                <w:szCs w:val="22"/>
              </w:rPr>
            </w:pPr>
            <w:r w:rsidRPr="00B63290">
              <w:rPr>
                <w:bCs/>
                <w:sz w:val="20"/>
                <w:szCs w:val="22"/>
              </w:rPr>
              <w:t>La batterie Sainte-Claire</w:t>
            </w:r>
          </w:p>
          <w:p w:rsidR="004C50DC" w:rsidRPr="00B63290" w:rsidRDefault="004C50DC" w:rsidP="004C50DC">
            <w:pPr>
              <w:ind w:firstLine="0"/>
              <w:jc w:val="both"/>
              <w:rPr>
                <w:bCs/>
                <w:sz w:val="20"/>
                <w:szCs w:val="22"/>
              </w:rPr>
            </w:pPr>
            <w:r w:rsidRPr="00B63290">
              <w:rPr>
                <w:bCs/>
                <w:sz w:val="20"/>
                <w:szCs w:val="22"/>
              </w:rPr>
              <w:t>Les forts ou batteries du Bel-Air</w:t>
            </w:r>
          </w:p>
          <w:p w:rsidR="004C50DC" w:rsidRPr="00B63290" w:rsidRDefault="004C50DC" w:rsidP="004C50DC">
            <w:pPr>
              <w:ind w:firstLine="0"/>
              <w:jc w:val="both"/>
              <w:rPr>
                <w:bCs/>
                <w:sz w:val="20"/>
                <w:szCs w:val="22"/>
              </w:rPr>
            </w:pPr>
            <w:r w:rsidRPr="00B63290">
              <w:rPr>
                <w:bCs/>
                <w:sz w:val="20"/>
                <w:szCs w:val="22"/>
              </w:rPr>
              <w:t xml:space="preserve">Fort  Rebours </w:t>
            </w:r>
          </w:p>
          <w:p w:rsidR="004C50DC" w:rsidRPr="00B63290" w:rsidRDefault="004C50DC" w:rsidP="004C50DC">
            <w:pPr>
              <w:ind w:firstLine="0"/>
              <w:jc w:val="both"/>
              <w:rPr>
                <w:bCs/>
                <w:sz w:val="20"/>
                <w:szCs w:val="22"/>
              </w:rPr>
            </w:pPr>
            <w:r w:rsidRPr="00B63290">
              <w:rPr>
                <w:bCs/>
                <w:sz w:val="20"/>
                <w:szCs w:val="22"/>
              </w:rPr>
              <w:t>Fort Saint-Joseph</w:t>
            </w:r>
          </w:p>
          <w:p w:rsidR="004C50DC" w:rsidRPr="00B63290" w:rsidRDefault="004C50DC" w:rsidP="004C50DC">
            <w:pPr>
              <w:ind w:firstLine="0"/>
              <w:jc w:val="both"/>
              <w:rPr>
                <w:bCs/>
                <w:sz w:val="20"/>
                <w:szCs w:val="22"/>
              </w:rPr>
            </w:pPr>
            <w:r w:rsidRPr="00B63290">
              <w:rPr>
                <w:bCs/>
                <w:sz w:val="20"/>
                <w:szCs w:val="22"/>
              </w:rPr>
              <w:t xml:space="preserve">Fort-l’Islet </w:t>
            </w:r>
          </w:p>
          <w:p w:rsidR="004C50DC" w:rsidRPr="00B63290" w:rsidRDefault="004C50DC" w:rsidP="004C50DC">
            <w:pPr>
              <w:ind w:firstLine="0"/>
              <w:jc w:val="both"/>
              <w:rPr>
                <w:bCs/>
                <w:sz w:val="20"/>
                <w:szCs w:val="22"/>
              </w:rPr>
            </w:pPr>
            <w:r w:rsidRPr="00B63290">
              <w:rPr>
                <w:bCs/>
                <w:sz w:val="20"/>
                <w:szCs w:val="22"/>
              </w:rPr>
              <w:t>Fort Bizoton</w:t>
            </w:r>
          </w:p>
          <w:p w:rsidR="004C50DC" w:rsidRPr="00B63290" w:rsidRDefault="004C50DC" w:rsidP="004C50DC">
            <w:pPr>
              <w:ind w:firstLine="0"/>
              <w:jc w:val="both"/>
              <w:rPr>
                <w:bCs/>
                <w:sz w:val="20"/>
                <w:szCs w:val="22"/>
              </w:rPr>
            </w:pPr>
            <w:r w:rsidRPr="00B63290">
              <w:rPr>
                <w:bCs/>
                <w:sz w:val="20"/>
                <w:szCs w:val="22"/>
              </w:rPr>
              <w:t>Fort Mercredi</w:t>
            </w:r>
          </w:p>
          <w:p w:rsidR="004C50DC" w:rsidRPr="00B63290" w:rsidRDefault="004C50DC" w:rsidP="004C50DC">
            <w:pPr>
              <w:ind w:firstLine="0"/>
              <w:jc w:val="both"/>
              <w:rPr>
                <w:bCs/>
                <w:sz w:val="20"/>
                <w:szCs w:val="22"/>
              </w:rPr>
            </w:pPr>
            <w:r w:rsidRPr="00B63290">
              <w:rPr>
                <w:bCs/>
                <w:sz w:val="20"/>
                <w:szCs w:val="22"/>
              </w:rPr>
              <w:t>Fort National</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Sud-Est</w:t>
            </w:r>
          </w:p>
        </w:tc>
        <w:tc>
          <w:tcPr>
            <w:tcW w:w="2700" w:type="dxa"/>
          </w:tcPr>
          <w:p w:rsidR="004C50DC" w:rsidRPr="00B63290" w:rsidRDefault="004C50DC" w:rsidP="004C50DC">
            <w:pPr>
              <w:ind w:firstLine="0"/>
              <w:jc w:val="both"/>
              <w:rPr>
                <w:bCs/>
                <w:sz w:val="20"/>
                <w:szCs w:val="22"/>
              </w:rPr>
            </w:pPr>
          </w:p>
        </w:tc>
        <w:tc>
          <w:tcPr>
            <w:tcW w:w="3798" w:type="dxa"/>
          </w:tcPr>
          <w:p w:rsidR="004C50DC" w:rsidRPr="00B63290" w:rsidRDefault="004C50DC" w:rsidP="004C50DC">
            <w:pPr>
              <w:ind w:firstLine="0"/>
              <w:jc w:val="both"/>
              <w:rPr>
                <w:bCs/>
                <w:sz w:val="20"/>
                <w:szCs w:val="22"/>
              </w:rPr>
            </w:pP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Sud</w:t>
            </w:r>
          </w:p>
        </w:tc>
        <w:tc>
          <w:tcPr>
            <w:tcW w:w="2700" w:type="dxa"/>
          </w:tcPr>
          <w:p w:rsidR="004C50DC" w:rsidRPr="00B63290" w:rsidRDefault="004C50DC" w:rsidP="004C50DC">
            <w:pPr>
              <w:ind w:firstLine="0"/>
              <w:jc w:val="both"/>
              <w:rPr>
                <w:bCs/>
                <w:sz w:val="20"/>
                <w:szCs w:val="22"/>
              </w:rPr>
            </w:pPr>
            <w:r w:rsidRPr="00B63290">
              <w:rPr>
                <w:bCs/>
                <w:sz w:val="20"/>
                <w:szCs w:val="22"/>
              </w:rPr>
              <w:t>Saint-Louis</w:t>
            </w:r>
          </w:p>
        </w:tc>
        <w:tc>
          <w:tcPr>
            <w:tcW w:w="3798" w:type="dxa"/>
          </w:tcPr>
          <w:p w:rsidR="004C50DC" w:rsidRPr="00B63290" w:rsidRDefault="004C50DC" w:rsidP="004C50DC">
            <w:pPr>
              <w:ind w:firstLine="0"/>
              <w:jc w:val="both"/>
              <w:rPr>
                <w:bCs/>
                <w:sz w:val="20"/>
                <w:szCs w:val="22"/>
              </w:rPr>
            </w:pPr>
            <w:r w:rsidRPr="00B63290">
              <w:rPr>
                <w:bCs/>
                <w:sz w:val="20"/>
                <w:szCs w:val="22"/>
              </w:rPr>
              <w:t xml:space="preserve">Fort des Oliviers </w:t>
            </w:r>
          </w:p>
          <w:p w:rsidR="004C50DC" w:rsidRPr="00B63290" w:rsidRDefault="004C50DC" w:rsidP="004C50DC">
            <w:pPr>
              <w:ind w:firstLine="0"/>
              <w:jc w:val="both"/>
              <w:rPr>
                <w:bCs/>
                <w:sz w:val="20"/>
                <w:szCs w:val="22"/>
              </w:rPr>
            </w:pPr>
            <w:r w:rsidRPr="00B63290">
              <w:rPr>
                <w:bCs/>
                <w:sz w:val="20"/>
                <w:szCs w:val="22"/>
              </w:rPr>
              <w:t>Grand-Fort-Saint-Louis sur une île de la rade</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Nippes</w:t>
            </w:r>
          </w:p>
        </w:tc>
        <w:tc>
          <w:tcPr>
            <w:tcW w:w="2700" w:type="dxa"/>
          </w:tcPr>
          <w:p w:rsidR="004C50DC" w:rsidRPr="00B63290" w:rsidRDefault="004C50DC" w:rsidP="004C50DC">
            <w:pPr>
              <w:ind w:firstLine="0"/>
              <w:jc w:val="both"/>
              <w:rPr>
                <w:bCs/>
                <w:sz w:val="20"/>
                <w:szCs w:val="22"/>
              </w:rPr>
            </w:pPr>
          </w:p>
        </w:tc>
        <w:tc>
          <w:tcPr>
            <w:tcW w:w="3798" w:type="dxa"/>
          </w:tcPr>
          <w:p w:rsidR="004C50DC" w:rsidRPr="00B63290" w:rsidRDefault="004C50DC" w:rsidP="004C50DC">
            <w:pPr>
              <w:ind w:firstLine="0"/>
              <w:jc w:val="both"/>
              <w:rPr>
                <w:bCs/>
                <w:sz w:val="20"/>
                <w:szCs w:val="22"/>
              </w:rPr>
            </w:pPr>
            <w:r w:rsidRPr="00B63290">
              <w:rPr>
                <w:bCs/>
                <w:sz w:val="20"/>
                <w:szCs w:val="22"/>
              </w:rPr>
              <w:t>-------</w:t>
            </w:r>
          </w:p>
        </w:tc>
      </w:tr>
      <w:tr w:rsidR="004C50DC" w:rsidRPr="00E8358C">
        <w:tc>
          <w:tcPr>
            <w:tcW w:w="1638" w:type="dxa"/>
          </w:tcPr>
          <w:p w:rsidR="004C50DC" w:rsidRPr="00B63290" w:rsidRDefault="004C50DC" w:rsidP="004C50DC">
            <w:pPr>
              <w:ind w:firstLine="0"/>
              <w:jc w:val="both"/>
              <w:rPr>
                <w:bCs/>
                <w:sz w:val="20"/>
                <w:szCs w:val="22"/>
              </w:rPr>
            </w:pPr>
            <w:r w:rsidRPr="00B63290">
              <w:rPr>
                <w:bCs/>
                <w:sz w:val="20"/>
                <w:szCs w:val="22"/>
              </w:rPr>
              <w:t>Grand-Anse</w:t>
            </w:r>
          </w:p>
        </w:tc>
        <w:tc>
          <w:tcPr>
            <w:tcW w:w="2700" w:type="dxa"/>
          </w:tcPr>
          <w:p w:rsidR="004C50DC" w:rsidRPr="00B63290" w:rsidRDefault="004C50DC" w:rsidP="004C50DC">
            <w:pPr>
              <w:ind w:firstLine="0"/>
              <w:jc w:val="both"/>
              <w:rPr>
                <w:bCs/>
                <w:sz w:val="20"/>
                <w:szCs w:val="22"/>
              </w:rPr>
            </w:pPr>
          </w:p>
        </w:tc>
        <w:tc>
          <w:tcPr>
            <w:tcW w:w="3798" w:type="dxa"/>
          </w:tcPr>
          <w:p w:rsidR="004C50DC" w:rsidRPr="00B63290" w:rsidRDefault="004C50DC" w:rsidP="004C50DC">
            <w:pPr>
              <w:ind w:firstLine="0"/>
              <w:jc w:val="both"/>
              <w:rPr>
                <w:bCs/>
                <w:sz w:val="20"/>
                <w:szCs w:val="22"/>
              </w:rPr>
            </w:pPr>
            <w:r w:rsidRPr="00B63290">
              <w:rPr>
                <w:bCs/>
                <w:sz w:val="20"/>
                <w:szCs w:val="22"/>
              </w:rPr>
              <w:t>-------</w:t>
            </w:r>
          </w:p>
        </w:tc>
      </w:tr>
    </w:tbl>
    <w:p w:rsidR="004C50DC" w:rsidRDefault="004C50DC" w:rsidP="004C50DC">
      <w:pPr>
        <w:spacing w:before="120" w:after="120"/>
        <w:jc w:val="both"/>
      </w:pPr>
      <w:r>
        <w:br w:type="page"/>
        <w:t>[252]</w:t>
      </w:r>
    </w:p>
    <w:p w:rsidR="004C50DC" w:rsidRPr="00E8358C" w:rsidRDefault="004C50DC" w:rsidP="004C50DC">
      <w:pPr>
        <w:spacing w:before="120" w:after="120"/>
        <w:jc w:val="both"/>
      </w:pPr>
      <w:r w:rsidRPr="00E8358C">
        <w:t>Haïti, après la proclamation officielle de l’indépendance en 1804, devait prendre en compte sa défense. Les fortifications érigées en m</w:t>
      </w:r>
      <w:r w:rsidRPr="00E8358C">
        <w:t>a</w:t>
      </w:r>
      <w:r w:rsidRPr="00E8358C">
        <w:t>jorité le long des zones littorales par les colonisateurs ne pouvaient à elles seules assurer cette défense. La  crainte du retour des troupes e</w:t>
      </w:r>
      <w:r w:rsidRPr="00E8358C">
        <w:t>x</w:t>
      </w:r>
      <w:r w:rsidRPr="00E8358C">
        <w:t>péditionnaires françaises hantait continuellement les nouveaux dir</w:t>
      </w:r>
      <w:r w:rsidRPr="00E8358C">
        <w:t>i</w:t>
      </w:r>
      <w:r w:rsidRPr="00E8358C">
        <w:t xml:space="preserve">geants. La nouvelle Nation se devait de penser, voire de repenser sa stratégie de défense militaire, compte tenu des enjeux de l’heure. La construction de nouvelles fortifications était plus que nécessaire. La capacité à défendre et à s’imposer en tant que première « République noire indépendante » était un nouveau défi pour les élites dirigeantes. L’ennemi commun était identifié. Tout danger devait nécessairement venir de l’extérieur. </w:t>
      </w:r>
    </w:p>
    <w:p w:rsidR="004C50DC" w:rsidRPr="00B63290" w:rsidRDefault="004C50DC" w:rsidP="004C50DC">
      <w:pPr>
        <w:spacing w:before="120" w:after="120"/>
        <w:jc w:val="both"/>
      </w:pPr>
      <w:r w:rsidRPr="00B63290">
        <w:t>Jean-Jacques Dessalines, alors gouverneur-général d’Haïti, dans le but de sauvegarder la  victoire de la liberté sur l’esclavage, a promu</w:t>
      </w:r>
      <w:r w:rsidRPr="00B63290">
        <w:t>l</w:t>
      </w:r>
      <w:r w:rsidRPr="00B63290">
        <w:t>gué un arrêté le 9 avril 1804, dans lequel il donne ses instructions : « Les généraux divisionnaires, commandant les départements, ordo</w:t>
      </w:r>
      <w:r w:rsidRPr="00B63290">
        <w:t>n</w:t>
      </w:r>
      <w:r w:rsidRPr="00B63290">
        <w:t>neront aux généraux de brigade d’élever des forts au sommet des plus hautes montagnes de l’intérieur, et les généraux de brigade feront, de temps en temps, des rapports sur les progrès de leurs travaux »</w:t>
      </w:r>
      <w:r>
        <w:t> </w:t>
      </w:r>
      <w:r w:rsidRPr="00B63290">
        <w:rPr>
          <w:rStyle w:val="Appelnotedebasdep"/>
        </w:rPr>
        <w:footnoteReference w:id="697"/>
      </w:r>
      <w:r w:rsidRPr="00B63290">
        <w:t>. L’indépendance impose de nouvelles façons de faire et de nouvelles zones stratégiques de défense du territoire en s’appuyant sur la con</w:t>
      </w:r>
      <w:r w:rsidRPr="00B63290">
        <w:t>s</w:t>
      </w:r>
      <w:r w:rsidRPr="00B63290">
        <w:t>truction de fortifications à l’intérieur et en renforçant celles déjà con</w:t>
      </w:r>
      <w:r w:rsidRPr="00B63290">
        <w:t>s</w:t>
      </w:r>
      <w:r w:rsidRPr="00B63290">
        <w:t xml:space="preserve">truites le long de la zone littorale. Plus d’une vingtaine d’ouvrages fortifiés ont été construits et sont inventoriés et classés par l’Institut de sauvegarde du patrimoine national. </w:t>
      </w:r>
    </w:p>
    <w:p w:rsidR="004C50DC" w:rsidRPr="00E8358C" w:rsidRDefault="004C50DC" w:rsidP="004C50DC">
      <w:pPr>
        <w:spacing w:before="120" w:after="120"/>
        <w:jc w:val="both"/>
      </w:pPr>
      <w:r w:rsidRPr="00E8358C">
        <w:t>Dans le Nord-Ouest, au courant de l’année 1804, la construction du fort Trois-Pavillons près de Port-de-Paix et des forts du Ralliement et du morne à Cabris dans les mornes au-dessus du Môle-Saint-Nicolas est achevée sous la supervision du général François Capois. Le gén</w:t>
      </w:r>
      <w:r w:rsidRPr="00E8358C">
        <w:t>é</w:t>
      </w:r>
      <w:r w:rsidRPr="00E8358C">
        <w:t>ral Henri Christophe, dans le Nord, s’est chargé d’édifier le fort Rivi</w:t>
      </w:r>
      <w:r w:rsidRPr="00E8358C">
        <w:t>è</w:t>
      </w:r>
      <w:r w:rsidRPr="00E8358C">
        <w:t>re et le fort Neuf au-dessus du bourg de la Grande-Rivière ; le fort Dahomey au-dessus de Camp-Coq, près du Limbé, sur le pic de la Souffrière ; le fort des Bayonnais au-dessus d’Ennery contrôlant la Passe-Reine ; le fort Sans-Quartier, le fort Brave, le fort Jalousière (communément appelé le Redoutable) dans les mornes de Marmel</w:t>
      </w:r>
      <w:r w:rsidRPr="00E8358C">
        <w:t>a</w:t>
      </w:r>
      <w:r w:rsidRPr="00E8358C">
        <w:t>de ; la Citadelle Henri</w:t>
      </w:r>
      <w:r>
        <w:t xml:space="preserve"> [253]</w:t>
      </w:r>
      <w:r w:rsidRPr="00E8358C">
        <w:t xml:space="preserve"> (1804-1820) et les quatre redoutes sur le morne des Ramiers (1811)</w:t>
      </w:r>
      <w:r>
        <w:t> </w:t>
      </w:r>
      <w:r>
        <w:rPr>
          <w:rStyle w:val="Appelnotedebasdep"/>
        </w:rPr>
        <w:footnoteReference w:id="698"/>
      </w:r>
      <w:r w:rsidRPr="00E8358C">
        <w:t xml:space="preserve">. </w:t>
      </w:r>
    </w:p>
    <w:p w:rsidR="004C50DC" w:rsidRPr="00E8358C" w:rsidRDefault="004C50DC" w:rsidP="004C50DC">
      <w:pPr>
        <w:spacing w:before="120" w:after="120"/>
        <w:jc w:val="both"/>
      </w:pPr>
      <w:r w:rsidRPr="00E8358C">
        <w:t>Dans les hauteurs de Saint-Marc fut bâti le fort Béké. Dans les chaînes des Matheux surplombant la plaine de l’Arcahaie sont érigés les forts Delpèche et Drouet (1804). Le fort Drouet (figure 23), con</w:t>
      </w:r>
      <w:r w:rsidRPr="00E8358C">
        <w:t>s</w:t>
      </w:r>
      <w:r w:rsidRPr="00E8358C">
        <w:t>truit sur l’habitation caféière Lamothe, du nom d’un ancien colon français, à mille trois cents mètres d’altitude, présente un plan arch</w:t>
      </w:r>
      <w:r w:rsidRPr="00E8358C">
        <w:t>i</w:t>
      </w:r>
      <w:r w:rsidRPr="00E8358C">
        <w:t>tectural à cinq bastions qui rappelle celui du fort Madame à Ma</w:t>
      </w:r>
      <w:r w:rsidRPr="00E8358C">
        <w:t>r</w:t>
      </w:r>
      <w:r w:rsidRPr="00E8358C">
        <w:t>chand-Dessalines. Ce fort joue le rôle de vigie sur le golfe de la G</w:t>
      </w:r>
      <w:r w:rsidRPr="00E8358C">
        <w:t>ô</w:t>
      </w:r>
      <w:r w:rsidRPr="00E8358C">
        <w:t>nave et la vallée de l’Artibonite. Il permet aussi un contact visuel avec le fort Delpêche (1804) situé un peu plus vers l’ouest dans les mornes dominants Willliamson et Carriès</w:t>
      </w:r>
      <w:r w:rsidRPr="00E8358C">
        <w:rPr>
          <w:rStyle w:val="Appelnotedebasdep"/>
        </w:rPr>
        <w:footnoteReference w:id="699"/>
      </w:r>
      <w:r w:rsidRPr="00E8358C">
        <w:t xml:space="preserve">. </w:t>
      </w:r>
    </w:p>
    <w:p w:rsidR="004C50DC" w:rsidRPr="00E8358C" w:rsidRDefault="004C50DC" w:rsidP="004C50DC">
      <w:pPr>
        <w:spacing w:before="120" w:after="120"/>
        <w:jc w:val="both"/>
        <w:rPr>
          <w:i/>
        </w:rPr>
      </w:pPr>
    </w:p>
    <w:p w:rsidR="004C50DC" w:rsidRPr="00E8358C" w:rsidRDefault="009B614B" w:rsidP="004C50DC">
      <w:pPr>
        <w:pStyle w:val="fig"/>
      </w:pPr>
      <w:r w:rsidRPr="00E8358C">
        <w:rPr>
          <w:noProof/>
          <w:lang w:eastAsia="fr-FR"/>
        </w:rPr>
        <w:drawing>
          <wp:inline distT="0" distB="0" distL="0" distR="0">
            <wp:extent cx="4625975" cy="2087245"/>
            <wp:effectExtent l="25400" t="25400" r="9525" b="8255"/>
            <wp:docPr id="29" name="Image 25" descr="100_0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descr="100_0672"/>
                    <pic:cNvPicPr>
                      <a:picLocks/>
                    </pic:cNvPicPr>
                  </pic:nvPicPr>
                  <pic:blipFill>
                    <a:blip r:embed="rId60">
                      <a:extLst>
                        <a:ext uri="{28A0092B-C50C-407E-A947-70E740481C1C}">
                          <a14:useLocalDpi xmlns:a14="http://schemas.microsoft.com/office/drawing/2010/main" val="0"/>
                        </a:ext>
                      </a:extLst>
                    </a:blip>
                    <a:srcRect t="19756"/>
                    <a:stretch>
                      <a:fillRect/>
                    </a:stretch>
                  </pic:blipFill>
                  <pic:spPr bwMode="auto">
                    <a:xfrm>
                      <a:off x="0" y="0"/>
                      <a:ext cx="4625975" cy="208724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289" w:name="_Toc417146068"/>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290" w:name="Memoire_fig_23"/>
      <w:r w:rsidRPr="00B63290">
        <w:t xml:space="preserve">Figure </w:t>
      </w:r>
      <w:r w:rsidRPr="00B63290">
        <w:fldChar w:fldCharType="begin"/>
      </w:r>
      <w:r w:rsidR="00EF1554">
        <w:instrText>SEQ</w:instrText>
      </w:r>
      <w:r w:rsidRPr="00B63290">
        <w:instrText xml:space="preserve"> Figure \* ARABIC </w:instrText>
      </w:r>
      <w:r w:rsidRPr="00B63290">
        <w:fldChar w:fldCharType="separate"/>
      </w:r>
      <w:r>
        <w:rPr>
          <w:noProof/>
        </w:rPr>
        <w:t>23</w:t>
      </w:r>
      <w:r w:rsidRPr="00B63290">
        <w:fldChar w:fldCharType="end"/>
      </w:r>
      <w:r w:rsidRPr="00B63290">
        <w:t>. Fort Drouet, 1804</w:t>
      </w:r>
      <w:bookmarkEnd w:id="289"/>
      <w:r>
        <w:t xml:space="preserve">. </w:t>
      </w:r>
      <w:r w:rsidRPr="00E8358C">
        <w:rPr>
          <w:szCs w:val="18"/>
        </w:rPr>
        <w:t>Photographie J.-R. Augustin, 2009</w:t>
      </w:r>
    </w:p>
    <w:bookmarkEnd w:id="290"/>
    <w:p w:rsidR="004C50DC" w:rsidRDefault="004C50DC" w:rsidP="004C50DC">
      <w:pPr>
        <w:pStyle w:val="p"/>
      </w:pPr>
      <w:r w:rsidRPr="00E8358C">
        <w:rPr>
          <w:i/>
        </w:rPr>
        <w:br w:type="page"/>
      </w:r>
      <w:r w:rsidRPr="00B63290">
        <w:t>[254]</w:t>
      </w:r>
    </w:p>
    <w:p w:rsidR="004C50DC" w:rsidRPr="00B63290" w:rsidRDefault="004C50DC" w:rsidP="004C50DC">
      <w:pPr>
        <w:spacing w:before="120" w:after="120"/>
        <w:jc w:val="both"/>
      </w:pPr>
    </w:p>
    <w:p w:rsidR="004C50DC" w:rsidRPr="00B63290" w:rsidRDefault="004C50DC" w:rsidP="004C50DC">
      <w:pPr>
        <w:pStyle w:val="suite"/>
      </w:pPr>
      <w:r w:rsidRPr="00B63290">
        <w:t>Carte des fortifications</w:t>
      </w:r>
      <w:r>
        <w:br/>
      </w:r>
      <w:r w:rsidRPr="00B63290">
        <w:t>construites après l’Indépendance d’Haïti (1804)</w:t>
      </w:r>
    </w:p>
    <w:p w:rsidR="004C50DC" w:rsidRPr="00E8358C" w:rsidRDefault="009B614B" w:rsidP="004C50DC">
      <w:pPr>
        <w:spacing w:before="120" w:after="120"/>
        <w:ind w:left="-1530" w:firstLine="0"/>
        <w:jc w:val="both"/>
      </w:pPr>
      <w:r w:rsidRPr="00E8358C">
        <w:rPr>
          <w:noProof/>
          <w:lang w:eastAsia="fr-FR"/>
        </w:rPr>
        <w:drawing>
          <wp:inline distT="0" distB="0" distL="0" distR="0">
            <wp:extent cx="6078220" cy="4711700"/>
            <wp:effectExtent l="0" t="0" r="0" b="0"/>
            <wp:docPr id="30"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8220" cy="4711700"/>
                    </a:xfrm>
                    <a:prstGeom prst="rect">
                      <a:avLst/>
                    </a:prstGeom>
                    <a:noFill/>
                    <a:ln>
                      <a:noFill/>
                    </a:ln>
                  </pic:spPr>
                </pic:pic>
              </a:graphicData>
            </a:graphic>
          </wp:inline>
        </w:drawing>
      </w:r>
    </w:p>
    <w:p w:rsidR="004C50DC" w:rsidRDefault="004C50DC" w:rsidP="004C50DC">
      <w:pPr>
        <w:ind w:right="90" w:firstLine="0"/>
        <w:jc w:val="both"/>
        <w:rPr>
          <w:sz w:val="20"/>
        </w:rPr>
      </w:pPr>
      <w:bookmarkStart w:id="291" w:name="_Toc417146069"/>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bookmarkStart w:id="292" w:name="Memoire_fig_24"/>
      <w:r w:rsidRPr="00E8358C">
        <w:t xml:space="preserve">Figure </w:t>
      </w:r>
      <w:r w:rsidRPr="00E8358C">
        <w:fldChar w:fldCharType="begin"/>
      </w:r>
      <w:r w:rsidR="00EF1554">
        <w:instrText>SEQ</w:instrText>
      </w:r>
      <w:r w:rsidRPr="00E8358C">
        <w:instrText xml:space="preserve"> Figure \* ARABIC </w:instrText>
      </w:r>
      <w:r w:rsidRPr="00E8358C">
        <w:fldChar w:fldCharType="separate"/>
      </w:r>
      <w:r>
        <w:rPr>
          <w:noProof/>
        </w:rPr>
        <w:t>24</w:t>
      </w:r>
      <w:r w:rsidRPr="00E8358C">
        <w:fldChar w:fldCharType="end"/>
      </w:r>
      <w:r w:rsidRPr="00E8358C">
        <w:t>. Carte des fortifications construites après l’Indépendance d’Haïti (1804)</w:t>
      </w:r>
      <w:bookmarkEnd w:id="291"/>
      <w:r>
        <w:t xml:space="preserve">. </w:t>
      </w:r>
      <w:r w:rsidRPr="00E8358C">
        <w:rPr>
          <w:szCs w:val="18"/>
        </w:rPr>
        <w:t>Source : J.-R. Augustin, 2015</w:t>
      </w:r>
    </w:p>
    <w:bookmarkEnd w:id="292"/>
    <w:p w:rsidR="004C50DC" w:rsidRDefault="004C50DC" w:rsidP="004C50DC">
      <w:pPr>
        <w:pStyle w:val="p"/>
      </w:pPr>
      <w:r>
        <w:rPr>
          <w:b/>
        </w:rPr>
        <w:br w:type="page"/>
      </w:r>
      <w:r w:rsidRPr="00B63290">
        <w:t>[255]</w:t>
      </w:r>
    </w:p>
    <w:p w:rsidR="004C50DC" w:rsidRPr="00B63290" w:rsidRDefault="004C50DC" w:rsidP="004C50DC">
      <w:pPr>
        <w:spacing w:before="120" w:after="120"/>
        <w:jc w:val="both"/>
      </w:pPr>
    </w:p>
    <w:p w:rsidR="004C50DC" w:rsidRDefault="004C50DC" w:rsidP="004C50DC">
      <w:pPr>
        <w:pStyle w:val="suite"/>
      </w:pPr>
      <w:r w:rsidRPr="00E8358C">
        <w:t>Tableau interprétatif de la carte des fortifications construites après l’indépendance d’Haïti (1804)</w:t>
      </w:r>
    </w:p>
    <w:p w:rsidR="004C50DC" w:rsidRPr="00E8358C" w:rsidRDefault="004C50DC" w:rsidP="004C50DC">
      <w:pPr>
        <w:pStyle w:val="suit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0"/>
        <w:gridCol w:w="2777"/>
        <w:gridCol w:w="2599"/>
      </w:tblGrid>
      <w:tr w:rsidR="004C50DC" w:rsidRPr="00E8358C">
        <w:tc>
          <w:tcPr>
            <w:tcW w:w="2760" w:type="dxa"/>
          </w:tcPr>
          <w:p w:rsidR="004C50DC" w:rsidRPr="00EA6B47" w:rsidRDefault="004C50DC" w:rsidP="004C50DC">
            <w:pPr>
              <w:ind w:firstLine="0"/>
              <w:jc w:val="both"/>
              <w:rPr>
                <w:bCs/>
                <w:sz w:val="24"/>
              </w:rPr>
            </w:pPr>
            <w:r w:rsidRPr="00EA6B47">
              <w:rPr>
                <w:bCs/>
                <w:sz w:val="24"/>
              </w:rPr>
              <w:t>Département</w:t>
            </w:r>
          </w:p>
        </w:tc>
        <w:tc>
          <w:tcPr>
            <w:tcW w:w="2777" w:type="dxa"/>
          </w:tcPr>
          <w:p w:rsidR="004C50DC" w:rsidRPr="00EA6B47" w:rsidRDefault="004C50DC" w:rsidP="004C50DC">
            <w:pPr>
              <w:ind w:firstLine="0"/>
              <w:jc w:val="both"/>
              <w:rPr>
                <w:bCs/>
                <w:sz w:val="24"/>
              </w:rPr>
            </w:pPr>
            <w:r w:rsidRPr="00EA6B47">
              <w:rPr>
                <w:bCs/>
                <w:sz w:val="24"/>
              </w:rPr>
              <w:t>Ville</w:t>
            </w:r>
          </w:p>
        </w:tc>
        <w:tc>
          <w:tcPr>
            <w:tcW w:w="2599" w:type="dxa"/>
          </w:tcPr>
          <w:p w:rsidR="004C50DC" w:rsidRPr="00EA6B47" w:rsidRDefault="004C50DC" w:rsidP="004C50DC">
            <w:pPr>
              <w:ind w:firstLine="0"/>
              <w:jc w:val="both"/>
              <w:rPr>
                <w:bCs/>
                <w:sz w:val="24"/>
              </w:rPr>
            </w:pPr>
            <w:r w:rsidRPr="00EA6B47">
              <w:rPr>
                <w:bCs/>
                <w:sz w:val="24"/>
              </w:rPr>
              <w:t>Forts</w:t>
            </w:r>
          </w:p>
        </w:tc>
      </w:tr>
      <w:tr w:rsidR="004C50DC" w:rsidRPr="00E8358C">
        <w:tc>
          <w:tcPr>
            <w:tcW w:w="2760" w:type="dxa"/>
          </w:tcPr>
          <w:p w:rsidR="004C50DC" w:rsidRPr="00EA6B47" w:rsidRDefault="004C50DC" w:rsidP="004C50DC">
            <w:pPr>
              <w:ind w:firstLine="0"/>
              <w:jc w:val="both"/>
              <w:rPr>
                <w:bCs/>
                <w:sz w:val="24"/>
              </w:rPr>
            </w:pPr>
            <w:r w:rsidRPr="00EA6B47">
              <w:rPr>
                <w:bCs/>
                <w:sz w:val="24"/>
              </w:rPr>
              <w:t>Nord-Ouest</w:t>
            </w:r>
          </w:p>
        </w:tc>
        <w:tc>
          <w:tcPr>
            <w:tcW w:w="2777" w:type="dxa"/>
          </w:tcPr>
          <w:p w:rsidR="004C50DC" w:rsidRPr="00EA6B47" w:rsidRDefault="004C50DC" w:rsidP="004C50DC">
            <w:pPr>
              <w:ind w:firstLine="0"/>
              <w:jc w:val="both"/>
              <w:rPr>
                <w:sz w:val="24"/>
              </w:rPr>
            </w:pPr>
            <w:r w:rsidRPr="00EA6B47">
              <w:rPr>
                <w:bCs/>
                <w:sz w:val="24"/>
              </w:rPr>
              <w:t>Môle-Saint-Nicolas</w:t>
            </w:r>
          </w:p>
          <w:p w:rsidR="004C50DC" w:rsidRPr="00EA6B47" w:rsidRDefault="004C50DC" w:rsidP="004C50DC">
            <w:pPr>
              <w:ind w:firstLine="0"/>
              <w:jc w:val="both"/>
              <w:rPr>
                <w:bCs/>
                <w:sz w:val="24"/>
              </w:rPr>
            </w:pPr>
            <w:r w:rsidRPr="00EA6B47">
              <w:rPr>
                <w:bCs/>
                <w:sz w:val="24"/>
              </w:rPr>
              <w:t xml:space="preserve">Port-de-Paix </w:t>
            </w:r>
          </w:p>
        </w:tc>
        <w:tc>
          <w:tcPr>
            <w:tcW w:w="2599" w:type="dxa"/>
          </w:tcPr>
          <w:p w:rsidR="004C50DC" w:rsidRPr="00EA6B47" w:rsidRDefault="004C50DC" w:rsidP="004C50DC">
            <w:pPr>
              <w:ind w:firstLine="0"/>
              <w:jc w:val="both"/>
              <w:rPr>
                <w:bCs/>
                <w:sz w:val="24"/>
              </w:rPr>
            </w:pPr>
            <w:r w:rsidRPr="00EA6B47">
              <w:rPr>
                <w:bCs/>
                <w:sz w:val="24"/>
              </w:rPr>
              <w:t>Fort du Ralli</w:t>
            </w:r>
            <w:r w:rsidRPr="00EA6B47">
              <w:rPr>
                <w:bCs/>
                <w:sz w:val="24"/>
              </w:rPr>
              <w:t>e</w:t>
            </w:r>
            <w:r w:rsidRPr="00EA6B47">
              <w:rPr>
                <w:bCs/>
                <w:sz w:val="24"/>
              </w:rPr>
              <w:t xml:space="preserve">ment </w:t>
            </w:r>
          </w:p>
          <w:p w:rsidR="004C50DC" w:rsidRPr="00EA6B47" w:rsidRDefault="004C50DC" w:rsidP="004C50DC">
            <w:pPr>
              <w:ind w:firstLine="0"/>
              <w:jc w:val="both"/>
              <w:rPr>
                <w:bCs/>
                <w:sz w:val="24"/>
              </w:rPr>
            </w:pPr>
            <w:r w:rsidRPr="00EA6B47">
              <w:rPr>
                <w:bCs/>
                <w:sz w:val="24"/>
              </w:rPr>
              <w:t xml:space="preserve">Fort Trois-Pavillons </w:t>
            </w:r>
          </w:p>
        </w:tc>
      </w:tr>
      <w:tr w:rsidR="004C50DC" w:rsidRPr="00E8358C">
        <w:tc>
          <w:tcPr>
            <w:tcW w:w="2760" w:type="dxa"/>
          </w:tcPr>
          <w:p w:rsidR="004C50DC" w:rsidRPr="00EA6B47" w:rsidRDefault="004C50DC" w:rsidP="004C50DC">
            <w:pPr>
              <w:ind w:firstLine="0"/>
              <w:jc w:val="both"/>
              <w:rPr>
                <w:bCs/>
                <w:sz w:val="24"/>
              </w:rPr>
            </w:pPr>
            <w:r w:rsidRPr="00EA6B47">
              <w:rPr>
                <w:bCs/>
                <w:sz w:val="24"/>
              </w:rPr>
              <w:t>Nord-Est</w:t>
            </w:r>
          </w:p>
        </w:tc>
        <w:tc>
          <w:tcPr>
            <w:tcW w:w="2777" w:type="dxa"/>
          </w:tcPr>
          <w:p w:rsidR="004C50DC" w:rsidRPr="00EA6B47" w:rsidRDefault="004C50DC" w:rsidP="004C50DC">
            <w:pPr>
              <w:ind w:firstLine="0"/>
              <w:jc w:val="both"/>
              <w:rPr>
                <w:bCs/>
                <w:sz w:val="24"/>
              </w:rPr>
            </w:pPr>
          </w:p>
        </w:tc>
        <w:tc>
          <w:tcPr>
            <w:tcW w:w="2599" w:type="dxa"/>
          </w:tcPr>
          <w:p w:rsidR="004C50DC" w:rsidRPr="00EA6B47" w:rsidRDefault="004C50DC" w:rsidP="004C50DC">
            <w:pPr>
              <w:ind w:firstLine="0"/>
              <w:jc w:val="both"/>
              <w:rPr>
                <w:bCs/>
                <w:sz w:val="24"/>
              </w:rPr>
            </w:pPr>
          </w:p>
        </w:tc>
      </w:tr>
      <w:tr w:rsidR="004C50DC" w:rsidRPr="00E8358C">
        <w:tc>
          <w:tcPr>
            <w:tcW w:w="2760" w:type="dxa"/>
          </w:tcPr>
          <w:p w:rsidR="004C50DC" w:rsidRPr="00EA6B47" w:rsidRDefault="004C50DC" w:rsidP="004C50DC">
            <w:pPr>
              <w:ind w:firstLine="0"/>
              <w:jc w:val="both"/>
              <w:rPr>
                <w:bCs/>
                <w:sz w:val="24"/>
              </w:rPr>
            </w:pPr>
            <w:r w:rsidRPr="00EA6B47">
              <w:rPr>
                <w:bCs/>
                <w:sz w:val="24"/>
              </w:rPr>
              <w:t>Nord</w:t>
            </w:r>
          </w:p>
        </w:tc>
        <w:tc>
          <w:tcPr>
            <w:tcW w:w="2777" w:type="dxa"/>
          </w:tcPr>
          <w:p w:rsidR="004C50DC" w:rsidRPr="00EA6B47" w:rsidRDefault="004C50DC" w:rsidP="004C50DC">
            <w:pPr>
              <w:ind w:firstLine="0"/>
              <w:jc w:val="both"/>
              <w:rPr>
                <w:bCs/>
                <w:sz w:val="24"/>
              </w:rPr>
            </w:pPr>
            <w:r w:rsidRPr="00EA6B47">
              <w:rPr>
                <w:bCs/>
                <w:sz w:val="24"/>
              </w:rPr>
              <w:t>Camp-Coq  (Li</w:t>
            </w:r>
            <w:r w:rsidRPr="00EA6B47">
              <w:rPr>
                <w:bCs/>
                <w:sz w:val="24"/>
              </w:rPr>
              <w:t>m</w:t>
            </w:r>
            <w:r w:rsidRPr="00EA6B47">
              <w:rPr>
                <w:bCs/>
                <w:sz w:val="24"/>
              </w:rPr>
              <w:t xml:space="preserve">bé) </w:t>
            </w:r>
          </w:p>
          <w:p w:rsidR="004C50DC" w:rsidRPr="00EA6B47" w:rsidRDefault="004C50DC" w:rsidP="004C50DC">
            <w:pPr>
              <w:ind w:firstLine="0"/>
              <w:jc w:val="both"/>
              <w:rPr>
                <w:bCs/>
                <w:sz w:val="24"/>
              </w:rPr>
            </w:pPr>
            <w:r w:rsidRPr="00EA6B47">
              <w:rPr>
                <w:bCs/>
                <w:sz w:val="24"/>
              </w:rPr>
              <w:t>Milot</w:t>
            </w:r>
          </w:p>
          <w:p w:rsidR="004C50DC" w:rsidRPr="00EA6B47" w:rsidRDefault="004C50DC" w:rsidP="004C50DC">
            <w:pPr>
              <w:ind w:firstLine="0"/>
              <w:jc w:val="both"/>
              <w:rPr>
                <w:bCs/>
                <w:sz w:val="24"/>
              </w:rPr>
            </w:pPr>
            <w:r w:rsidRPr="00EA6B47">
              <w:rPr>
                <w:bCs/>
                <w:sz w:val="24"/>
              </w:rPr>
              <w:t>Grande-Rivière du Nord</w:t>
            </w:r>
          </w:p>
        </w:tc>
        <w:tc>
          <w:tcPr>
            <w:tcW w:w="2599" w:type="dxa"/>
          </w:tcPr>
          <w:p w:rsidR="004C50DC" w:rsidRPr="00EA6B47" w:rsidRDefault="004C50DC" w:rsidP="004C50DC">
            <w:pPr>
              <w:ind w:firstLine="0"/>
              <w:jc w:val="both"/>
              <w:rPr>
                <w:bCs/>
                <w:sz w:val="24"/>
              </w:rPr>
            </w:pPr>
            <w:r w:rsidRPr="00EA6B47">
              <w:rPr>
                <w:bCs/>
                <w:sz w:val="24"/>
              </w:rPr>
              <w:t>Fort Dahomey</w:t>
            </w:r>
          </w:p>
          <w:p w:rsidR="004C50DC" w:rsidRPr="00EA6B47" w:rsidRDefault="004C50DC" w:rsidP="004C50DC">
            <w:pPr>
              <w:ind w:firstLine="0"/>
              <w:jc w:val="both"/>
              <w:rPr>
                <w:bCs/>
                <w:sz w:val="24"/>
              </w:rPr>
            </w:pPr>
            <w:r w:rsidRPr="00EA6B47">
              <w:rPr>
                <w:bCs/>
                <w:sz w:val="24"/>
              </w:rPr>
              <w:t xml:space="preserve"> La Citadelle Henri </w:t>
            </w:r>
          </w:p>
          <w:p w:rsidR="004C50DC" w:rsidRPr="00EA6B47" w:rsidRDefault="004C50DC" w:rsidP="004C50DC">
            <w:pPr>
              <w:ind w:firstLine="0"/>
              <w:jc w:val="both"/>
              <w:rPr>
                <w:bCs/>
                <w:sz w:val="24"/>
              </w:rPr>
            </w:pPr>
            <w:r w:rsidRPr="00EA6B47">
              <w:rPr>
                <w:bCs/>
                <w:sz w:val="24"/>
              </w:rPr>
              <w:t>Quatre redoutes sur le morne des Ramiers</w:t>
            </w:r>
          </w:p>
          <w:p w:rsidR="004C50DC" w:rsidRPr="00EA6B47" w:rsidRDefault="004C50DC" w:rsidP="004C50DC">
            <w:pPr>
              <w:ind w:firstLine="0"/>
              <w:jc w:val="both"/>
              <w:rPr>
                <w:bCs/>
                <w:sz w:val="24"/>
              </w:rPr>
            </w:pPr>
            <w:r w:rsidRPr="00EA6B47">
              <w:rPr>
                <w:bCs/>
                <w:sz w:val="24"/>
              </w:rPr>
              <w:t xml:space="preserve"> Fort Rivière </w:t>
            </w:r>
          </w:p>
          <w:p w:rsidR="004C50DC" w:rsidRPr="00EA6B47" w:rsidRDefault="004C50DC" w:rsidP="004C50DC">
            <w:pPr>
              <w:ind w:firstLine="0"/>
              <w:jc w:val="both"/>
              <w:rPr>
                <w:bCs/>
                <w:sz w:val="24"/>
              </w:rPr>
            </w:pPr>
            <w:r w:rsidRPr="00EA6B47">
              <w:rPr>
                <w:bCs/>
                <w:sz w:val="24"/>
              </w:rPr>
              <w:t>Fort Neuf</w:t>
            </w:r>
          </w:p>
        </w:tc>
      </w:tr>
      <w:tr w:rsidR="004C50DC" w:rsidRPr="00E8358C">
        <w:tc>
          <w:tcPr>
            <w:tcW w:w="2760" w:type="dxa"/>
          </w:tcPr>
          <w:p w:rsidR="004C50DC" w:rsidRPr="00EA6B47" w:rsidRDefault="004C50DC" w:rsidP="004C50DC">
            <w:pPr>
              <w:ind w:firstLine="0"/>
              <w:jc w:val="both"/>
              <w:rPr>
                <w:bCs/>
                <w:sz w:val="24"/>
              </w:rPr>
            </w:pPr>
            <w:r w:rsidRPr="00EA6B47">
              <w:rPr>
                <w:bCs/>
                <w:sz w:val="24"/>
              </w:rPr>
              <w:t>Artibonite</w:t>
            </w:r>
          </w:p>
        </w:tc>
        <w:tc>
          <w:tcPr>
            <w:tcW w:w="2777" w:type="dxa"/>
          </w:tcPr>
          <w:p w:rsidR="004C50DC" w:rsidRPr="00EA6B47" w:rsidRDefault="004C50DC" w:rsidP="004C50DC">
            <w:pPr>
              <w:ind w:firstLine="0"/>
              <w:jc w:val="both"/>
              <w:rPr>
                <w:bCs/>
                <w:sz w:val="24"/>
              </w:rPr>
            </w:pPr>
            <w:r w:rsidRPr="00EA6B47">
              <w:rPr>
                <w:bCs/>
                <w:sz w:val="24"/>
              </w:rPr>
              <w:t xml:space="preserve">Ennery </w:t>
            </w:r>
          </w:p>
          <w:p w:rsidR="004C50DC" w:rsidRPr="00EA6B47" w:rsidRDefault="004C50DC" w:rsidP="004C50DC">
            <w:pPr>
              <w:ind w:firstLine="0"/>
              <w:jc w:val="both"/>
              <w:rPr>
                <w:bCs/>
                <w:sz w:val="24"/>
              </w:rPr>
            </w:pPr>
            <w:r w:rsidRPr="00EA6B47">
              <w:rPr>
                <w:bCs/>
                <w:sz w:val="24"/>
              </w:rPr>
              <w:t>Marmelade</w:t>
            </w:r>
          </w:p>
          <w:p w:rsidR="004C50DC" w:rsidRPr="00EA6B47" w:rsidRDefault="004C50DC" w:rsidP="004C50DC">
            <w:pPr>
              <w:ind w:firstLine="0"/>
              <w:jc w:val="both"/>
              <w:rPr>
                <w:bCs/>
                <w:sz w:val="24"/>
              </w:rPr>
            </w:pPr>
            <w:r w:rsidRPr="00EA6B47">
              <w:rPr>
                <w:bCs/>
                <w:sz w:val="24"/>
              </w:rPr>
              <w:t xml:space="preserve">Dessalines </w:t>
            </w:r>
          </w:p>
          <w:p w:rsidR="004C50DC" w:rsidRPr="00EA6B47" w:rsidRDefault="004C50DC" w:rsidP="004C50DC">
            <w:pPr>
              <w:ind w:firstLine="0"/>
              <w:jc w:val="both"/>
              <w:rPr>
                <w:bCs/>
                <w:sz w:val="24"/>
              </w:rPr>
            </w:pPr>
          </w:p>
          <w:p w:rsidR="004C50DC" w:rsidRPr="00EA6B47" w:rsidRDefault="004C50DC" w:rsidP="004C50DC">
            <w:pPr>
              <w:ind w:firstLine="0"/>
              <w:jc w:val="both"/>
              <w:rPr>
                <w:bCs/>
                <w:sz w:val="24"/>
              </w:rPr>
            </w:pPr>
            <w:r w:rsidRPr="00EA6B47">
              <w:rPr>
                <w:bCs/>
                <w:sz w:val="24"/>
              </w:rPr>
              <w:t>Saint-Marc</w:t>
            </w:r>
          </w:p>
        </w:tc>
        <w:tc>
          <w:tcPr>
            <w:tcW w:w="2599" w:type="dxa"/>
          </w:tcPr>
          <w:p w:rsidR="004C50DC" w:rsidRPr="00EA6B47" w:rsidRDefault="004C50DC" w:rsidP="004C50DC">
            <w:pPr>
              <w:ind w:firstLine="0"/>
              <w:jc w:val="both"/>
              <w:rPr>
                <w:bCs/>
                <w:sz w:val="24"/>
              </w:rPr>
            </w:pPr>
            <w:r w:rsidRPr="00EA6B47">
              <w:rPr>
                <w:bCs/>
                <w:sz w:val="24"/>
              </w:rPr>
              <w:t>Fort des Bayo</w:t>
            </w:r>
            <w:r w:rsidRPr="00EA6B47">
              <w:rPr>
                <w:bCs/>
                <w:sz w:val="24"/>
              </w:rPr>
              <w:t>n</w:t>
            </w:r>
            <w:r w:rsidRPr="00EA6B47">
              <w:rPr>
                <w:bCs/>
                <w:sz w:val="24"/>
              </w:rPr>
              <w:t>nais</w:t>
            </w:r>
          </w:p>
          <w:p w:rsidR="004C50DC" w:rsidRPr="00EA6B47" w:rsidRDefault="004C50DC" w:rsidP="004C50DC">
            <w:pPr>
              <w:ind w:firstLine="0"/>
              <w:jc w:val="both"/>
              <w:rPr>
                <w:bCs/>
                <w:sz w:val="24"/>
              </w:rPr>
            </w:pPr>
            <w:r w:rsidRPr="00EA6B47">
              <w:rPr>
                <w:bCs/>
                <w:sz w:val="24"/>
              </w:rPr>
              <w:t xml:space="preserve">Fort Sans-Quartier, </w:t>
            </w:r>
          </w:p>
          <w:p w:rsidR="004C50DC" w:rsidRPr="00EA6B47" w:rsidRDefault="004C50DC" w:rsidP="004C50DC">
            <w:pPr>
              <w:ind w:firstLine="0"/>
              <w:jc w:val="both"/>
              <w:rPr>
                <w:bCs/>
                <w:sz w:val="24"/>
              </w:rPr>
            </w:pPr>
            <w:r w:rsidRPr="00EA6B47">
              <w:rPr>
                <w:bCs/>
                <w:sz w:val="24"/>
              </w:rPr>
              <w:t>Fort Brave</w:t>
            </w:r>
          </w:p>
          <w:p w:rsidR="004C50DC" w:rsidRPr="00EA6B47" w:rsidRDefault="004C50DC" w:rsidP="004C50DC">
            <w:pPr>
              <w:ind w:firstLine="0"/>
              <w:jc w:val="both"/>
              <w:rPr>
                <w:bCs/>
                <w:sz w:val="24"/>
              </w:rPr>
            </w:pPr>
            <w:r w:rsidRPr="00EA6B47">
              <w:rPr>
                <w:bCs/>
                <w:sz w:val="24"/>
              </w:rPr>
              <w:t>Fort Jalousière</w:t>
            </w:r>
          </w:p>
          <w:p w:rsidR="004C50DC" w:rsidRPr="00EA6B47" w:rsidRDefault="004C50DC" w:rsidP="004C50DC">
            <w:pPr>
              <w:ind w:firstLine="0"/>
              <w:jc w:val="both"/>
              <w:rPr>
                <w:bCs/>
                <w:sz w:val="24"/>
              </w:rPr>
            </w:pPr>
            <w:r w:rsidRPr="00EA6B47">
              <w:rPr>
                <w:bCs/>
                <w:sz w:val="24"/>
              </w:rPr>
              <w:t>Fort Décidé,</w:t>
            </w:r>
          </w:p>
          <w:p w:rsidR="004C50DC" w:rsidRPr="00EA6B47" w:rsidRDefault="004C50DC" w:rsidP="004C50DC">
            <w:pPr>
              <w:ind w:firstLine="0"/>
              <w:jc w:val="both"/>
              <w:rPr>
                <w:bCs/>
                <w:sz w:val="24"/>
              </w:rPr>
            </w:pPr>
            <w:r w:rsidRPr="00EA6B47">
              <w:rPr>
                <w:bCs/>
                <w:sz w:val="24"/>
              </w:rPr>
              <w:t>Fort Innocent,</w:t>
            </w:r>
          </w:p>
          <w:p w:rsidR="004C50DC" w:rsidRPr="00EA6B47" w:rsidRDefault="004C50DC" w:rsidP="004C50DC">
            <w:pPr>
              <w:ind w:firstLine="0"/>
              <w:jc w:val="both"/>
              <w:rPr>
                <w:bCs/>
                <w:sz w:val="24"/>
              </w:rPr>
            </w:pPr>
            <w:r w:rsidRPr="00EA6B47">
              <w:rPr>
                <w:bCs/>
                <w:sz w:val="24"/>
              </w:rPr>
              <w:t>Fort Madame,</w:t>
            </w:r>
          </w:p>
          <w:p w:rsidR="004C50DC" w:rsidRPr="00EA6B47" w:rsidRDefault="004C50DC" w:rsidP="004C50DC">
            <w:pPr>
              <w:ind w:firstLine="0"/>
              <w:jc w:val="both"/>
              <w:rPr>
                <w:bCs/>
                <w:sz w:val="24"/>
              </w:rPr>
            </w:pPr>
            <w:r w:rsidRPr="00EA6B47">
              <w:rPr>
                <w:bCs/>
                <w:sz w:val="24"/>
              </w:rPr>
              <w:t xml:space="preserve">Fort Doko </w:t>
            </w:r>
          </w:p>
          <w:p w:rsidR="004C50DC" w:rsidRPr="00EA6B47" w:rsidRDefault="004C50DC" w:rsidP="004C50DC">
            <w:pPr>
              <w:ind w:firstLine="0"/>
              <w:jc w:val="both"/>
              <w:rPr>
                <w:bCs/>
                <w:sz w:val="24"/>
              </w:rPr>
            </w:pPr>
            <w:r w:rsidRPr="00EA6B47">
              <w:rPr>
                <w:bCs/>
                <w:sz w:val="24"/>
              </w:rPr>
              <w:t xml:space="preserve">Fort Fin-du-Monde </w:t>
            </w:r>
          </w:p>
          <w:p w:rsidR="004C50DC" w:rsidRPr="00EA6B47" w:rsidRDefault="004C50DC" w:rsidP="004C50DC">
            <w:pPr>
              <w:ind w:firstLine="0"/>
              <w:jc w:val="both"/>
              <w:rPr>
                <w:bCs/>
                <w:sz w:val="24"/>
              </w:rPr>
            </w:pPr>
            <w:r w:rsidRPr="00EA6B47">
              <w:rPr>
                <w:bCs/>
                <w:sz w:val="24"/>
              </w:rPr>
              <w:t xml:space="preserve">Fort Béké </w:t>
            </w:r>
          </w:p>
        </w:tc>
      </w:tr>
      <w:tr w:rsidR="004C50DC" w:rsidRPr="00B63290">
        <w:tc>
          <w:tcPr>
            <w:tcW w:w="2760" w:type="dxa"/>
          </w:tcPr>
          <w:p w:rsidR="004C50DC" w:rsidRPr="00EA6B47" w:rsidRDefault="004C50DC" w:rsidP="004C50DC">
            <w:pPr>
              <w:ind w:firstLine="0"/>
              <w:jc w:val="both"/>
              <w:rPr>
                <w:bCs/>
                <w:sz w:val="24"/>
              </w:rPr>
            </w:pPr>
            <w:r w:rsidRPr="00EA6B47">
              <w:rPr>
                <w:bCs/>
                <w:sz w:val="24"/>
              </w:rPr>
              <w:t>Centre</w:t>
            </w:r>
          </w:p>
        </w:tc>
        <w:tc>
          <w:tcPr>
            <w:tcW w:w="2777" w:type="dxa"/>
          </w:tcPr>
          <w:p w:rsidR="004C50DC" w:rsidRPr="00EA6B47" w:rsidRDefault="004C50DC" w:rsidP="004C50DC">
            <w:pPr>
              <w:ind w:firstLine="0"/>
              <w:jc w:val="both"/>
              <w:rPr>
                <w:bCs/>
                <w:sz w:val="24"/>
              </w:rPr>
            </w:pPr>
            <w:r w:rsidRPr="00EA6B47">
              <w:rPr>
                <w:bCs/>
                <w:sz w:val="24"/>
              </w:rPr>
              <w:t>Thomassique</w:t>
            </w:r>
          </w:p>
          <w:p w:rsidR="004C50DC" w:rsidRPr="00EA6B47" w:rsidRDefault="004C50DC" w:rsidP="004C50DC">
            <w:pPr>
              <w:ind w:firstLine="0"/>
              <w:jc w:val="both"/>
              <w:rPr>
                <w:bCs/>
                <w:sz w:val="24"/>
              </w:rPr>
            </w:pPr>
            <w:r w:rsidRPr="00EA6B47">
              <w:rPr>
                <w:bCs/>
                <w:sz w:val="24"/>
              </w:rPr>
              <w:t>Lascahobas</w:t>
            </w:r>
          </w:p>
        </w:tc>
        <w:tc>
          <w:tcPr>
            <w:tcW w:w="2599" w:type="dxa"/>
          </w:tcPr>
          <w:p w:rsidR="004C50DC" w:rsidRPr="00EA6B47" w:rsidRDefault="004C50DC" w:rsidP="004C50DC">
            <w:pPr>
              <w:ind w:firstLine="0"/>
              <w:jc w:val="both"/>
              <w:rPr>
                <w:bCs/>
                <w:sz w:val="24"/>
              </w:rPr>
            </w:pPr>
            <w:r w:rsidRPr="00EA6B47">
              <w:rPr>
                <w:bCs/>
                <w:sz w:val="24"/>
              </w:rPr>
              <w:t xml:space="preserve">Fort Biassou </w:t>
            </w:r>
          </w:p>
          <w:p w:rsidR="004C50DC" w:rsidRPr="00EA6B47" w:rsidRDefault="004C50DC" w:rsidP="004C50DC">
            <w:pPr>
              <w:ind w:firstLine="0"/>
              <w:jc w:val="both"/>
              <w:rPr>
                <w:bCs/>
                <w:sz w:val="24"/>
              </w:rPr>
            </w:pPr>
            <w:r w:rsidRPr="00EA6B47">
              <w:rPr>
                <w:bCs/>
                <w:sz w:val="24"/>
              </w:rPr>
              <w:t>Fort Cachiman</w:t>
            </w:r>
          </w:p>
        </w:tc>
      </w:tr>
      <w:tr w:rsidR="004C50DC" w:rsidRPr="00E8358C">
        <w:tc>
          <w:tcPr>
            <w:tcW w:w="2760" w:type="dxa"/>
          </w:tcPr>
          <w:p w:rsidR="004C50DC" w:rsidRPr="00EA6B47" w:rsidRDefault="004C50DC" w:rsidP="004C50DC">
            <w:pPr>
              <w:ind w:firstLine="0"/>
              <w:jc w:val="both"/>
              <w:rPr>
                <w:bCs/>
                <w:sz w:val="24"/>
              </w:rPr>
            </w:pPr>
            <w:r w:rsidRPr="00EA6B47">
              <w:rPr>
                <w:bCs/>
                <w:sz w:val="24"/>
              </w:rPr>
              <w:t>Ouest</w:t>
            </w:r>
          </w:p>
        </w:tc>
        <w:tc>
          <w:tcPr>
            <w:tcW w:w="2777" w:type="dxa"/>
          </w:tcPr>
          <w:p w:rsidR="004C50DC" w:rsidRPr="00EA6B47" w:rsidRDefault="004C50DC" w:rsidP="004C50DC">
            <w:pPr>
              <w:ind w:firstLine="0"/>
              <w:jc w:val="both"/>
              <w:rPr>
                <w:sz w:val="24"/>
              </w:rPr>
            </w:pPr>
            <w:r w:rsidRPr="00EA6B47">
              <w:rPr>
                <w:sz w:val="24"/>
              </w:rPr>
              <w:t>Arcahaie (Chaîne des M</w:t>
            </w:r>
            <w:r w:rsidRPr="00EA6B47">
              <w:rPr>
                <w:sz w:val="24"/>
              </w:rPr>
              <w:t>a</w:t>
            </w:r>
            <w:r w:rsidRPr="00EA6B47">
              <w:rPr>
                <w:sz w:val="24"/>
              </w:rPr>
              <w:t>theux)</w:t>
            </w:r>
          </w:p>
          <w:p w:rsidR="004C50DC" w:rsidRPr="00EA6B47" w:rsidRDefault="004C50DC" w:rsidP="004C50DC">
            <w:pPr>
              <w:ind w:firstLine="0"/>
              <w:jc w:val="both"/>
              <w:rPr>
                <w:sz w:val="24"/>
              </w:rPr>
            </w:pPr>
            <w:r w:rsidRPr="00EA6B47">
              <w:rPr>
                <w:sz w:val="24"/>
              </w:rPr>
              <w:t>Pétion-Ville (Ken</w:t>
            </w:r>
            <w:r w:rsidRPr="00EA6B47">
              <w:rPr>
                <w:sz w:val="24"/>
              </w:rPr>
              <w:t>s</w:t>
            </w:r>
            <w:r w:rsidRPr="00EA6B47">
              <w:rPr>
                <w:sz w:val="24"/>
              </w:rPr>
              <w:t xml:space="preserve">koff) </w:t>
            </w:r>
          </w:p>
          <w:p w:rsidR="004C50DC" w:rsidRPr="00EA6B47" w:rsidRDefault="004C50DC" w:rsidP="004C50DC">
            <w:pPr>
              <w:ind w:firstLine="0"/>
              <w:jc w:val="both"/>
              <w:rPr>
                <w:sz w:val="24"/>
              </w:rPr>
            </w:pPr>
          </w:p>
          <w:p w:rsidR="004C50DC" w:rsidRPr="00EA6B47" w:rsidRDefault="004C50DC" w:rsidP="004C50DC">
            <w:pPr>
              <w:ind w:firstLine="0"/>
              <w:jc w:val="both"/>
              <w:rPr>
                <w:sz w:val="24"/>
              </w:rPr>
            </w:pPr>
            <w:r w:rsidRPr="00EA6B47">
              <w:rPr>
                <w:sz w:val="24"/>
              </w:rPr>
              <w:t xml:space="preserve">Léogâne </w:t>
            </w:r>
          </w:p>
          <w:p w:rsidR="004C50DC" w:rsidRPr="00EA6B47" w:rsidRDefault="004C50DC" w:rsidP="004C50DC">
            <w:pPr>
              <w:ind w:firstLine="0"/>
              <w:jc w:val="both"/>
              <w:rPr>
                <w:sz w:val="24"/>
              </w:rPr>
            </w:pPr>
            <w:r w:rsidRPr="00EA6B47">
              <w:rPr>
                <w:sz w:val="24"/>
              </w:rPr>
              <w:t xml:space="preserve">Petit-Goâve </w:t>
            </w:r>
          </w:p>
        </w:tc>
        <w:tc>
          <w:tcPr>
            <w:tcW w:w="2599" w:type="dxa"/>
          </w:tcPr>
          <w:p w:rsidR="004C50DC" w:rsidRPr="00EA6B47" w:rsidRDefault="004C50DC" w:rsidP="004C50DC">
            <w:pPr>
              <w:ind w:firstLine="0"/>
              <w:jc w:val="both"/>
              <w:rPr>
                <w:bCs/>
                <w:sz w:val="24"/>
              </w:rPr>
            </w:pPr>
            <w:r w:rsidRPr="00EA6B47">
              <w:rPr>
                <w:bCs/>
                <w:sz w:val="24"/>
              </w:rPr>
              <w:t>Fort Delpèche</w:t>
            </w:r>
          </w:p>
          <w:p w:rsidR="004C50DC" w:rsidRPr="00EA6B47" w:rsidRDefault="004C50DC" w:rsidP="004C50DC">
            <w:pPr>
              <w:ind w:firstLine="0"/>
              <w:jc w:val="both"/>
              <w:rPr>
                <w:bCs/>
                <w:sz w:val="24"/>
              </w:rPr>
            </w:pPr>
            <w:r w:rsidRPr="00EA6B47">
              <w:rPr>
                <w:bCs/>
                <w:sz w:val="24"/>
              </w:rPr>
              <w:t>Fort Drouet</w:t>
            </w:r>
          </w:p>
          <w:p w:rsidR="004C50DC" w:rsidRPr="00EA6B47" w:rsidRDefault="004C50DC" w:rsidP="004C50DC">
            <w:pPr>
              <w:ind w:firstLine="0"/>
              <w:jc w:val="both"/>
              <w:rPr>
                <w:bCs/>
                <w:sz w:val="24"/>
              </w:rPr>
            </w:pPr>
            <w:r w:rsidRPr="00EA6B47">
              <w:rPr>
                <w:bCs/>
                <w:sz w:val="24"/>
              </w:rPr>
              <w:t xml:space="preserve">Fort Jacques </w:t>
            </w:r>
          </w:p>
          <w:p w:rsidR="004C50DC" w:rsidRPr="00EA6B47" w:rsidRDefault="004C50DC" w:rsidP="004C50DC">
            <w:pPr>
              <w:ind w:firstLine="0"/>
              <w:jc w:val="both"/>
              <w:rPr>
                <w:bCs/>
                <w:sz w:val="24"/>
              </w:rPr>
            </w:pPr>
            <w:r w:rsidRPr="00EA6B47">
              <w:rPr>
                <w:bCs/>
                <w:sz w:val="24"/>
              </w:rPr>
              <w:t xml:space="preserve">Fort Alexandre </w:t>
            </w:r>
          </w:p>
          <w:p w:rsidR="004C50DC" w:rsidRPr="00EA6B47" w:rsidRDefault="004C50DC" w:rsidP="004C50DC">
            <w:pPr>
              <w:ind w:firstLine="0"/>
              <w:jc w:val="both"/>
              <w:rPr>
                <w:bCs/>
                <w:sz w:val="24"/>
              </w:rPr>
            </w:pPr>
            <w:r w:rsidRPr="00EA6B47">
              <w:rPr>
                <w:bCs/>
                <w:sz w:val="24"/>
              </w:rPr>
              <w:t xml:space="preserve">Le fort Campan </w:t>
            </w:r>
          </w:p>
          <w:p w:rsidR="004C50DC" w:rsidRPr="00EA6B47" w:rsidRDefault="004C50DC" w:rsidP="004C50DC">
            <w:pPr>
              <w:ind w:firstLine="0"/>
              <w:jc w:val="both"/>
              <w:rPr>
                <w:bCs/>
                <w:sz w:val="24"/>
              </w:rPr>
            </w:pPr>
            <w:r w:rsidRPr="00EA6B47">
              <w:rPr>
                <w:bCs/>
                <w:sz w:val="24"/>
              </w:rPr>
              <w:t>Fort Garit</w:t>
            </w:r>
          </w:p>
        </w:tc>
      </w:tr>
      <w:tr w:rsidR="004C50DC" w:rsidRPr="00E8358C">
        <w:tc>
          <w:tcPr>
            <w:tcW w:w="2760" w:type="dxa"/>
          </w:tcPr>
          <w:p w:rsidR="004C50DC" w:rsidRPr="00EA6B47" w:rsidRDefault="004C50DC" w:rsidP="004C50DC">
            <w:pPr>
              <w:ind w:firstLine="0"/>
              <w:jc w:val="both"/>
              <w:rPr>
                <w:bCs/>
                <w:sz w:val="24"/>
              </w:rPr>
            </w:pPr>
            <w:r w:rsidRPr="00EA6B47">
              <w:rPr>
                <w:bCs/>
                <w:sz w:val="24"/>
              </w:rPr>
              <w:t>Sud-Est</w:t>
            </w:r>
          </w:p>
        </w:tc>
        <w:tc>
          <w:tcPr>
            <w:tcW w:w="2777" w:type="dxa"/>
          </w:tcPr>
          <w:p w:rsidR="004C50DC" w:rsidRPr="00EA6B47" w:rsidRDefault="004C50DC" w:rsidP="004C50DC">
            <w:pPr>
              <w:ind w:firstLine="0"/>
              <w:jc w:val="both"/>
              <w:rPr>
                <w:bCs/>
                <w:sz w:val="24"/>
              </w:rPr>
            </w:pPr>
            <w:r w:rsidRPr="00EA6B47">
              <w:rPr>
                <w:bCs/>
                <w:sz w:val="24"/>
              </w:rPr>
              <w:t>Jacmel</w:t>
            </w:r>
          </w:p>
        </w:tc>
        <w:tc>
          <w:tcPr>
            <w:tcW w:w="2599" w:type="dxa"/>
          </w:tcPr>
          <w:p w:rsidR="004C50DC" w:rsidRPr="00EA6B47" w:rsidRDefault="004C50DC" w:rsidP="004C50DC">
            <w:pPr>
              <w:ind w:firstLine="0"/>
              <w:jc w:val="both"/>
              <w:rPr>
                <w:bCs/>
                <w:sz w:val="24"/>
              </w:rPr>
            </w:pPr>
            <w:r w:rsidRPr="00EA6B47">
              <w:rPr>
                <w:bCs/>
                <w:sz w:val="24"/>
              </w:rPr>
              <w:t xml:space="preserve">Fort Ogé </w:t>
            </w:r>
          </w:p>
        </w:tc>
      </w:tr>
      <w:tr w:rsidR="004C50DC" w:rsidRPr="00E8358C">
        <w:tc>
          <w:tcPr>
            <w:tcW w:w="2760" w:type="dxa"/>
          </w:tcPr>
          <w:p w:rsidR="004C50DC" w:rsidRPr="00EA6B47" w:rsidRDefault="004C50DC" w:rsidP="004C50DC">
            <w:pPr>
              <w:ind w:firstLine="0"/>
              <w:jc w:val="both"/>
              <w:rPr>
                <w:bCs/>
                <w:sz w:val="24"/>
              </w:rPr>
            </w:pPr>
            <w:r w:rsidRPr="00EA6B47">
              <w:rPr>
                <w:bCs/>
                <w:sz w:val="24"/>
              </w:rPr>
              <w:t>Nippes</w:t>
            </w:r>
          </w:p>
        </w:tc>
        <w:tc>
          <w:tcPr>
            <w:tcW w:w="2777" w:type="dxa"/>
          </w:tcPr>
          <w:p w:rsidR="004C50DC" w:rsidRPr="00EA6B47" w:rsidRDefault="004C50DC" w:rsidP="004C50DC">
            <w:pPr>
              <w:ind w:firstLine="0"/>
              <w:jc w:val="both"/>
              <w:rPr>
                <w:bCs/>
                <w:sz w:val="24"/>
              </w:rPr>
            </w:pPr>
            <w:r w:rsidRPr="00EA6B47">
              <w:rPr>
                <w:bCs/>
                <w:sz w:val="24"/>
              </w:rPr>
              <w:t xml:space="preserve">Anse-à-Veau </w:t>
            </w:r>
          </w:p>
        </w:tc>
        <w:tc>
          <w:tcPr>
            <w:tcW w:w="2599" w:type="dxa"/>
          </w:tcPr>
          <w:p w:rsidR="004C50DC" w:rsidRPr="00EA6B47" w:rsidRDefault="004C50DC" w:rsidP="004C50DC">
            <w:pPr>
              <w:ind w:firstLine="0"/>
              <w:jc w:val="both"/>
              <w:rPr>
                <w:bCs/>
                <w:sz w:val="24"/>
              </w:rPr>
            </w:pPr>
            <w:r w:rsidRPr="00EA6B47">
              <w:rPr>
                <w:bCs/>
                <w:sz w:val="24"/>
              </w:rPr>
              <w:t>Fort Desbois</w:t>
            </w:r>
          </w:p>
        </w:tc>
      </w:tr>
      <w:tr w:rsidR="004C50DC" w:rsidRPr="00E8358C">
        <w:tc>
          <w:tcPr>
            <w:tcW w:w="2760" w:type="dxa"/>
          </w:tcPr>
          <w:p w:rsidR="004C50DC" w:rsidRPr="00EA6B47" w:rsidRDefault="004C50DC" w:rsidP="004C50DC">
            <w:pPr>
              <w:ind w:firstLine="0"/>
              <w:jc w:val="both"/>
              <w:rPr>
                <w:bCs/>
                <w:sz w:val="24"/>
              </w:rPr>
            </w:pPr>
            <w:r w:rsidRPr="00EA6B47">
              <w:rPr>
                <w:bCs/>
                <w:sz w:val="24"/>
              </w:rPr>
              <w:t xml:space="preserve">Sud </w:t>
            </w:r>
          </w:p>
        </w:tc>
        <w:tc>
          <w:tcPr>
            <w:tcW w:w="2777" w:type="dxa"/>
          </w:tcPr>
          <w:p w:rsidR="004C50DC" w:rsidRPr="00EA6B47" w:rsidRDefault="004C50DC" w:rsidP="004C50DC">
            <w:pPr>
              <w:ind w:firstLine="0"/>
              <w:jc w:val="both"/>
              <w:rPr>
                <w:bCs/>
                <w:sz w:val="24"/>
              </w:rPr>
            </w:pPr>
            <w:r w:rsidRPr="00EA6B47">
              <w:rPr>
                <w:bCs/>
                <w:sz w:val="24"/>
              </w:rPr>
              <w:t>Cayes</w:t>
            </w:r>
          </w:p>
        </w:tc>
        <w:tc>
          <w:tcPr>
            <w:tcW w:w="2599" w:type="dxa"/>
          </w:tcPr>
          <w:p w:rsidR="004C50DC" w:rsidRPr="00EA6B47" w:rsidRDefault="004C50DC" w:rsidP="004C50DC">
            <w:pPr>
              <w:ind w:firstLine="0"/>
              <w:jc w:val="both"/>
              <w:rPr>
                <w:bCs/>
                <w:sz w:val="24"/>
              </w:rPr>
            </w:pPr>
            <w:r w:rsidRPr="00EA6B47">
              <w:rPr>
                <w:bCs/>
                <w:sz w:val="24"/>
              </w:rPr>
              <w:t>Citadelle des Pl</w:t>
            </w:r>
            <w:r w:rsidRPr="00EA6B47">
              <w:rPr>
                <w:bCs/>
                <w:sz w:val="24"/>
              </w:rPr>
              <w:t>a</w:t>
            </w:r>
            <w:r w:rsidRPr="00EA6B47">
              <w:rPr>
                <w:bCs/>
                <w:sz w:val="24"/>
              </w:rPr>
              <w:t xml:space="preserve">tons </w:t>
            </w:r>
          </w:p>
        </w:tc>
      </w:tr>
      <w:tr w:rsidR="004C50DC" w:rsidRPr="00E8358C">
        <w:tc>
          <w:tcPr>
            <w:tcW w:w="2760" w:type="dxa"/>
          </w:tcPr>
          <w:p w:rsidR="004C50DC" w:rsidRPr="00EA6B47" w:rsidRDefault="004C50DC" w:rsidP="004C50DC">
            <w:pPr>
              <w:ind w:firstLine="0"/>
              <w:jc w:val="both"/>
              <w:rPr>
                <w:bCs/>
                <w:sz w:val="24"/>
              </w:rPr>
            </w:pPr>
            <w:r w:rsidRPr="00EA6B47">
              <w:rPr>
                <w:bCs/>
                <w:sz w:val="24"/>
              </w:rPr>
              <w:t>Grand-Anse</w:t>
            </w:r>
          </w:p>
        </w:tc>
        <w:tc>
          <w:tcPr>
            <w:tcW w:w="2777" w:type="dxa"/>
          </w:tcPr>
          <w:p w:rsidR="004C50DC" w:rsidRPr="00EA6B47" w:rsidRDefault="004C50DC" w:rsidP="004C50DC">
            <w:pPr>
              <w:ind w:firstLine="0"/>
              <w:jc w:val="both"/>
              <w:rPr>
                <w:bCs/>
                <w:sz w:val="24"/>
              </w:rPr>
            </w:pPr>
            <w:r w:rsidRPr="00EA6B47">
              <w:rPr>
                <w:bCs/>
                <w:sz w:val="24"/>
              </w:rPr>
              <w:t>Jérémie (Marfranc)</w:t>
            </w:r>
          </w:p>
        </w:tc>
        <w:tc>
          <w:tcPr>
            <w:tcW w:w="2599" w:type="dxa"/>
          </w:tcPr>
          <w:p w:rsidR="004C50DC" w:rsidRPr="00EA6B47" w:rsidRDefault="004C50DC" w:rsidP="004C50DC">
            <w:pPr>
              <w:ind w:firstLine="0"/>
              <w:jc w:val="both"/>
              <w:rPr>
                <w:bCs/>
                <w:sz w:val="24"/>
              </w:rPr>
            </w:pPr>
            <w:r w:rsidRPr="00EA6B47">
              <w:rPr>
                <w:bCs/>
                <w:sz w:val="24"/>
              </w:rPr>
              <w:t>Fort Marfranc</w:t>
            </w:r>
          </w:p>
        </w:tc>
      </w:tr>
    </w:tbl>
    <w:p w:rsidR="004C50DC" w:rsidRDefault="004C50DC" w:rsidP="004C50DC">
      <w:pPr>
        <w:spacing w:before="120" w:after="120"/>
        <w:jc w:val="both"/>
      </w:pPr>
    </w:p>
    <w:p w:rsidR="004C50DC" w:rsidRPr="00E8358C" w:rsidRDefault="004C50DC" w:rsidP="004C50DC">
      <w:pPr>
        <w:spacing w:before="120" w:after="120"/>
        <w:jc w:val="both"/>
      </w:pPr>
      <w:r>
        <w:t>[256]</w:t>
      </w:r>
    </w:p>
    <w:p w:rsidR="004C50DC" w:rsidRPr="00E8358C" w:rsidRDefault="004C50DC" w:rsidP="004C50DC">
      <w:pPr>
        <w:spacing w:before="120" w:after="120"/>
        <w:jc w:val="both"/>
      </w:pPr>
      <w:r w:rsidRPr="00E8358C">
        <w:t>Toujours dans l’Ouest, le général Alexandre Pétion fit construire les forts Jacques et Alexandre (1804) sur les hauteurs du Grand-Fond près de Port-au-Prince. Le fort Campan, au-dessus de la ville de Lé</w:t>
      </w:r>
      <w:r w:rsidRPr="00E8358C">
        <w:t>o</w:t>
      </w:r>
      <w:r w:rsidRPr="00E8358C">
        <w:t>gâne, fut érigé pour protéger la côte nord de la presqu’île du Sud sous les ordres du général Cangé. Ce fort fut achevé par le général Yayou. D’autres forts ont été érigés par les militaires haïtiens, comme le fort Garit au-dessus de Petit-Goâve, le fort Desbois au-dessus de l’Anse-à-Veau et le fort Marfranc non loin de Jérémie</w:t>
      </w:r>
      <w:r>
        <w:t> </w:t>
      </w:r>
      <w:r w:rsidRPr="00E8358C">
        <w:rPr>
          <w:rStyle w:val="Appelnotedebasdep"/>
        </w:rPr>
        <w:footnoteReference w:id="700"/>
      </w:r>
      <w:r w:rsidRPr="00E8358C">
        <w:t xml:space="preserve">.  </w:t>
      </w:r>
    </w:p>
    <w:p w:rsidR="004C50DC" w:rsidRPr="00E8358C" w:rsidRDefault="004C50DC" w:rsidP="004C50DC">
      <w:pPr>
        <w:spacing w:before="120" w:after="120"/>
        <w:jc w:val="both"/>
      </w:pPr>
      <w:r w:rsidRPr="00E8358C">
        <w:t>Le général Fabre-Nicolas Geffrard ﬁt bâtir la forteresse des Platons qui domine les accès au morne Macaya et à la plaine des Cayes. Le général Magloire Ambroise fit construire le fort Ogé (1804) au morne Cap-Rouge surplombant la rade et la ville de Jacmel. Pour compléter ce réseau et assurer la protection du centre de commandement de l’Armée, Dessalines s’était chargé lui-même de la construction de six ouvrages fortifiés en 1804 (le fort Décidé, le fort Innocent, le fort M</w:t>
      </w:r>
      <w:r w:rsidRPr="00E8358C">
        <w:t>a</w:t>
      </w:r>
      <w:r w:rsidRPr="00E8358C">
        <w:t>dame, le fort Doko et le fort Fin-du-Monde avec une poudrière qui domine toute la rade de Saint-Marc et des Gonaïves) pour protéger Marchand-Dessalines qui était la nouvelle capitale, et fort Culbuté au pied des mornes dans le but de surveiller la source d’eau (source i</w:t>
      </w:r>
      <w:r w:rsidRPr="00E8358C">
        <w:t>m</w:t>
      </w:r>
      <w:r w:rsidRPr="00E8358C">
        <w:t>périale ou bassin Félicité) qui alimentait la ville</w:t>
      </w:r>
      <w:r>
        <w:t> </w:t>
      </w:r>
      <w:r>
        <w:rPr>
          <w:rStyle w:val="Appelnotedebasdep"/>
        </w:rPr>
        <w:footnoteReference w:id="701"/>
      </w:r>
      <w:r w:rsidRPr="00E8358C">
        <w:t>.</w:t>
      </w:r>
    </w:p>
    <w:p w:rsidR="004C50DC" w:rsidRPr="00E8358C" w:rsidRDefault="004C50DC" w:rsidP="004C50DC">
      <w:pPr>
        <w:spacing w:before="120" w:after="120"/>
        <w:jc w:val="both"/>
      </w:pPr>
      <w:r w:rsidRPr="00E8358C">
        <w:t>Les nouvelles fortifications ont été bâties de manière à être profo</w:t>
      </w:r>
      <w:r w:rsidRPr="00E8358C">
        <w:t>n</w:t>
      </w:r>
      <w:r w:rsidRPr="00E8358C">
        <w:t>dément dispersées à l’intérieur du territoire. Les forts avaient une a</w:t>
      </w:r>
      <w:r w:rsidRPr="00E8358C">
        <w:t>u</w:t>
      </w:r>
      <w:r w:rsidRPr="00E8358C">
        <w:t>tonomie en équipements militaires et en réserves d’aliments pouvant permettre aux soldats d’engager les combats pendant des mois sans renouveler l’approvisionnement. Les généraux avaient confié aux i</w:t>
      </w:r>
      <w:r w:rsidRPr="00E8358C">
        <w:t>n</w:t>
      </w:r>
      <w:r w:rsidRPr="00E8358C">
        <w:t>génieurs militaires la mission de définir le tracé des nouvelles fortif</w:t>
      </w:r>
      <w:r w:rsidRPr="00E8358C">
        <w:t>i</w:t>
      </w:r>
      <w:r w:rsidRPr="00E8358C">
        <w:t>cations. Les régions stratégiques de la division géographique et adm</w:t>
      </w:r>
      <w:r w:rsidRPr="00E8358C">
        <w:t>i</w:t>
      </w:r>
      <w:r w:rsidRPr="00E8358C">
        <w:t xml:space="preserve">nistrative du pays ont été concernées par le nouveau tracé de défense : le Nord, l’Artibonite, le Sud et l’Ouest. </w:t>
      </w:r>
    </w:p>
    <w:p w:rsidR="004C50DC" w:rsidRPr="00E8358C" w:rsidRDefault="004C50DC" w:rsidP="004C50DC">
      <w:pPr>
        <w:spacing w:before="120" w:after="120"/>
        <w:jc w:val="both"/>
      </w:pPr>
      <w:r w:rsidRPr="00E8358C">
        <w:t>Ce tracé de fortifications était surtout dissuasif. Les forces expéd</w:t>
      </w:r>
      <w:r w:rsidRPr="00E8358C">
        <w:t>i</w:t>
      </w:r>
      <w:r w:rsidRPr="00E8358C">
        <w:t>tionnaires françaises ne sont pas revenues. L’ennemi colonialiste ne s’est pas réellement lancé à l’assaut du réseau fortifié. Face aux défis économiques et aux conflits internes pour la conquête du pouvoir,</w:t>
      </w:r>
      <w:r>
        <w:t xml:space="preserve"> [257]</w:t>
      </w:r>
      <w:r w:rsidRPr="00E8358C">
        <w:t xml:space="preserve"> les dirigeants ont dû abandonner certaines constructions de forts</w:t>
      </w:r>
      <w:r>
        <w:t> </w:t>
      </w:r>
      <w:r>
        <w:rPr>
          <w:rStyle w:val="Appelnotedebasdep"/>
        </w:rPr>
        <w:footnoteReference w:id="702"/>
      </w:r>
      <w:r w:rsidRPr="00E8358C">
        <w:t>. Les principaux forts ont été surtout utilisés dans les luttes e</w:t>
      </w:r>
      <w:r w:rsidRPr="00E8358C">
        <w:t>n</w:t>
      </w:r>
      <w:r w:rsidRPr="00E8358C">
        <w:t>tre groupes rivaux dirigés par les généraux Henri Christophe et Alexa</w:t>
      </w:r>
      <w:r w:rsidRPr="00E8358C">
        <w:t>n</w:t>
      </w:r>
      <w:r w:rsidRPr="00E8358C">
        <w:t xml:space="preserve">dre Pétion pour le contrôle entier du pays après l’assassinat de l’empereur Jean-Jacques Dessalines. Ce rôle est souvent ignoré du grand public.  </w:t>
      </w:r>
    </w:p>
    <w:p w:rsidR="004C50DC" w:rsidRPr="00E8358C" w:rsidRDefault="004C50DC" w:rsidP="004C50DC">
      <w:pPr>
        <w:spacing w:before="120" w:after="120"/>
        <w:jc w:val="both"/>
      </w:pPr>
      <w:r w:rsidRPr="00E8358C">
        <w:t>Tout au long du XIX</w:t>
      </w:r>
      <w:r w:rsidRPr="00E8358C">
        <w:rPr>
          <w:vertAlign w:val="superscript"/>
        </w:rPr>
        <w:t>e</w:t>
      </w:r>
      <w:r w:rsidRPr="00E8358C">
        <w:t xml:space="preserve"> siècle et jusqu’au début des années 1990 ce</w:t>
      </w:r>
      <w:r w:rsidRPr="00E8358C">
        <w:t>r</w:t>
      </w:r>
      <w:r w:rsidRPr="00E8358C">
        <w:t>taines fortifications ont été réhabilitées et ont servi de casernes ou de postes pour les militaires haïtiens</w:t>
      </w:r>
      <w:r>
        <w:t> </w:t>
      </w:r>
      <w:r>
        <w:rPr>
          <w:rStyle w:val="Appelnotedebasdep"/>
        </w:rPr>
        <w:footnoteReference w:id="703"/>
      </w:r>
      <w:r w:rsidRPr="00E8358C">
        <w:t>. Durant l’occupation américaine (1915-1934), les forces d’occupation mettaient à profit le potentiel de certains forts (fort Dimanche, fort Marfranc dans la commune de Ma</w:t>
      </w:r>
      <w:r w:rsidRPr="00E8358C">
        <w:t>r</w:t>
      </w:r>
      <w:r w:rsidRPr="00E8358C">
        <w:t>franc à Jérémie, etc.) comme bases militaires. Les forces onusiennes (MINUSTAH</w:t>
      </w:r>
      <w:r>
        <w:t> </w:t>
      </w:r>
      <w:r>
        <w:rPr>
          <w:rStyle w:val="Appelnotedebasdep"/>
        </w:rPr>
        <w:footnoteReference w:id="704"/>
      </w:r>
      <w:r w:rsidRPr="00E8358C">
        <w:t>) ont aujourd’hui un contingent au fort National à Port-au-Prince. La nouvelle force de police civile créée en 1994 a manife</w:t>
      </w:r>
      <w:r w:rsidRPr="00E8358C">
        <w:t>s</w:t>
      </w:r>
      <w:r w:rsidRPr="00E8358C">
        <w:t>té peu d’intérêt pour continuer à se servir des forts comme commiss</w:t>
      </w:r>
      <w:r w:rsidRPr="00E8358C">
        <w:t>a</w:t>
      </w:r>
      <w:r w:rsidRPr="00E8358C">
        <w:t>riats. De nombreuses fortifications construites à l’époque col</w:t>
      </w:r>
      <w:r w:rsidRPr="00E8358C">
        <w:t>o</w:t>
      </w:r>
      <w:r w:rsidRPr="00E8358C">
        <w:t>niale et au début du XIX</w:t>
      </w:r>
      <w:r w:rsidRPr="00E8358C">
        <w:rPr>
          <w:vertAlign w:val="superscript"/>
        </w:rPr>
        <w:t>e</w:t>
      </w:r>
      <w:r w:rsidRPr="00E8358C">
        <w:t xml:space="preserve"> siècle sont laissées à l’abandon et tombent en ruine, avec des traces d’artillerie</w:t>
      </w:r>
      <w:r>
        <w:t> </w:t>
      </w:r>
      <w:r>
        <w:rPr>
          <w:rStyle w:val="Appelnotedebasdep"/>
        </w:rPr>
        <w:footnoteReference w:id="705"/>
      </w:r>
      <w:r w:rsidRPr="00E8358C">
        <w:t xml:space="preserve">. </w:t>
      </w:r>
    </w:p>
    <w:p w:rsidR="004C50DC" w:rsidRDefault="004C50DC" w:rsidP="004C50DC">
      <w:pPr>
        <w:spacing w:before="120" w:after="120"/>
        <w:jc w:val="both"/>
      </w:pPr>
      <w:r w:rsidRPr="00E8358C">
        <w:t>Quelques fortifications</w:t>
      </w:r>
      <w:r>
        <w:t> </w:t>
      </w:r>
      <w:r>
        <w:rPr>
          <w:rStyle w:val="Appelnotedebasdep"/>
        </w:rPr>
        <w:footnoteReference w:id="706"/>
      </w:r>
      <w:r w:rsidRPr="00E8358C">
        <w:t xml:space="preserve"> ont été réhabilitées compte tenu de leur contribution à la construction de l’histoire épique haïtienne et du sy</w:t>
      </w:r>
      <w:r w:rsidRPr="00E8358C">
        <w:t>m</w:t>
      </w:r>
      <w:r w:rsidRPr="00E8358C">
        <w:t>bole de fierté qu’elles représentent. Le développement du tourisme durant ces dernières années a porté les autorités compétentes et les communautés à prendre conscience de la nécessité de restaurer que</w:t>
      </w:r>
      <w:r w:rsidRPr="00E8358C">
        <w:t>l</w:t>
      </w:r>
      <w:r w:rsidRPr="00E8358C">
        <w:t>ques fortifications. Malgré les faibles ressources dont dispose l’ISPAN, les bases pour valoriser ces lieux ont été jetées. L’inventaire et la documentation des forts ont permis au public de prendre connai</w:t>
      </w:r>
      <w:r w:rsidRPr="00E8358C">
        <w:t>s</w:t>
      </w:r>
      <w:r w:rsidRPr="00E8358C">
        <w:t>sance de ces lieux matériels témoins du colonialisme.</w:t>
      </w:r>
    </w:p>
    <w:p w:rsidR="004C50DC" w:rsidRDefault="004C50DC" w:rsidP="004C50DC">
      <w:pPr>
        <w:spacing w:before="120" w:after="120"/>
        <w:jc w:val="both"/>
      </w:pPr>
      <w:r>
        <w:t>[258]</w:t>
      </w:r>
    </w:p>
    <w:p w:rsidR="004C50DC" w:rsidRPr="00E8358C" w:rsidRDefault="004C50DC" w:rsidP="004C50DC">
      <w:pPr>
        <w:spacing w:before="120" w:after="120"/>
        <w:jc w:val="both"/>
      </w:pPr>
    </w:p>
    <w:p w:rsidR="004C50DC" w:rsidRPr="00E8358C" w:rsidRDefault="004C50DC" w:rsidP="004C50DC">
      <w:pPr>
        <w:pStyle w:val="planche"/>
      </w:pPr>
      <w:bookmarkStart w:id="293" w:name="_Toc406489664"/>
      <w:bookmarkStart w:id="294" w:name="_Toc423347330"/>
      <w:bookmarkStart w:id="295" w:name="_Toc442280512"/>
      <w:bookmarkStart w:id="296" w:name="Memoire_chap_IV_5_4"/>
      <w:r w:rsidRPr="00E8358C">
        <w:t>5.4.  Symbolisme et idées véhiculées</w:t>
      </w:r>
      <w:r>
        <w:br/>
      </w:r>
      <w:r w:rsidRPr="00E8358C">
        <w:t>dans les fortific</w:t>
      </w:r>
      <w:r w:rsidRPr="00E8358C">
        <w:t>a</w:t>
      </w:r>
      <w:r w:rsidRPr="00E8358C">
        <w:t>tions</w:t>
      </w:r>
      <w:bookmarkEnd w:id="293"/>
      <w:bookmarkEnd w:id="294"/>
      <w:bookmarkEnd w:id="295"/>
    </w:p>
    <w:bookmarkEnd w:id="296"/>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Les esclaves n’étaient pas passifs face aux mauvais traitements que les maîtres leur infligeaient. Déjà, lors de la capture des Nègres, dans les prisons des esclaves et au moment de la traversée, des tentatives de mutinerie étaient enregistrées au sein des déportés jusqu’à leur déba</w:t>
      </w:r>
      <w:r w:rsidRPr="00E8358C">
        <w:t>r</w:t>
      </w:r>
      <w:r w:rsidRPr="00E8358C">
        <w:t>quement dans les ports des colonies des Amériques. D’ailleurs, si l’esclavage a pu être aboli, c’est avant tout parce que les Noirs se sont opposés aux conditions inhumaines auxquelles ils ont été astreints. Sur les navires négriers, l’une des grandes peurs des esclavagistes et des armateurs était toujours la révolte des déportés. Un avis de la chambre de commerce de Bordeaux au XVIII</w:t>
      </w:r>
      <w:r w:rsidRPr="00E8358C">
        <w:rPr>
          <w:vertAlign w:val="superscript"/>
        </w:rPr>
        <w:t>e</w:t>
      </w:r>
      <w:r w:rsidRPr="00E8358C">
        <w:t xml:space="preserve"> siècle, qui statuait sur un litige en assurance concernant un certain nombre de captifs tués lors d’une révolte sur un navire, fait ressortir, une fois de plus, les tourments de la traite négrière et de tout ce qui y est lié : </w:t>
      </w:r>
    </w:p>
    <w:p w:rsidR="004C50DC" w:rsidRDefault="004C50DC" w:rsidP="004C50DC">
      <w:pPr>
        <w:pStyle w:val="Citation0"/>
      </w:pPr>
    </w:p>
    <w:p w:rsidR="004C50DC" w:rsidRDefault="004C50DC" w:rsidP="004C50DC">
      <w:pPr>
        <w:pStyle w:val="Citation0"/>
      </w:pPr>
      <w:r w:rsidRPr="00E8358C">
        <w:t>Le directeur de la chambre de commerce du Département de la G</w:t>
      </w:r>
      <w:r w:rsidRPr="00E8358C">
        <w:t>i</w:t>
      </w:r>
      <w:r w:rsidRPr="00E8358C">
        <w:t>ronde estime que le Nègre qui s’est jeté à la mer et s’est noyé ainsi que les 25 Nègres tués par les gens de l’équipage qui ont été obligés de faire feu sur eux et les 5 autres qui sont morts de suite de leurs blessures sont à la cha</w:t>
      </w:r>
      <w:r w:rsidRPr="00E8358C">
        <w:t>r</w:t>
      </w:r>
      <w:r w:rsidRPr="00E8358C">
        <w:t>ge des assureurs. Mais non la Nègresse qui est morte après avoir avalé sa langue</w:t>
      </w:r>
      <w:r>
        <w:t> </w:t>
      </w:r>
      <w:r>
        <w:rPr>
          <w:rStyle w:val="Appelnotedebasdep"/>
        </w:rPr>
        <w:footnoteReference w:id="707"/>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Dans la colonie française de Saint-Domingue, les maîtres colons jouaient sur les divisions de la population servile. C’est pourquoi, lors de l’acquisition des esclaves, ils cherchaient à avoir des nationalités antagonistes pour éviter qu’ils ne s’entendent entre eux et pour prév</w:t>
      </w:r>
      <w:r w:rsidRPr="00E8358C">
        <w:t>e</w:t>
      </w:r>
      <w:r w:rsidRPr="00E8358C">
        <w:t>nir toute conspiration ou éventuelle révolte. À travers la langue (le créole) et la pratique religieuse (le vodou), les esclaves ont pu s’unir et s’insurger. Jean Fouchard rapporte que les révoltes des esclaves ont toujours bénéficié de l’appui inconditionnel du vodou</w:t>
      </w:r>
      <w:r>
        <w:t> </w:t>
      </w:r>
      <w:r w:rsidRPr="00E8358C">
        <w:rPr>
          <w:rStyle w:val="Appelnotedebasdep"/>
        </w:rPr>
        <w:footnoteReference w:id="708"/>
      </w:r>
      <w:r w:rsidRPr="00E8358C">
        <w:t xml:space="preserve">. </w:t>
      </w:r>
    </w:p>
    <w:p w:rsidR="004C50DC" w:rsidRPr="00E8358C" w:rsidRDefault="004C50DC" w:rsidP="004C50DC">
      <w:pPr>
        <w:spacing w:before="120" w:after="120"/>
        <w:jc w:val="both"/>
      </w:pPr>
      <w:r w:rsidRPr="00E8358C">
        <w:t>Le XVIII</w:t>
      </w:r>
      <w:r w:rsidRPr="00E8358C">
        <w:rPr>
          <w:vertAlign w:val="superscript"/>
        </w:rPr>
        <w:t xml:space="preserve">e </w:t>
      </w:r>
      <w:r w:rsidRPr="00E8358C">
        <w:t>siècle fut marqué par une série de refus du système e</w:t>
      </w:r>
      <w:r w:rsidRPr="00E8358C">
        <w:t>s</w:t>
      </w:r>
      <w:r w:rsidRPr="00E8358C">
        <w:t>clavagiste, principalement à Saint-Domingue. En particulier, l’infanticide, le marronnage, l’incendie des plantations, l’empoisonnement des bourreaux commandeurs et les tentatives de soulèvement constituaient des actions concrètes de lutte contre le sy</w:t>
      </w:r>
      <w:r w:rsidRPr="00E8358C">
        <w:t>s</w:t>
      </w:r>
      <w:r w:rsidRPr="00E8358C">
        <w:t>tème esclavagiste. Le but de l’infanticide, c’était d’éviter à leur pr</w:t>
      </w:r>
      <w:r w:rsidRPr="00E8358C">
        <w:t>o</w:t>
      </w:r>
      <w:r w:rsidRPr="00E8358C">
        <w:t>géniture le statut, la vie honteuse et douloureuse de</w:t>
      </w:r>
      <w:r>
        <w:t xml:space="preserve"> [259]</w:t>
      </w:r>
      <w:r w:rsidRPr="00E8358C">
        <w:t xml:space="preserve"> l’esclavage</w:t>
      </w:r>
      <w:r>
        <w:t> </w:t>
      </w:r>
      <w:r w:rsidRPr="00E8358C">
        <w:rPr>
          <w:rStyle w:val="Appelnotedebasdep"/>
        </w:rPr>
        <w:footnoteReference w:id="709"/>
      </w:r>
      <w:r w:rsidRPr="00E8358C">
        <w:t>. Thomas Madiou a rapporté qu’une esclave disait à ses filles : « soyez heureuses de la mort ; vos flancs ne porteront pas d’esclaves »</w:t>
      </w:r>
      <w:r w:rsidRPr="00E8358C">
        <w:rPr>
          <w:rStyle w:val="Appelnotedebasdep"/>
        </w:rPr>
        <w:footnoteReference w:id="710"/>
      </w:r>
      <w:r w:rsidRPr="00E8358C">
        <w:t>. «Tant d’héroïsme déconcertait les Blancs qui refusaient d’accorder à la pui</w:t>
      </w:r>
      <w:r w:rsidRPr="00E8358C">
        <w:t>s</w:t>
      </w:r>
      <w:r w:rsidRPr="00E8358C">
        <w:t>sance de la liberté ce mépris de la mort »</w:t>
      </w:r>
      <w:r w:rsidRPr="00E8358C">
        <w:rPr>
          <w:rStyle w:val="Appelnotedebasdep"/>
        </w:rPr>
        <w:footnoteReference w:id="711"/>
      </w:r>
      <w:r w:rsidRPr="00E8358C">
        <w:t>. Les esclaves « bossales »</w:t>
      </w:r>
      <w:r>
        <w:t> </w:t>
      </w:r>
      <w:r>
        <w:rPr>
          <w:rStyle w:val="Appelnotedebasdep"/>
        </w:rPr>
        <w:footnoteReference w:id="712"/>
      </w:r>
      <w:r w:rsidRPr="00E8358C">
        <w:t xml:space="preserve"> étaient les plus enclins à se réfugier dans les montagnes où ils s’organisaient contre les maîtres. Santiague fut le premier chef connu de la communauté marronne à Saint-Domingue dans les années 1780-1785. </w:t>
      </w:r>
    </w:p>
    <w:p w:rsidR="004C50DC" w:rsidRPr="00E8358C" w:rsidRDefault="004C50DC" w:rsidP="004C50DC">
      <w:pPr>
        <w:spacing w:before="120" w:after="120"/>
        <w:jc w:val="both"/>
        <w:rPr>
          <w:lang w:eastAsia="en-CA"/>
        </w:rPr>
      </w:pPr>
      <w:r w:rsidRPr="00E8358C">
        <w:rPr>
          <w:lang w:eastAsia="en-CA"/>
        </w:rPr>
        <w:t xml:space="preserve">À la suite de </w:t>
      </w:r>
      <w:r w:rsidRPr="00E8358C">
        <w:t>Gérard Barthélémy, nous pouvons dire que « l</w:t>
      </w:r>
      <w:r w:rsidRPr="00E8358C">
        <w:rPr>
          <w:lang w:eastAsia="en-CA"/>
        </w:rPr>
        <w:t>e ma</w:t>
      </w:r>
      <w:r w:rsidRPr="00E8358C">
        <w:rPr>
          <w:lang w:eastAsia="en-CA"/>
        </w:rPr>
        <w:t>r</w:t>
      </w:r>
      <w:r w:rsidRPr="00E8358C">
        <w:rPr>
          <w:lang w:eastAsia="en-CA"/>
        </w:rPr>
        <w:t>ronnage correspondrait à la réaction d’un groupe contre une société à volonté hégémonique qui aurait suscité en son sein des phénomènes de marginalisation, de fuite et de riposte »</w:t>
      </w:r>
      <w:r>
        <w:rPr>
          <w:lang w:eastAsia="en-CA"/>
        </w:rPr>
        <w:t> </w:t>
      </w:r>
      <w:r>
        <w:rPr>
          <w:rStyle w:val="Appelnotedebasdep"/>
          <w:lang w:eastAsia="en-CA"/>
        </w:rPr>
        <w:footnoteReference w:id="713"/>
      </w:r>
      <w:r w:rsidRPr="00E8358C">
        <w:rPr>
          <w:lang w:eastAsia="en-CA"/>
        </w:rPr>
        <w:t>. Les Marrons, selon lui, ont voulu combattre les maîtres et s’opposer à eux. Ils ne cherchaient pas en réalité à « remplacer le pouvoir qui les opprimait par leur pr</w:t>
      </w:r>
      <w:r w:rsidRPr="00E8358C">
        <w:rPr>
          <w:lang w:eastAsia="en-CA"/>
        </w:rPr>
        <w:t>o</w:t>
      </w:r>
      <w:r w:rsidRPr="00E8358C">
        <w:rPr>
          <w:lang w:eastAsia="en-CA"/>
        </w:rPr>
        <w:t>pre pouvoir ;  leur riposte était d’être ailleurs et de pratiquer une alt</w:t>
      </w:r>
      <w:r w:rsidRPr="00E8358C">
        <w:rPr>
          <w:lang w:eastAsia="en-CA"/>
        </w:rPr>
        <w:t>é</w:t>
      </w:r>
      <w:r w:rsidRPr="00E8358C">
        <w:rPr>
          <w:lang w:eastAsia="en-CA"/>
        </w:rPr>
        <w:t>rité radicale grâce à laquelle ils désorientaient et dissuadaient leurs adversaires »</w:t>
      </w:r>
      <w:r>
        <w:rPr>
          <w:lang w:eastAsia="en-CA"/>
        </w:rPr>
        <w:t> </w:t>
      </w:r>
      <w:r>
        <w:rPr>
          <w:rStyle w:val="Appelnotedebasdep"/>
          <w:lang w:eastAsia="en-CA"/>
        </w:rPr>
        <w:footnoteReference w:id="714"/>
      </w:r>
      <w:r w:rsidRPr="00E8358C">
        <w:rPr>
          <w:lang w:eastAsia="en-CA"/>
        </w:rPr>
        <w:t>.</w:t>
      </w:r>
    </w:p>
    <w:p w:rsidR="004C50DC" w:rsidRPr="00E8358C" w:rsidRDefault="004C50DC" w:rsidP="004C50DC">
      <w:pPr>
        <w:spacing w:before="120" w:after="120"/>
        <w:jc w:val="both"/>
        <w:rPr>
          <w:lang w:eastAsia="en-CA"/>
        </w:rPr>
      </w:pPr>
      <w:r w:rsidRPr="00E8358C">
        <w:rPr>
          <w:lang w:eastAsia="en-CA"/>
        </w:rPr>
        <w:t>Ils se réfugiaient dans des endroits inaccessibles, dans des grottes, et menaient des actions de guérilla la nuit. Comme l’a bien fait rema</w:t>
      </w:r>
      <w:r w:rsidRPr="00E8358C">
        <w:rPr>
          <w:lang w:eastAsia="en-CA"/>
        </w:rPr>
        <w:t>r</w:t>
      </w:r>
      <w:r w:rsidRPr="00E8358C">
        <w:rPr>
          <w:lang w:eastAsia="en-CA"/>
        </w:rPr>
        <w:t>quer Richard Price dans ses études anthropologiques sur les Saram</w:t>
      </w:r>
      <w:r w:rsidRPr="00E8358C">
        <w:rPr>
          <w:lang w:eastAsia="en-CA"/>
        </w:rPr>
        <w:t>a</w:t>
      </w:r>
      <w:r w:rsidRPr="00E8358C">
        <w:rPr>
          <w:lang w:eastAsia="en-CA"/>
        </w:rPr>
        <w:t>cas (Noirs marrons) au Surinam</w:t>
      </w:r>
      <w:r>
        <w:rPr>
          <w:lang w:eastAsia="en-CA"/>
        </w:rPr>
        <w:t> </w:t>
      </w:r>
      <w:r w:rsidRPr="00E8358C">
        <w:rPr>
          <w:rStyle w:val="Appelnotedebasdep"/>
          <w:lang w:eastAsia="en-CA"/>
        </w:rPr>
        <w:footnoteReference w:id="715"/>
      </w:r>
      <w:r w:rsidRPr="00E8358C">
        <w:rPr>
          <w:lang w:eastAsia="en-CA"/>
        </w:rPr>
        <w:t>, le marronnage présente les caract</w:t>
      </w:r>
      <w:r w:rsidRPr="00E8358C">
        <w:rPr>
          <w:lang w:eastAsia="en-CA"/>
        </w:rPr>
        <w:t>é</w:t>
      </w:r>
      <w:r w:rsidRPr="00E8358C">
        <w:rPr>
          <w:lang w:eastAsia="en-CA"/>
        </w:rPr>
        <w:t xml:space="preserve">ristiques suivantes, résumées par </w:t>
      </w:r>
      <w:r w:rsidRPr="00E8358C">
        <w:t>Gérard Barthélémy :</w:t>
      </w:r>
    </w:p>
    <w:p w:rsidR="004C50DC" w:rsidRDefault="004C50DC" w:rsidP="004C50DC">
      <w:pPr>
        <w:jc w:val="both"/>
        <w:rPr>
          <w:lang w:eastAsia="en-CA"/>
        </w:rPr>
      </w:pP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Inaccessibilité : pour se protéger en se réfugiant</w:t>
      </w: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Adaptation au milieu : pour survivre dans un contexte naturel hostile justifiant ce choix de refuge</w:t>
      </w: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Dimension collective de la survie : grâce au contrôle du surplus par le groupe</w:t>
      </w:r>
    </w:p>
    <w:p w:rsidR="004C50DC" w:rsidRDefault="004C50DC" w:rsidP="004C50DC">
      <w:pPr>
        <w:pStyle w:val="p"/>
        <w:rPr>
          <w:lang w:eastAsia="en-CA"/>
        </w:rPr>
      </w:pPr>
      <w:r>
        <w:rPr>
          <w:lang w:eastAsia="en-CA"/>
        </w:rPr>
        <w:t>[260]</w:t>
      </w: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Tactiques de guérilla : pour mieux se défendre</w:t>
      </w: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 xml:space="preserve">Pratiques religieuses choisies en fonction de ces impératifs, ce qui est, entre autres, le cas du vodou </w:t>
      </w:r>
    </w:p>
    <w:p w:rsidR="004C50DC" w:rsidRPr="00E8358C" w:rsidRDefault="004C50DC" w:rsidP="004C50DC">
      <w:pPr>
        <w:ind w:left="720" w:hanging="360"/>
        <w:jc w:val="both"/>
        <w:rPr>
          <w:lang w:eastAsia="en-CA"/>
        </w:rPr>
      </w:pPr>
      <w:r>
        <w:rPr>
          <w:lang w:eastAsia="en-CA"/>
        </w:rPr>
        <w:t>-</w:t>
      </w:r>
      <w:r>
        <w:rPr>
          <w:lang w:eastAsia="en-CA"/>
        </w:rPr>
        <w:tab/>
      </w:r>
      <w:r w:rsidRPr="00E8358C">
        <w:rPr>
          <w:lang w:eastAsia="en-CA"/>
        </w:rPr>
        <w:t>Répartition interne des pouvoirs et des initiatives pour répondre aux impératifs de souplesse qu’exige le conflit externe perm</w:t>
      </w:r>
      <w:r w:rsidRPr="00E8358C">
        <w:rPr>
          <w:lang w:eastAsia="en-CA"/>
        </w:rPr>
        <w:t>a</w:t>
      </w:r>
      <w:r w:rsidRPr="00E8358C">
        <w:rPr>
          <w:lang w:eastAsia="en-CA"/>
        </w:rPr>
        <w:t>nent</w:t>
      </w:r>
    </w:p>
    <w:p w:rsidR="004C50DC" w:rsidRPr="00E8358C" w:rsidRDefault="004C50DC" w:rsidP="004C50DC">
      <w:pPr>
        <w:ind w:left="720" w:hanging="360"/>
        <w:jc w:val="both"/>
      </w:pPr>
      <w:r>
        <w:rPr>
          <w:lang w:eastAsia="en-CA"/>
        </w:rPr>
        <w:t>-</w:t>
      </w:r>
      <w:r>
        <w:rPr>
          <w:lang w:eastAsia="en-CA"/>
        </w:rPr>
        <w:tab/>
      </w:r>
      <w:r w:rsidRPr="00E8358C">
        <w:rPr>
          <w:lang w:eastAsia="en-CA"/>
        </w:rPr>
        <w:t>Établissement final de rapports de limitation et de compléme</w:t>
      </w:r>
      <w:r w:rsidRPr="00E8358C">
        <w:rPr>
          <w:lang w:eastAsia="en-CA"/>
        </w:rPr>
        <w:t>n</w:t>
      </w:r>
      <w:r w:rsidRPr="00E8358C">
        <w:rPr>
          <w:lang w:eastAsia="en-CA"/>
        </w:rPr>
        <w:t>tarité avec l’agresseur</w:t>
      </w:r>
      <w:r>
        <w:rPr>
          <w:lang w:eastAsia="en-CA"/>
        </w:rPr>
        <w:t> </w:t>
      </w:r>
      <w:r w:rsidRPr="00E8358C">
        <w:rPr>
          <w:rStyle w:val="Appelnotedebasdep"/>
          <w:lang w:eastAsia="en-CA"/>
        </w:rPr>
        <w:footnoteReference w:id="716"/>
      </w:r>
    </w:p>
    <w:p w:rsidR="004C50DC" w:rsidRDefault="004C50DC" w:rsidP="004C50DC">
      <w:pPr>
        <w:jc w:val="both"/>
      </w:pPr>
    </w:p>
    <w:p w:rsidR="004C50DC" w:rsidRPr="00E8358C" w:rsidRDefault="004C50DC" w:rsidP="004C50DC">
      <w:pPr>
        <w:spacing w:before="120" w:after="120"/>
        <w:jc w:val="both"/>
      </w:pPr>
      <w:r w:rsidRPr="00E8358C">
        <w:t>Le marronnage – ou la tentative de marronnage – était condamné. Un esclave marron qui se fait appréhender était puni sévèrement. On lui coupait parfois un membre (bras, pied) et il risquait même d’être condamné à mort. Des mercenaires étaient chargés d’aller récupérer les esclaves marrons dans les mornes. Thomas Madiou nous explique d’emblée les mesures adoptées par les colons sur les habitations pour dissuader les tentatives de marronnage ou de révolte : « des échafauds étaient dressés nuit et jour, et les esclaves faits prisonniers étaient rompus sur la roue ou brûlés vifs »</w:t>
      </w:r>
      <w:r>
        <w:t> </w:t>
      </w:r>
      <w:r w:rsidRPr="00E8358C">
        <w:rPr>
          <w:rStyle w:val="Appelnotedebasdep"/>
        </w:rPr>
        <w:footnoteReference w:id="717"/>
      </w:r>
      <w:r w:rsidRPr="00E8358C">
        <w:t>. On parlait aussi de « petit ma</w:t>
      </w:r>
      <w:r w:rsidRPr="00E8358C">
        <w:t>r</w:t>
      </w:r>
      <w:r w:rsidRPr="00E8358C">
        <w:t>ronnage », lorsque l’esclave s’enfuyait dans une plantation voisine et revenait de lui-même par peur. Il pouvait avoir un châtiment physique moindre (quelques coups de fouet).</w:t>
      </w:r>
    </w:p>
    <w:p w:rsidR="004C50DC" w:rsidRPr="00E8358C" w:rsidRDefault="004C50DC" w:rsidP="004C50DC">
      <w:pPr>
        <w:spacing w:before="120" w:after="120"/>
        <w:jc w:val="both"/>
      </w:pPr>
      <w:r w:rsidRPr="00E8358C">
        <w:t>Cette situation n’avait pas freiné les esclaves africains dans leur lutte pour la liberté. Ils s’organisaient davantage. Le discours des chefs comme Jean-François Biassou les galvanisait : « s’ils succo</w:t>
      </w:r>
      <w:r w:rsidRPr="00E8358C">
        <w:t>m</w:t>
      </w:r>
      <w:r w:rsidRPr="00E8358C">
        <w:t>baient dans les combats, ils iraient revivre dans leurs anciennes tribus d’Afrique »</w:t>
      </w:r>
      <w:r>
        <w:t> </w:t>
      </w:r>
      <w:r w:rsidRPr="00E8358C">
        <w:rPr>
          <w:rStyle w:val="Appelnotedebasdep"/>
        </w:rPr>
        <w:footnoteReference w:id="718"/>
      </w:r>
      <w:r w:rsidRPr="00E8358C">
        <w:t>. D’autres chefs de leur côté engageaient des luttes d</w:t>
      </w:r>
      <w:r w:rsidRPr="00E8358C">
        <w:t>e</w:t>
      </w:r>
      <w:r w:rsidRPr="00E8358C">
        <w:t>vant conduire à la rupture totale avec le système colonial. Les insu</w:t>
      </w:r>
      <w:r w:rsidRPr="00E8358C">
        <w:t>r</w:t>
      </w:r>
      <w:r w:rsidRPr="00E8358C">
        <w:t xml:space="preserve">rections des 21 et 22 août 1791 jetèrent les bases de cette libération générale. </w:t>
      </w:r>
    </w:p>
    <w:p w:rsidR="004C50DC" w:rsidRPr="00E8358C" w:rsidRDefault="004C50DC" w:rsidP="004C50DC">
      <w:pPr>
        <w:spacing w:before="120" w:after="120"/>
        <w:jc w:val="both"/>
        <w:rPr>
          <w:bCs/>
        </w:rPr>
      </w:pPr>
      <w:r w:rsidRPr="00E8358C">
        <w:t xml:space="preserve">Les fortifications étaient au cœur des luttes et des révoltes. Elles furent les témoins matériels des prouesses, des douleurs, des cris, des déboires des esclaves durant plus de trois siècles. </w:t>
      </w:r>
      <w:r w:rsidRPr="00E8358C">
        <w:rPr>
          <w:bCs/>
        </w:rPr>
        <w:t>François Roc soul</w:t>
      </w:r>
      <w:r w:rsidRPr="00E8358C">
        <w:rPr>
          <w:bCs/>
        </w:rPr>
        <w:t>i</w:t>
      </w:r>
      <w:r w:rsidRPr="00E8358C">
        <w:rPr>
          <w:bCs/>
        </w:rPr>
        <w:t>gne que les camps étaient subordonnés au mouvement de rébellion des esclaves des plantations (canne à sucre, café, cacao, coton, indigo) dans la colonie dominguoise, qui prirent toute leur ampleur après l’éclatement de l’insurrection du 22 août 1791</w:t>
      </w:r>
      <w:r>
        <w:rPr>
          <w:bCs/>
        </w:rPr>
        <w:t> </w:t>
      </w:r>
      <w:r w:rsidRPr="00E8358C">
        <w:rPr>
          <w:rStyle w:val="Appelnotedebasdep"/>
          <w:bCs/>
        </w:rPr>
        <w:footnoteReference w:id="719"/>
      </w:r>
      <w:r w:rsidRPr="00E8358C">
        <w:rPr>
          <w:bCs/>
        </w:rPr>
        <w:t xml:space="preserve">. Ce furent des lieux de rassemblement pour les esclaves marrons et leurs </w:t>
      </w:r>
      <w:r>
        <w:rPr>
          <w:bCs/>
        </w:rPr>
        <w:t xml:space="preserve">[261] </w:t>
      </w:r>
      <w:r w:rsidRPr="00E8358C">
        <w:rPr>
          <w:bCs/>
        </w:rPr>
        <w:t>chefs de file. Quand on sait que le marronnage fut un « défi à l’ordre col</w:t>
      </w:r>
      <w:r w:rsidRPr="00E8358C">
        <w:rPr>
          <w:bCs/>
        </w:rPr>
        <w:t>o</w:t>
      </w:r>
      <w:r w:rsidRPr="00E8358C">
        <w:rPr>
          <w:bCs/>
        </w:rPr>
        <w:t>nial »</w:t>
      </w:r>
      <w:r>
        <w:rPr>
          <w:bCs/>
        </w:rPr>
        <w:t> </w:t>
      </w:r>
      <w:r w:rsidRPr="00E8358C">
        <w:rPr>
          <w:rStyle w:val="Appelnotedebasdep"/>
          <w:bCs/>
        </w:rPr>
        <w:footnoteReference w:id="720"/>
      </w:r>
      <w:r w:rsidRPr="00E8358C">
        <w:rPr>
          <w:bCs/>
        </w:rPr>
        <w:t>, les fortifications devinrent des écoles de formation, des lieux par exce</w:t>
      </w:r>
      <w:r w:rsidRPr="00E8358C">
        <w:rPr>
          <w:bCs/>
        </w:rPr>
        <w:t>l</w:t>
      </w:r>
      <w:r w:rsidRPr="00E8358C">
        <w:rPr>
          <w:bCs/>
        </w:rPr>
        <w:t>lence d’émergence des chefs guerriers qui vont entretenir la flamme jusqu’à l’indépendance</w:t>
      </w:r>
      <w:r>
        <w:rPr>
          <w:bCs/>
        </w:rPr>
        <w:t> </w:t>
      </w:r>
      <w:r w:rsidRPr="00E8358C">
        <w:rPr>
          <w:rStyle w:val="Appelnotedebasdep"/>
          <w:bCs/>
        </w:rPr>
        <w:footnoteReference w:id="721"/>
      </w:r>
      <w:r w:rsidRPr="00E8358C">
        <w:rPr>
          <w:bCs/>
        </w:rPr>
        <w:t>. Sur cet angle, nous avons recueilli le 15 se</w:t>
      </w:r>
      <w:r w:rsidRPr="00E8358C">
        <w:rPr>
          <w:bCs/>
        </w:rPr>
        <w:t>p</w:t>
      </w:r>
      <w:r w:rsidRPr="00E8358C">
        <w:rPr>
          <w:bCs/>
        </w:rPr>
        <w:t>tembre 2013 le témoignage de Milien, 63 ans, professeur à l’Université d’État d’Haïti, habitant à Port-au-Prince. Il s’exprime ai</w:t>
      </w:r>
      <w:r w:rsidRPr="00E8358C">
        <w:rPr>
          <w:bCs/>
        </w:rPr>
        <w:t>n</w:t>
      </w:r>
      <w:r w:rsidRPr="00E8358C">
        <w:rPr>
          <w:bCs/>
        </w:rPr>
        <w:t xml:space="preserve">si : </w:t>
      </w:r>
    </w:p>
    <w:p w:rsidR="004C50DC" w:rsidRDefault="004C50DC" w:rsidP="004C50DC">
      <w:pPr>
        <w:pStyle w:val="Citation0"/>
        <w:rPr>
          <w:lang w:eastAsia="ja-JP"/>
        </w:rPr>
      </w:pPr>
    </w:p>
    <w:p w:rsidR="004C50DC" w:rsidRPr="00E8358C" w:rsidRDefault="004C50DC" w:rsidP="004C50DC">
      <w:pPr>
        <w:pStyle w:val="Citation0"/>
        <w:rPr>
          <w:lang w:eastAsia="ja-JP"/>
        </w:rPr>
      </w:pPr>
      <w:r w:rsidRPr="00E8358C">
        <w:rPr>
          <w:lang w:eastAsia="ja-JP"/>
        </w:rPr>
        <w:t>J’ai une double perception des forts en Haïti. Généralement, ils sont situés en hauteur, sur des pentes très raides et élevées. Durant la colonisation e</w:t>
      </w:r>
      <w:r w:rsidRPr="00E8358C">
        <w:rPr>
          <w:lang w:eastAsia="ja-JP"/>
        </w:rPr>
        <w:t>s</w:t>
      </w:r>
      <w:r w:rsidRPr="00E8358C">
        <w:rPr>
          <w:lang w:eastAsia="ja-JP"/>
        </w:rPr>
        <w:t>pagnole puis française, ils servaient à défendre le terr</w:t>
      </w:r>
      <w:r w:rsidRPr="00E8358C">
        <w:rPr>
          <w:lang w:eastAsia="ja-JP"/>
        </w:rPr>
        <w:t>i</w:t>
      </w:r>
      <w:r w:rsidRPr="00E8358C">
        <w:rPr>
          <w:lang w:eastAsia="ja-JP"/>
        </w:rPr>
        <w:t>toire colonial et à héberger les troupes militaires envoyées pour mâter les tentatives de révo</w:t>
      </w:r>
      <w:r w:rsidRPr="00E8358C">
        <w:rPr>
          <w:lang w:eastAsia="ja-JP"/>
        </w:rPr>
        <w:t>l</w:t>
      </w:r>
      <w:r w:rsidRPr="00E8358C">
        <w:rPr>
          <w:lang w:eastAsia="ja-JP"/>
        </w:rPr>
        <w:t>te ou les révoltes dans la colonie dominguoise. Au moment de la guerre de l’Indépendance, la plupart de ces forts ont été conquis par les Haïtiens et ont changé de mains. Ils changeaient de rôle et passaient de lieux de r</w:t>
      </w:r>
      <w:r w:rsidRPr="00E8358C">
        <w:rPr>
          <w:lang w:eastAsia="ja-JP"/>
        </w:rPr>
        <w:t>é</w:t>
      </w:r>
      <w:r w:rsidRPr="00E8358C">
        <w:rPr>
          <w:lang w:eastAsia="ja-JP"/>
        </w:rPr>
        <w:t>pression, de défenses du système de l’esclavage en des lieux de lutte pour l’indépendance</w:t>
      </w:r>
      <w:r w:rsidRPr="00E8358C">
        <w:rPr>
          <w:i/>
          <w:lang w:eastAsia="ja-JP"/>
        </w:rPr>
        <w:t xml:space="preserve">. </w:t>
      </w:r>
      <w:r w:rsidRPr="00E8358C">
        <w:rPr>
          <w:lang w:eastAsia="ja-JP"/>
        </w:rPr>
        <w:t xml:space="preserve">Par exemple, le nom de Fort-Liberté évoque déjà l’esprit de liberté qu’il charrie. </w:t>
      </w:r>
    </w:p>
    <w:p w:rsidR="004C50DC" w:rsidRDefault="004C50DC" w:rsidP="004C50DC">
      <w:pPr>
        <w:pStyle w:val="Citation0c"/>
      </w:pPr>
      <w:r w:rsidRPr="00E8358C">
        <w:t>(Milien, entrevue, 15 septembre 2013)</w:t>
      </w:r>
    </w:p>
    <w:p w:rsidR="004C50DC" w:rsidRPr="00E8358C" w:rsidRDefault="004C50DC" w:rsidP="004C50DC">
      <w:pPr>
        <w:pStyle w:val="Citation0c"/>
      </w:pPr>
    </w:p>
    <w:p w:rsidR="004C50DC" w:rsidRPr="00E8358C" w:rsidRDefault="004C50DC" w:rsidP="004C50DC">
      <w:pPr>
        <w:spacing w:before="120" w:after="120"/>
        <w:jc w:val="both"/>
      </w:pPr>
      <w:r w:rsidRPr="00E8358C">
        <w:t xml:space="preserve">Les fortifications gagnent en prestige au détriment des habitations. Elles sont des cadres institutionnels des mémoires du passé colonial. Elles cristallisent la volonté des héros de l’indépendance haïtienne de fonder une nation libre et d’occuper l’espace géographique.  </w:t>
      </w:r>
    </w:p>
    <w:p w:rsidR="004C50DC" w:rsidRDefault="004C50DC" w:rsidP="004C50DC">
      <w:pPr>
        <w:spacing w:before="120" w:after="120"/>
        <w:jc w:val="both"/>
      </w:pPr>
      <w:bookmarkStart w:id="297" w:name="_Toc406489665"/>
      <w:bookmarkStart w:id="298" w:name="_Toc423347331"/>
      <w:bookmarkStart w:id="299" w:name="_Toc442280513"/>
    </w:p>
    <w:p w:rsidR="004C50DC" w:rsidRPr="00E8358C" w:rsidRDefault="004C50DC" w:rsidP="004C50DC">
      <w:pPr>
        <w:pStyle w:val="a"/>
      </w:pPr>
      <w:r w:rsidRPr="00E8358C">
        <w:t xml:space="preserve">5.4.1.  </w:t>
      </w:r>
      <w:r>
        <w:t>Habitations et fortifications :</w:t>
      </w:r>
      <w:r>
        <w:br/>
      </w:r>
      <w:r w:rsidRPr="00E8358C">
        <w:t>berceaux de la révolte, ressorts de la liberté et lieux d’anonymat</w:t>
      </w:r>
      <w:bookmarkEnd w:id="297"/>
      <w:bookmarkEnd w:id="298"/>
      <w:bookmarkEnd w:id="299"/>
    </w:p>
    <w:p w:rsidR="004C50DC" w:rsidRDefault="004C50DC" w:rsidP="004C50DC">
      <w:pPr>
        <w:spacing w:before="120" w:after="120"/>
        <w:jc w:val="both"/>
        <w:rPr>
          <w:bCs/>
        </w:rPr>
      </w:pPr>
    </w:p>
    <w:p w:rsidR="004C50DC" w:rsidRPr="00E8358C" w:rsidRDefault="004C50DC" w:rsidP="004C50DC">
      <w:pPr>
        <w:spacing w:before="120" w:after="120"/>
        <w:jc w:val="both"/>
      </w:pPr>
      <w:r w:rsidRPr="00E8358C">
        <w:rPr>
          <w:bCs/>
        </w:rPr>
        <w:t>Les fortifications et les habitations coloniales furent des éléments essentiels de la guerre de l’Indépendance haïtienne. Elles constituaient des refuges pour les insurgés (marrons et esclaves encore astreints au travail). Selon François Roc, ce sont de véritables « berceaux de la résistance et ressort de la liberté »</w:t>
      </w:r>
      <w:r>
        <w:rPr>
          <w:bCs/>
        </w:rPr>
        <w:t> </w:t>
      </w:r>
      <w:r w:rsidRPr="00E8358C">
        <w:rPr>
          <w:rStyle w:val="Appelnotedebasdep"/>
          <w:bCs/>
        </w:rPr>
        <w:footnoteReference w:id="722"/>
      </w:r>
      <w:r w:rsidRPr="00E8358C">
        <w:rPr>
          <w:bCs/>
        </w:rPr>
        <w:t xml:space="preserve">. </w:t>
      </w:r>
      <w:r w:rsidRPr="00E8358C">
        <w:t>Dans la mémoire officielle ha</w:t>
      </w:r>
      <w:r w:rsidRPr="00E8358C">
        <w:t>ï</w:t>
      </w:r>
      <w:r w:rsidRPr="00E8358C">
        <w:t>tienne, les vestiges des fortifications suggèrent la mémoire glorieuse de toute une nation qui a combattu pour la liberté, contrairement aux habitations coloniales qui sont souvent considérées comme le princ</w:t>
      </w:r>
      <w:r w:rsidRPr="00E8358C">
        <w:t>i</w:t>
      </w:r>
      <w:r w:rsidRPr="00E8358C">
        <w:t>pal pilier des malheurs, des mauvais traitements, des humiliations et des souffrances des esclaves et qui transmettent le traumatisme du passé</w:t>
      </w:r>
      <w:r>
        <w:t xml:space="preserve"> [262]</w:t>
      </w:r>
      <w:r w:rsidRPr="00E8358C">
        <w:t xml:space="preserve"> colonial. Les habitations coloniales sont classées dans la série des lieux et des objets témoins de la mémoire douloureuse, bien qu’elles aient aussi servi d’espaces stratégiques pour engager les pr</w:t>
      </w:r>
      <w:r w:rsidRPr="00E8358C">
        <w:t>e</w:t>
      </w:r>
      <w:r w:rsidRPr="00E8358C">
        <w:t xml:space="preserve">miers mouvements de la libération nationale. </w:t>
      </w:r>
    </w:p>
    <w:p w:rsidR="004C50DC" w:rsidRPr="00E8358C" w:rsidRDefault="004C50DC" w:rsidP="004C50DC">
      <w:pPr>
        <w:spacing w:before="120" w:after="120"/>
        <w:jc w:val="both"/>
      </w:pPr>
      <w:r w:rsidRPr="00E8358C">
        <w:t>Durant les périodes de luttes pour la libération de Saint-Domingue, certaines habitations faisaient aussi fonction de fortifications (le Camp Gérard était l’habitation Gérard aux Cayes). Elles servirent d’espace pour amorcer la lutte contre l’esclavage, une fois occupées par les i</w:t>
      </w:r>
      <w:r w:rsidRPr="00E8358C">
        <w:t>n</w:t>
      </w:r>
      <w:r w:rsidRPr="00E8358C">
        <w:t>surgés. Historien de l’art et archéologue, Michel-Philippe Lerebours rappelle que « c’est de l’habitation, s’élevant au-dessus de leur sou</w:t>
      </w:r>
      <w:r w:rsidRPr="00E8358C">
        <w:t>f</w:t>
      </w:r>
      <w:r w:rsidRPr="00E8358C">
        <w:t>france et de l’abjection de leur condition, que les esclaves ont donné le signal de la révolte générale. Les habitations notamment sucrières ont été le théâtre de grands combats de la Révolution haïtienne et se sont retrouvées au cœur des préoccupations des premiers dir</w:t>
      </w:r>
      <w:r w:rsidRPr="00E8358C">
        <w:t>i</w:t>
      </w:r>
      <w:r w:rsidRPr="00E8358C">
        <w:t>geants »</w:t>
      </w:r>
      <w:r>
        <w:t> </w:t>
      </w:r>
      <w:r w:rsidRPr="00E8358C">
        <w:rPr>
          <w:rStyle w:val="Appelnotedebasdep"/>
        </w:rPr>
        <w:footnoteReference w:id="723"/>
      </w:r>
      <w:r w:rsidRPr="00E8358C">
        <w:t>. Franklin Midy complète l’idée avancée par Michel-Philippe Lerebours en avançant que « le nombre d’esclaves sur les habitations dans la plus peuplée des colonies françaises d’Amérique a joué un grand rôle dans la réussite de l’insurrection générale des e</w:t>
      </w:r>
      <w:r w:rsidRPr="00E8358C">
        <w:t>s</w:t>
      </w:r>
      <w:r w:rsidRPr="00E8358C">
        <w:t>claves en 1791 »</w:t>
      </w:r>
      <w:r>
        <w:t> </w:t>
      </w:r>
      <w:r>
        <w:rPr>
          <w:rStyle w:val="Appelnotedebasdep"/>
        </w:rPr>
        <w:footnoteReference w:id="724"/>
      </w:r>
      <w:r w:rsidRPr="00E8358C">
        <w:t xml:space="preserve">.  </w:t>
      </w:r>
    </w:p>
    <w:p w:rsidR="004C50DC" w:rsidRPr="00E8358C" w:rsidRDefault="004C50DC" w:rsidP="004C50DC">
      <w:pPr>
        <w:spacing w:before="120" w:after="120"/>
        <w:jc w:val="both"/>
      </w:pPr>
      <w:r w:rsidRPr="00E8358C">
        <w:rPr>
          <w:bCs/>
        </w:rPr>
        <w:t>Aux côtés des figures de résistance, de liberté et de prestige que les fortifications évoquent généralement, f</w:t>
      </w:r>
      <w:r w:rsidRPr="00E8358C">
        <w:t>orce est de constater qu’aujourd’hui, leurs vestiges suggèrent aussi la frustration des paysans ou de quelques habitants des zones défavorisées face aux « puissants possédants »</w:t>
      </w:r>
      <w:r>
        <w:t> </w:t>
      </w:r>
      <w:r>
        <w:rPr>
          <w:rStyle w:val="Appelnotedebasdep"/>
        </w:rPr>
        <w:footnoteReference w:id="725"/>
      </w:r>
      <w:r w:rsidRPr="00E8358C">
        <w:t>. C’est ainsi que nous avons pu recueillir, lors d’une visite au fort Jacques, situé dans la commune de Kenscoff, la réaction de Jérémie, 65 ans, cultivateur.</w:t>
      </w:r>
    </w:p>
    <w:p w:rsidR="004C50DC" w:rsidRDefault="004C50DC" w:rsidP="004C50DC">
      <w:pPr>
        <w:pStyle w:val="Citation0"/>
      </w:pPr>
    </w:p>
    <w:p w:rsidR="004C50DC" w:rsidRPr="00E8358C" w:rsidRDefault="004C50DC" w:rsidP="004C50DC">
      <w:pPr>
        <w:pStyle w:val="Citation0i"/>
      </w:pPr>
      <w:r w:rsidRPr="00E8358C">
        <w:t xml:space="preserve">Fyète sa se pou gran nèg yo. Paske nou te lite tou men jodia kote nou ye. Eske m ka pale de viktwa lè anyen pa fèt pou nou mas peyizan gran gran paran nou te lite tou pou libète peyi Ayiti ? </w:t>
      </w:r>
    </w:p>
    <w:p w:rsidR="004C50DC" w:rsidRPr="00E8358C" w:rsidRDefault="004C50DC" w:rsidP="004C50DC">
      <w:pPr>
        <w:pStyle w:val="Citation0"/>
        <w:rPr>
          <w:lang w:eastAsia="ja-JP"/>
        </w:rPr>
      </w:pPr>
      <w:r w:rsidRPr="00E8358C">
        <w:t>[Cette fiert</w:t>
      </w:r>
      <w:r w:rsidRPr="00E8358C">
        <w:rPr>
          <w:lang w:eastAsia="ja-JP"/>
        </w:rPr>
        <w:t>é est pour les riches, les dirigeants du pays. Nos aïeux ont part</w:t>
      </w:r>
      <w:r w:rsidRPr="00E8358C">
        <w:rPr>
          <w:lang w:eastAsia="ja-JP"/>
        </w:rPr>
        <w:t>i</w:t>
      </w:r>
      <w:r w:rsidRPr="00E8358C">
        <w:rPr>
          <w:lang w:eastAsia="ja-JP"/>
        </w:rPr>
        <w:t>cipé aussi à la libération nationale. De quoi est-ce qu’on a pu bénéficier ? Pouvons-nous parler de victoire quand rien n’a jamais été fait pour la ma</w:t>
      </w:r>
      <w:r w:rsidRPr="00E8358C">
        <w:rPr>
          <w:lang w:eastAsia="ja-JP"/>
        </w:rPr>
        <w:t>s</w:t>
      </w:r>
      <w:r w:rsidRPr="00E8358C">
        <w:rPr>
          <w:lang w:eastAsia="ja-JP"/>
        </w:rPr>
        <w:t>se paysanne ?</w:t>
      </w:r>
      <w:r w:rsidRPr="00E8358C">
        <w:t>]</w:t>
      </w:r>
    </w:p>
    <w:p w:rsidR="004C50DC" w:rsidRPr="00E8358C" w:rsidRDefault="004C50DC" w:rsidP="004C50DC">
      <w:pPr>
        <w:pStyle w:val="Citation0c"/>
      </w:pPr>
      <w:r w:rsidRPr="00E8358C">
        <w:t>(Jérémie, entrevue)</w:t>
      </w:r>
    </w:p>
    <w:p w:rsidR="004C50DC" w:rsidRDefault="004C50DC" w:rsidP="004C50DC">
      <w:pPr>
        <w:pStyle w:val="Citation0"/>
        <w:rPr>
          <w:bCs/>
        </w:rPr>
      </w:pPr>
    </w:p>
    <w:p w:rsidR="004C50DC" w:rsidRDefault="004C50DC" w:rsidP="004C50DC">
      <w:pPr>
        <w:spacing w:before="120" w:after="120"/>
        <w:jc w:val="both"/>
        <w:rPr>
          <w:bCs/>
        </w:rPr>
      </w:pPr>
      <w:r>
        <w:rPr>
          <w:bCs/>
        </w:rPr>
        <w:t>[263]</w:t>
      </w:r>
    </w:p>
    <w:p w:rsidR="004C50DC" w:rsidRPr="00E8358C" w:rsidRDefault="004C50DC" w:rsidP="004C50DC">
      <w:pPr>
        <w:spacing w:before="120" w:after="120"/>
        <w:jc w:val="both"/>
        <w:rPr>
          <w:bCs/>
        </w:rPr>
      </w:pPr>
      <w:r w:rsidRPr="00E8358C">
        <w:rPr>
          <w:bCs/>
        </w:rPr>
        <w:t>Charles Najman</w:t>
      </w:r>
      <w:r>
        <w:rPr>
          <w:bCs/>
        </w:rPr>
        <w:t> </w:t>
      </w:r>
      <w:r w:rsidRPr="00E8358C">
        <w:rPr>
          <w:rStyle w:val="Appelnotedebasdep"/>
          <w:bCs/>
        </w:rPr>
        <w:footnoteReference w:id="726"/>
      </w:r>
      <w:r w:rsidRPr="00E8358C">
        <w:rPr>
          <w:bCs/>
        </w:rPr>
        <w:t xml:space="preserve"> dresse une liste de noms de quelques chefs so</w:t>
      </w:r>
      <w:r w:rsidRPr="00E8358C">
        <w:rPr>
          <w:bCs/>
        </w:rPr>
        <w:t>u</w:t>
      </w:r>
      <w:r w:rsidRPr="00E8358C">
        <w:rPr>
          <w:bCs/>
        </w:rPr>
        <w:t>vent oubliés ou peu considérés dans les analyses historiques d’Haïti, comme Petit Noël-Prieur, Tellier, Cagnet, Val malheureux, Cacapo</w:t>
      </w:r>
      <w:r w:rsidRPr="00E8358C">
        <w:rPr>
          <w:bCs/>
        </w:rPr>
        <w:t>u</w:t>
      </w:r>
      <w:r w:rsidRPr="00E8358C">
        <w:rPr>
          <w:bCs/>
        </w:rPr>
        <w:t>le, Hyacinthe, Lamour Derance, pourtant distingués par leur aura de grands initiés du vodou et leur pouvoir de dialoguer avec les esprits de la nature tout comme Boukman et Mackandal</w:t>
      </w:r>
      <w:r>
        <w:rPr>
          <w:bCs/>
        </w:rPr>
        <w:t> </w:t>
      </w:r>
      <w:r>
        <w:rPr>
          <w:rStyle w:val="Appelnotedebasdep"/>
          <w:bCs/>
        </w:rPr>
        <w:footnoteReference w:id="727"/>
      </w:r>
      <w:r w:rsidRPr="00E8358C">
        <w:rPr>
          <w:bCs/>
        </w:rPr>
        <w:t>. Petit Noël-Prieur, Sy</w:t>
      </w:r>
      <w:r w:rsidRPr="00E8358C">
        <w:rPr>
          <w:bCs/>
        </w:rPr>
        <w:t>l</w:t>
      </w:r>
      <w:r w:rsidRPr="00E8358C">
        <w:rPr>
          <w:bCs/>
        </w:rPr>
        <w:t>la, Sans-Souci et Lamour Derance étaient aussi des chefs de bande qui « refusaient tous d’être commandés par des généraux créoles, n</w:t>
      </w:r>
      <w:r w:rsidRPr="00E8358C">
        <w:rPr>
          <w:bCs/>
        </w:rPr>
        <w:t>o</w:t>
      </w:r>
      <w:r w:rsidRPr="00E8358C">
        <w:rPr>
          <w:bCs/>
        </w:rPr>
        <w:t>tamment par Dessalines et par Christophe, qui peu de temps aupar</w:t>
      </w:r>
      <w:r w:rsidRPr="00E8358C">
        <w:rPr>
          <w:bCs/>
        </w:rPr>
        <w:t>a</w:t>
      </w:r>
      <w:r w:rsidRPr="00E8358C">
        <w:rPr>
          <w:bCs/>
        </w:rPr>
        <w:t>vant luttaient aux côtés des Français, leur livrant une guerre sans répit et sans pitié »</w:t>
      </w:r>
      <w:r>
        <w:rPr>
          <w:bCs/>
        </w:rPr>
        <w:t> </w:t>
      </w:r>
      <w:r>
        <w:rPr>
          <w:rStyle w:val="Appelnotedebasdep"/>
          <w:bCs/>
        </w:rPr>
        <w:footnoteReference w:id="728"/>
      </w:r>
      <w:r w:rsidRPr="00E8358C">
        <w:rPr>
          <w:bCs/>
        </w:rPr>
        <w:t>.</w:t>
      </w:r>
    </w:p>
    <w:p w:rsidR="004C50DC" w:rsidRPr="00E8358C" w:rsidRDefault="004C50DC" w:rsidP="004C50DC">
      <w:pPr>
        <w:spacing w:before="120" w:after="120"/>
        <w:jc w:val="both"/>
        <w:rPr>
          <w:bCs/>
        </w:rPr>
      </w:pPr>
      <w:r w:rsidRPr="00E8358C">
        <w:rPr>
          <w:bCs/>
        </w:rPr>
        <w:t>Dans diverses manifestations populaires (</w:t>
      </w:r>
      <w:r w:rsidRPr="00E8358C">
        <w:rPr>
          <w:bCs/>
          <w:i/>
        </w:rPr>
        <w:t xml:space="preserve">rara, </w:t>
      </w:r>
      <w:r w:rsidRPr="00E8358C">
        <w:rPr>
          <w:bCs/>
        </w:rPr>
        <w:t>carnaval), les fort</w:t>
      </w:r>
      <w:r w:rsidRPr="00E8358C">
        <w:rPr>
          <w:bCs/>
        </w:rPr>
        <w:t>i</w:t>
      </w:r>
      <w:r w:rsidRPr="00E8358C">
        <w:rPr>
          <w:bCs/>
        </w:rPr>
        <w:t>fications sont traitées  comme des « lieux d’anonymat » où de no</w:t>
      </w:r>
      <w:r w:rsidRPr="00E8358C">
        <w:rPr>
          <w:bCs/>
        </w:rPr>
        <w:t>m</w:t>
      </w:r>
      <w:r w:rsidRPr="00E8358C">
        <w:rPr>
          <w:bCs/>
        </w:rPr>
        <w:t>breux combattants esclaves sont les oubliés de l’histoire d’Haïti. Ainsi considérées, les fortifications sont au cœur de débats qui questionnent les mémoires de l’esclavage. Pour reprendre les mots d’Albert Me</w:t>
      </w:r>
      <w:r w:rsidRPr="00E8358C">
        <w:rPr>
          <w:bCs/>
        </w:rPr>
        <w:t>m</w:t>
      </w:r>
      <w:r w:rsidRPr="00E8358C">
        <w:rPr>
          <w:bCs/>
        </w:rPr>
        <w:t>mi, ils « n’ont droit qu’à la noyade dans le collectif anonyme »</w:t>
      </w:r>
      <w:r>
        <w:rPr>
          <w:bCs/>
        </w:rPr>
        <w:t> </w:t>
      </w:r>
      <w:r w:rsidRPr="00E8358C">
        <w:rPr>
          <w:rStyle w:val="Appelnotedebasdep"/>
          <w:bCs/>
        </w:rPr>
        <w:footnoteReference w:id="729"/>
      </w:r>
      <w:r w:rsidRPr="00E8358C">
        <w:rPr>
          <w:bCs/>
        </w:rPr>
        <w:t xml:space="preserve">. Alors, dans le procès </w:t>
      </w:r>
      <w:r w:rsidRPr="00E8358C">
        <w:rPr>
          <w:lang w:eastAsia="ja-JP"/>
        </w:rPr>
        <w:t>des classes dirigeantes haïtiennes, les fortific</w:t>
      </w:r>
      <w:r w:rsidRPr="00E8358C">
        <w:rPr>
          <w:lang w:eastAsia="ja-JP"/>
        </w:rPr>
        <w:t>a</w:t>
      </w:r>
      <w:r w:rsidRPr="00E8358C">
        <w:rPr>
          <w:lang w:eastAsia="ja-JP"/>
        </w:rPr>
        <w:t>tions servent de tremplin pour expliquer leur inaction devant la dét</w:t>
      </w:r>
      <w:r w:rsidRPr="00E8358C">
        <w:rPr>
          <w:lang w:eastAsia="ja-JP"/>
        </w:rPr>
        <w:t>é</w:t>
      </w:r>
      <w:r w:rsidRPr="00E8358C">
        <w:rPr>
          <w:lang w:eastAsia="ja-JP"/>
        </w:rPr>
        <w:t xml:space="preserve">rioration des conditions de vie des citoyens relégués aux oubliettes de l’histoire. Les individus sont réticents à l’idée de devoir se reconnaître dans un patrimoine ou de se l’approprier tant que leurs conditions de vie ne se sont pas améliorées. Le patrimoine est devenu le symbole de revendications, de frustrations et de complaintes, qui doit passer après les améliorations sociales et économiques. </w:t>
      </w:r>
    </w:p>
    <w:p w:rsidR="004C50DC" w:rsidRPr="00E8358C" w:rsidRDefault="004C50DC" w:rsidP="004C50DC">
      <w:pPr>
        <w:spacing w:before="120" w:after="120"/>
        <w:jc w:val="both"/>
      </w:pPr>
      <w:r w:rsidRPr="00E8358C">
        <w:t>Il faut d’abord interroger le passé esclavagiste avant de répondre aux multiples questions qui se posent sur les valeurs que peuvent su</w:t>
      </w:r>
      <w:r w:rsidRPr="00E8358C">
        <w:t>p</w:t>
      </w:r>
      <w:r w:rsidRPr="00E8358C">
        <w:t xml:space="preserve">porter les vestiges des forts dans une dynamique d’identification, de documentation des représentations de l’esclavage et de définition de leur juste place dans les programmes de l’Éducation nationale. C’est le temps de faire l’examen de leur présence dans la construction de la mémoire collective haïtienne et de comprendre la nature des enjeux de leur patrimonialisation compte tenu des débats </w:t>
      </w:r>
      <w:r>
        <w:t xml:space="preserve">[264] </w:t>
      </w:r>
      <w:r w:rsidRPr="00E8358C">
        <w:t xml:space="preserve">contemporains.  </w:t>
      </w:r>
    </w:p>
    <w:p w:rsidR="004C50DC" w:rsidRPr="00E8358C" w:rsidRDefault="004C50DC" w:rsidP="004C50DC">
      <w:pPr>
        <w:spacing w:before="120" w:after="120"/>
        <w:jc w:val="both"/>
      </w:pPr>
      <w:r w:rsidRPr="00E8358C">
        <w:t>Le symbolisme des habitations coloniales et des fortifications, deux représentations vivantes du paysage d’Haïti, charrie à la fois le passé esclavagiste des déportés africains devenus des citoyens haïtiens et les luttes pour la libération nationale. Loin d’être considérés a</w:t>
      </w:r>
      <w:r w:rsidRPr="00E8358C">
        <w:t>u</w:t>
      </w:r>
      <w:r w:rsidRPr="00E8358C">
        <w:t>jourd’hui comme des cadres aux mémoires de l’esclavage, leurs vest</w:t>
      </w:r>
      <w:r w:rsidRPr="00E8358C">
        <w:t>i</w:t>
      </w:r>
      <w:r w:rsidRPr="00E8358C">
        <w:t>ges sont presque oubliés dans un discours officiel et historique qui s’écrit « sur le mode patriotique et événementiel »</w:t>
      </w:r>
      <w:r>
        <w:t> </w:t>
      </w:r>
      <w:r w:rsidRPr="00E8358C">
        <w:rPr>
          <w:rStyle w:val="Appelnotedebasdep"/>
        </w:rPr>
        <w:footnoteReference w:id="730"/>
      </w:r>
      <w:r w:rsidRPr="00E8358C">
        <w:t>. Les fortific</w:t>
      </w:r>
      <w:r w:rsidRPr="00E8358C">
        <w:t>a</w:t>
      </w:r>
      <w:r w:rsidRPr="00E8358C">
        <w:t>tions, à un degré moindre, sont quelque peu occultées dans les entr</w:t>
      </w:r>
      <w:r w:rsidRPr="00E8358C">
        <w:t>e</w:t>
      </w:r>
      <w:r w:rsidRPr="00E8358C">
        <w:t>prises mémorielles, tandis que, au sujet des vestiges des habitations aba</w:t>
      </w:r>
      <w:r w:rsidRPr="00E8358C">
        <w:t>n</w:t>
      </w:r>
      <w:r w:rsidRPr="00E8358C">
        <w:t>données, Laënnec Hurbon élargit le cadre de cette mémoire :</w:t>
      </w:r>
    </w:p>
    <w:p w:rsidR="004C50DC" w:rsidRDefault="004C50DC" w:rsidP="004C50DC">
      <w:pPr>
        <w:pStyle w:val="Citation0"/>
      </w:pPr>
    </w:p>
    <w:p w:rsidR="004C50DC" w:rsidRDefault="004C50DC" w:rsidP="004C50DC">
      <w:pPr>
        <w:pStyle w:val="Citation0"/>
      </w:pPr>
      <w:r w:rsidRPr="00E8358C">
        <w:t>Les enjeux de la recherche sur les habitations recouvrent l’identification et la défense d’une part importante du patrimoine n</w:t>
      </w:r>
      <w:r w:rsidRPr="00E8358C">
        <w:t>a</w:t>
      </w:r>
      <w:r w:rsidRPr="00E8358C">
        <w:t>tional qui appartient non seulement à la mémoire haïtienne, mais aussi à celle de tous les pays qui ont organisé et ont justifié la traite et l’esclavage et qui pour cela dévelo</w:t>
      </w:r>
      <w:r w:rsidRPr="00E8358C">
        <w:t>p</w:t>
      </w:r>
      <w:r w:rsidRPr="00E8358C">
        <w:t>pent des liens culturels et histor</w:t>
      </w:r>
      <w:r w:rsidRPr="00E8358C">
        <w:t>i</w:t>
      </w:r>
      <w:r w:rsidRPr="00E8358C">
        <w:t>ques avec les Haïtiens</w:t>
      </w:r>
      <w:r>
        <w:t> </w:t>
      </w:r>
      <w:r>
        <w:rPr>
          <w:rStyle w:val="Appelnotedebasdep"/>
        </w:rPr>
        <w:footnoteReference w:id="731"/>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Il est urgent de prendre en compte les habitations coloniales et les fortifications dans un travail de mémoire en Haïti, car les perceptions </w:t>
      </w:r>
      <w:r w:rsidRPr="00E8358C">
        <w:rPr>
          <w:lang w:eastAsia="en-CA"/>
        </w:rPr>
        <w:t>assumées collectivement</w:t>
      </w:r>
      <w:r w:rsidRPr="00E8358C">
        <w:t xml:space="preserve"> de ces lieux matériels sont devenues une identité pour les groupes sociaux. Jean Fouchard confirme déjà l’intérêt d’une telle démarche intellectuelle en constatant que « le t</w:t>
      </w:r>
      <w:r w:rsidRPr="00E8358C">
        <w:t>a</w:t>
      </w:r>
      <w:r w:rsidRPr="00E8358C">
        <w:t>lent de l’esclave a été délaissé par les historiens » mais qu’il intéresse cependant la vie coloniale</w:t>
      </w:r>
      <w:r>
        <w:t> </w:t>
      </w:r>
      <w:r w:rsidRPr="00E8358C">
        <w:rPr>
          <w:rStyle w:val="Appelnotedebasdep"/>
        </w:rPr>
        <w:footnoteReference w:id="732"/>
      </w:r>
      <w:r w:rsidRPr="00E8358C">
        <w:t>. Nelly Schmidt n’a-t-elle pas eu raison aussi de noter que « de nombreux aspects de leur vie nous échappent et sont restés dans l’ombre »</w:t>
      </w:r>
      <w:r>
        <w:t> </w:t>
      </w:r>
      <w:r w:rsidRPr="00E8358C">
        <w:rPr>
          <w:rStyle w:val="Appelnotedebasdep"/>
        </w:rPr>
        <w:footnoteReference w:id="733"/>
      </w:r>
      <w:r w:rsidRPr="00E8358C">
        <w:t> ?</w:t>
      </w:r>
    </w:p>
    <w:p w:rsidR="004C50DC" w:rsidRPr="00E8358C" w:rsidRDefault="004C50DC" w:rsidP="004C50DC">
      <w:pPr>
        <w:spacing w:before="120" w:after="120"/>
        <w:jc w:val="both"/>
      </w:pPr>
      <w:r w:rsidRPr="00E8358C">
        <w:t>À ces préoccupations, Vénite, 66 ans, ancienne cadre au ministère de la Culture, que nous avons mentionnée plus haut, soutient qu’il faut préserver et mettre en valeur ces lieux de mémoire. Il faut encourager toutes les actions scientifiques et patrimoniales. Les mémoires de l’esclavage choisies après consensus permettront de dégager les v</w:t>
      </w:r>
      <w:r w:rsidRPr="00E8358C">
        <w:t>a</w:t>
      </w:r>
      <w:r w:rsidRPr="00E8358C">
        <w:t>leurs sociales</w:t>
      </w:r>
      <w:r>
        <w:t xml:space="preserve"> [265]</w:t>
      </w:r>
      <w:r w:rsidRPr="00E8358C">
        <w:t xml:space="preserve"> haïtiennes, car les sites et les monuments portent les germes du passé tel que vécu, du présent à expérimenter et du futur à construire par les Haïtiens.  </w:t>
      </w:r>
    </w:p>
    <w:p w:rsidR="004C50DC" w:rsidRDefault="004C50DC" w:rsidP="004C50DC">
      <w:pPr>
        <w:pStyle w:val="Citation0"/>
      </w:pPr>
    </w:p>
    <w:p w:rsidR="004C50DC" w:rsidRDefault="004C50DC" w:rsidP="004C50DC">
      <w:pPr>
        <w:pStyle w:val="Citation0"/>
      </w:pPr>
      <w:r w:rsidRPr="00E8358C">
        <w:t>Il faut penser à la patrimonialisation des lieux d’abord. Si l’esclavage est traité comme un fait historique qui a déterminé le d</w:t>
      </w:r>
      <w:r w:rsidRPr="00E8358C">
        <w:t>e</w:t>
      </w:r>
      <w:r w:rsidRPr="00E8358C">
        <w:t>venir du pays et de son peuple, on ne peut en faire abstraction. Il faut donc mettre en évidence les actions qui ont soutenu ce fait et ont pe</w:t>
      </w:r>
      <w:r w:rsidRPr="00E8358C">
        <w:t>r</w:t>
      </w:r>
      <w:r w:rsidRPr="00E8358C">
        <w:t>mis à cette histoire-là d’émerger et de se construire. Comment ? Par l’identification objective et rationnelle des lieux et événements. Par la recherche historique et des e</w:t>
      </w:r>
      <w:r w:rsidRPr="00E8358C">
        <w:t>n</w:t>
      </w:r>
      <w:r w:rsidRPr="00E8358C">
        <w:t>quêtes de terrain. Par la préservation et la conservation. Par la mise en v</w:t>
      </w:r>
      <w:r w:rsidRPr="00E8358C">
        <w:t>a</w:t>
      </w:r>
      <w:r w:rsidRPr="00E8358C">
        <w:t xml:space="preserve">leur des « mémoires choisies » et de leur rôle de promoteur idéologique des valeurs de  la société. </w:t>
      </w:r>
    </w:p>
    <w:p w:rsidR="004C50DC" w:rsidRPr="00E8358C" w:rsidRDefault="004C50DC" w:rsidP="004C50DC">
      <w:pPr>
        <w:pStyle w:val="Citation0c"/>
      </w:pPr>
      <w:r w:rsidRPr="00E8358C">
        <w:t>(Vénite, entrevue, 12 avril 2014)</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Elle poursuit en disant que les lieux de mémoire sont les meilleurs témoins du passé haïtien. Les lieux matériels révèlent le passé colonial esclavagiste et ils conservent les empreintes du vécu des esclaves. Leur patrimonialisation doit s’accompagner d’un discours qui prenne en compte ce passé et les aspirations sociales haïtiennes. </w:t>
      </w:r>
    </w:p>
    <w:p w:rsidR="004C50DC" w:rsidRDefault="004C50DC" w:rsidP="004C50DC">
      <w:pPr>
        <w:pStyle w:val="Citation0"/>
      </w:pPr>
    </w:p>
    <w:p w:rsidR="004C50DC" w:rsidRPr="00E8358C" w:rsidRDefault="004C50DC" w:rsidP="004C50DC">
      <w:pPr>
        <w:pStyle w:val="Citation0"/>
      </w:pPr>
      <w:r w:rsidRPr="00E8358C">
        <w:t xml:space="preserve">Ces lieux physiques </w:t>
      </w:r>
      <w:r w:rsidRPr="00E8358C">
        <w:rPr>
          <w:i/>
        </w:rPr>
        <w:t>parlent</w:t>
      </w:r>
      <w:r w:rsidRPr="00E8358C">
        <w:t xml:space="preserve"> d’eux-mêmes pour nous dire ce que les gens y ont vécu. La recherche – archéologique et autre – est ici essentielle. Il faut ensuite trouver le </w:t>
      </w:r>
      <w:r w:rsidRPr="00E8358C">
        <w:rPr>
          <w:i/>
        </w:rPr>
        <w:t>bon</w:t>
      </w:r>
      <w:r w:rsidRPr="00E8358C">
        <w:t xml:space="preserve"> discours à faire tenir aux ch</w:t>
      </w:r>
      <w:r w:rsidRPr="00E8358C">
        <w:t>o</w:t>
      </w:r>
      <w:r w:rsidRPr="00E8358C">
        <w:t xml:space="preserve">ses et aux lieux. C’est absolument nécessaire dans un contexte de construction du pays et de celle d’un(e) Haïtien(ne) fier(ère) avec des raisons de l’être aujourd’hui. </w:t>
      </w:r>
    </w:p>
    <w:p w:rsidR="004C50DC" w:rsidRDefault="004C50DC" w:rsidP="004C50DC">
      <w:pPr>
        <w:pStyle w:val="Citation0c"/>
      </w:pPr>
      <w:r w:rsidRPr="00E8358C">
        <w:t>(Vénite, entrevue, 12 avril 2014)</w:t>
      </w:r>
    </w:p>
    <w:p w:rsidR="004C50DC" w:rsidRPr="00E8358C" w:rsidRDefault="004C50DC" w:rsidP="004C50DC">
      <w:pPr>
        <w:spacing w:before="120" w:after="120"/>
        <w:jc w:val="both"/>
        <w:rPr>
          <w:szCs w:val="22"/>
        </w:rPr>
      </w:pPr>
    </w:p>
    <w:p w:rsidR="004C50DC" w:rsidRPr="00E8358C" w:rsidRDefault="004C50DC" w:rsidP="004C50DC">
      <w:pPr>
        <w:pStyle w:val="planche"/>
      </w:pPr>
      <w:bookmarkStart w:id="300" w:name="_Toc442280514"/>
      <w:bookmarkStart w:id="301" w:name="_Toc423347332"/>
      <w:bookmarkStart w:id="302" w:name="_Toc406489749"/>
      <w:bookmarkStart w:id="303" w:name="Memoire_chap_IV_5_5"/>
      <w:r>
        <w:t>5.5. Le regard haïtien</w:t>
      </w:r>
      <w:r>
        <w:br/>
        <w:t>sur les habitations coloniales</w:t>
      </w:r>
      <w:r>
        <w:br/>
      </w:r>
      <w:r w:rsidRPr="00E8358C">
        <w:t>et les fortific</w:t>
      </w:r>
      <w:r w:rsidRPr="00E8358C">
        <w:t>a</w:t>
      </w:r>
      <w:r w:rsidRPr="00E8358C">
        <w:t>tions</w:t>
      </w:r>
      <w:bookmarkEnd w:id="300"/>
      <w:r w:rsidRPr="00E8358C">
        <w:t> </w:t>
      </w:r>
      <w:bookmarkEnd w:id="301"/>
      <w:bookmarkEnd w:id="302"/>
    </w:p>
    <w:bookmarkEnd w:id="303"/>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rFonts w:eastAsia="Calibri"/>
        </w:rPr>
      </w:pPr>
      <w:r w:rsidRPr="00E8358C">
        <w:t>La toponymie étudie les noms des lieux, leur origine et leur sens ou désigne l'ensemble des toponymes déterminés. Elle prend en com</w:t>
      </w:r>
      <w:r w:rsidRPr="00E8358C">
        <w:t>p</w:t>
      </w:r>
      <w:r w:rsidRPr="00E8358C">
        <w:t>te des noms d’agglomérations humaines (villes, villages, quartiers) ou de circonscriptions historiques ou administratives (communes, se</w:t>
      </w:r>
      <w:r w:rsidRPr="00E8358C">
        <w:t>c</w:t>
      </w:r>
      <w:r w:rsidRPr="00E8358C">
        <w:t>tions communales, etc.)</w:t>
      </w:r>
      <w:r>
        <w:t> </w:t>
      </w:r>
      <w:r>
        <w:rPr>
          <w:rStyle w:val="Appelnotedebasdep"/>
        </w:rPr>
        <w:footnoteReference w:id="734"/>
      </w:r>
      <w:r w:rsidRPr="00E8358C">
        <w:t>. Elle s’impose toujours dans les débats où il est question de la préservation des noms de lieux de patrimoine</w:t>
      </w:r>
      <w:r>
        <w:t> </w:t>
      </w:r>
      <w:r>
        <w:rPr>
          <w:rStyle w:val="Appelnotedebasdep"/>
        </w:rPr>
        <w:footnoteReference w:id="735"/>
      </w:r>
      <w:r w:rsidRPr="00E8358C">
        <w:t>. L</w:t>
      </w:r>
      <w:r w:rsidRPr="00E8358C">
        <w:rPr>
          <w:rFonts w:eastAsia="Calibri"/>
        </w:rPr>
        <w:t>es noms ont une valeur patrimoniale et historique et supportent une cha</w:t>
      </w:r>
      <w:r w:rsidRPr="00E8358C">
        <w:rPr>
          <w:rFonts w:eastAsia="Calibri"/>
        </w:rPr>
        <w:t>r</w:t>
      </w:r>
      <w:r w:rsidRPr="00E8358C">
        <w:rPr>
          <w:rFonts w:eastAsia="Calibri"/>
        </w:rPr>
        <w:t>ge mémorielle qui se transmet de génération en génération. Avec l’usage, les gens d’une communauté les répètent sans se soucier pa</w:t>
      </w:r>
      <w:r w:rsidRPr="00E8358C">
        <w:rPr>
          <w:rFonts w:eastAsia="Calibri"/>
        </w:rPr>
        <w:t>r</w:t>
      </w:r>
      <w:r w:rsidRPr="00E8358C">
        <w:rPr>
          <w:rFonts w:eastAsia="Calibri"/>
        </w:rPr>
        <w:t>fois de leur origine ou de leur histoire. Pour Michèle Oriol, « nommer un lieu, c’est une façon</w:t>
      </w:r>
      <w:r>
        <w:rPr>
          <w:rFonts w:eastAsia="Calibri"/>
        </w:rPr>
        <w:t xml:space="preserve"> [266]</w:t>
      </w:r>
      <w:r w:rsidRPr="00E8358C">
        <w:rPr>
          <w:rFonts w:eastAsia="Calibri"/>
        </w:rPr>
        <w:t xml:space="preserve"> de le comprendre, de se l’approprier »</w:t>
      </w:r>
      <w:r>
        <w:rPr>
          <w:rFonts w:eastAsia="Calibri"/>
        </w:rPr>
        <w:t> </w:t>
      </w:r>
      <w:r>
        <w:rPr>
          <w:rStyle w:val="Appelnotedebasdep"/>
          <w:rFonts w:eastAsia="Calibri"/>
        </w:rPr>
        <w:footnoteReference w:id="736"/>
      </w:r>
      <w:r w:rsidRPr="00E8358C">
        <w:rPr>
          <w:rFonts w:eastAsia="Calibri"/>
        </w:rPr>
        <w:t>. Dans cette situation, il est à signaler que l’appropriation et la compr</w:t>
      </w:r>
      <w:r w:rsidRPr="00E8358C">
        <w:rPr>
          <w:rFonts w:eastAsia="Calibri"/>
        </w:rPr>
        <w:t>é</w:t>
      </w:r>
      <w:r w:rsidRPr="00E8358C">
        <w:rPr>
          <w:rFonts w:eastAsia="Calibri"/>
        </w:rPr>
        <w:t>hension peuvent tout aussi bien se réaliser de manière consciente (connaissance de l’histoire ou de la littérature sur le lieu) ou de mani</w:t>
      </w:r>
      <w:r w:rsidRPr="00E8358C">
        <w:rPr>
          <w:rFonts w:eastAsia="Calibri"/>
        </w:rPr>
        <w:t>è</w:t>
      </w:r>
      <w:r w:rsidRPr="00E8358C">
        <w:rPr>
          <w:rFonts w:eastAsia="Calibri"/>
        </w:rPr>
        <w:t>re inconsciente (répétition et mémoires part</w:t>
      </w:r>
      <w:r w:rsidRPr="00E8358C">
        <w:rPr>
          <w:rFonts w:eastAsia="Calibri"/>
        </w:rPr>
        <w:t>a</w:t>
      </w:r>
      <w:r w:rsidRPr="00E8358C">
        <w:rPr>
          <w:rFonts w:eastAsia="Calibri"/>
        </w:rPr>
        <w:t xml:space="preserve">gées). </w:t>
      </w:r>
    </w:p>
    <w:p w:rsidR="004C50DC" w:rsidRPr="00E8358C" w:rsidRDefault="004C50DC" w:rsidP="004C50DC">
      <w:pPr>
        <w:spacing w:before="120" w:after="120"/>
        <w:jc w:val="both"/>
        <w:rPr>
          <w:rFonts w:eastAsia="Calibri"/>
        </w:rPr>
      </w:pPr>
      <w:r w:rsidRPr="00E8358C">
        <w:t>L</w:t>
      </w:r>
      <w:r w:rsidRPr="00E8358C">
        <w:rPr>
          <w:rFonts w:eastAsia="Calibri"/>
        </w:rPr>
        <w:t xml:space="preserve">’analyse toponymique des villes et des milieux ruraux permet de comprendre que « l’espace rural et l’espace urbain sont organisés dans les limites des plantations – les noms des </w:t>
      </w:r>
      <w:r w:rsidRPr="00E8358C">
        <w:t>“</w:t>
      </w:r>
      <w:r w:rsidRPr="00E8358C">
        <w:rPr>
          <w:rFonts w:eastAsia="Calibri"/>
        </w:rPr>
        <w:t>grands habitants blancs</w:t>
      </w:r>
      <w:r w:rsidRPr="00E8358C">
        <w:t>”</w:t>
      </w:r>
      <w:r w:rsidRPr="00E8358C">
        <w:rPr>
          <w:rFonts w:eastAsia="Calibri"/>
        </w:rPr>
        <w:t xml:space="preserve"> (</w:t>
      </w:r>
      <w:r w:rsidRPr="00E8358C">
        <w:rPr>
          <w:rFonts w:eastAsia="Calibri"/>
          <w:i/>
        </w:rPr>
        <w:t>colons</w:t>
      </w:r>
      <w:r w:rsidRPr="00E8358C">
        <w:rPr>
          <w:rFonts w:eastAsia="Calibri"/>
        </w:rPr>
        <w:t>) sont repris, comme références</w:t>
      </w:r>
      <w:r>
        <w:rPr>
          <w:rFonts w:eastAsia="Calibri"/>
        </w:rPr>
        <w:t> </w:t>
      </w:r>
      <w:r>
        <w:rPr>
          <w:rStyle w:val="Appelnotedebasdep"/>
          <w:rFonts w:eastAsia="Calibri"/>
        </w:rPr>
        <w:footnoteReference w:id="737"/>
      </w:r>
      <w:r w:rsidRPr="00E8358C">
        <w:rPr>
          <w:rFonts w:eastAsia="Calibri"/>
        </w:rPr>
        <w:t> ». Les Haïtiens perpétuent quotidiennement, même sans en être conscients, la mémoire des pr</w:t>
      </w:r>
      <w:r w:rsidRPr="00E8358C">
        <w:rPr>
          <w:rFonts w:eastAsia="Calibri"/>
        </w:rPr>
        <w:t>o</w:t>
      </w:r>
      <w:r w:rsidRPr="00E8358C">
        <w:rPr>
          <w:rFonts w:eastAsia="Calibri"/>
        </w:rPr>
        <w:t>priétaires-colons de Saint-Domingue, parallèlement à celle des pères fondateurs de la nation. La toponymie haïtienne se révèle une source historique et un cadre important de la mémoire. Elle influence et m</w:t>
      </w:r>
      <w:r w:rsidRPr="00E8358C">
        <w:rPr>
          <w:rFonts w:eastAsia="Calibri"/>
        </w:rPr>
        <w:t>o</w:t>
      </w:r>
      <w:r w:rsidRPr="00E8358C">
        <w:rPr>
          <w:rFonts w:eastAsia="Calibri"/>
        </w:rPr>
        <w:t>dèle l’imaginaire collectif haïtien. À cet égard, Michèle Oriol explique avec une grande finesse le cas haïtien.</w:t>
      </w:r>
    </w:p>
    <w:p w:rsidR="004C50DC" w:rsidRDefault="004C50DC" w:rsidP="004C50DC">
      <w:pPr>
        <w:pStyle w:val="Citation0"/>
      </w:pPr>
    </w:p>
    <w:p w:rsidR="004C50DC" w:rsidRDefault="004C50DC" w:rsidP="004C50DC">
      <w:pPr>
        <w:pStyle w:val="Citation0"/>
      </w:pPr>
      <w:r w:rsidRPr="00E8358C">
        <w:t>Dans les campagnes et les villes haïtiennes, aujourd’hui, les de</w:t>
      </w:r>
      <w:r w:rsidRPr="00E8358C">
        <w:t>s</w:t>
      </w:r>
      <w:r w:rsidRPr="00E8358C">
        <w:t>cendants d’esclaves évoquent tous les jours les noms de leurs anciens maîtres, sans rancœur ni rancune, en ignorant qu’ils font revivre tous les jours la m</w:t>
      </w:r>
      <w:r w:rsidRPr="00E8358C">
        <w:t>é</w:t>
      </w:r>
      <w:r w:rsidRPr="00E8358C">
        <w:t>moire de ceux que l’histoire a condamnés et qui sont fustigés tous les jours dans les discours politiques. Les toponymes ha</w:t>
      </w:r>
      <w:r w:rsidRPr="00E8358C">
        <w:t>ï</w:t>
      </w:r>
      <w:r w:rsidRPr="00E8358C">
        <w:t>tiens apparaissent donc comme un blanc dans une mémoire qui se veut pointilleuse et radicale. Les toponymes apparaissent ainsi comme un pied de nez à la recherche identitaire haïtienne qui semble se faire d’autant plus acharnée que le pr</w:t>
      </w:r>
      <w:r w:rsidRPr="00E8358C">
        <w:t>é</w:t>
      </w:r>
      <w:r w:rsidRPr="00E8358C">
        <w:t>sent semble échapper au contrôle du peuple haïtien</w:t>
      </w:r>
      <w:r>
        <w:t> </w:t>
      </w:r>
      <w:r>
        <w:rPr>
          <w:rStyle w:val="Appelnotedebasdep"/>
        </w:rPr>
        <w:footnoteReference w:id="738"/>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Les noms des habitations coloniales font partie de l’histoire d’Haïti. Ne pas changer leurs noms, c’est éviter de faire tomber dans l’amnésie cette tranche de la mémoire coloniale. C’est éviter aussi de les laisser gagner par l’oubli. Les noms des lieux furent récupérés comme un héritage intangible de la victoire du 18 novembre 1803 et des nombreuses luttes qui l’avaient précédée. N’était-ce pas une m</w:t>
      </w:r>
      <w:r w:rsidRPr="00E8358C">
        <w:t>a</w:t>
      </w:r>
      <w:r w:rsidRPr="00E8358C">
        <w:t xml:space="preserve">nière pour les nouveaux dirigeants de la nation naissante de dépouiller les bourreaux d’hier de leur richesse et de leur patronyme ? En terre d’exil, les colons se souviendraient toujours des lieux occupés, car leur nom continuait de résonner dans un territoire </w:t>
      </w:r>
      <w:r w:rsidRPr="00E8358C">
        <w:rPr>
          <w:rFonts w:eastAsia="Calibri"/>
          <w:lang w:eastAsia="ja-JP"/>
        </w:rPr>
        <w:t xml:space="preserve">à tout jamais libre, rebaptisé </w:t>
      </w:r>
      <w:r w:rsidRPr="00E8358C">
        <w:t xml:space="preserve">Haïti. Tout était devenu haïtien. Le toponyme est donc une forme de prise de possession prégnante de la </w:t>
      </w:r>
      <w:r>
        <w:t xml:space="preserve">[267] </w:t>
      </w:r>
      <w:r w:rsidRPr="00E8358C">
        <w:t xml:space="preserve">mémoire de l’esclavage dans la société haïtienne. </w:t>
      </w:r>
    </w:p>
    <w:p w:rsidR="004C50DC" w:rsidRPr="00E8358C" w:rsidRDefault="004C50DC" w:rsidP="004C50DC">
      <w:pPr>
        <w:spacing w:before="120" w:after="120"/>
        <w:jc w:val="both"/>
      </w:pPr>
      <w:r w:rsidRPr="00E8358C">
        <w:t>Vénite, l’ancienne cadre au ministère de la Culture, nous définit la nature des lieux d’habitations et de fortifications que l’on devrait considérer dans le cadre d’un processus de patrimonialisation de la mémoire de l’esclavage en Haïti. Chacun de ces lieux présente des spécificités historiques qui permettront de dégager une mémoire ha</w:t>
      </w:r>
      <w:r w:rsidRPr="00E8358C">
        <w:t>ï</w:t>
      </w:r>
      <w:r w:rsidRPr="00E8358C">
        <w:t xml:space="preserve">tienne de l’esclavage. </w:t>
      </w:r>
    </w:p>
    <w:p w:rsidR="004C50DC" w:rsidRDefault="004C50DC" w:rsidP="004C50DC">
      <w:pPr>
        <w:pStyle w:val="Citation0"/>
      </w:pPr>
    </w:p>
    <w:p w:rsidR="004C50DC" w:rsidRPr="00E8358C" w:rsidRDefault="004C50DC" w:rsidP="004C50DC">
      <w:pPr>
        <w:pStyle w:val="Citation0"/>
      </w:pPr>
      <w:r w:rsidRPr="00E8358C">
        <w:t>Les habitations définissent l’organisation sociale et l’économie de la col</w:t>
      </w:r>
      <w:r w:rsidRPr="00E8358C">
        <w:t>o</w:t>
      </w:r>
      <w:r w:rsidRPr="00E8358C">
        <w:t>nie de Saint-Domingue (sucrières, caféières, campements de marronn</w:t>
      </w:r>
      <w:r w:rsidRPr="00E8358C">
        <w:t>a</w:t>
      </w:r>
      <w:r w:rsidRPr="00E8358C">
        <w:t>ge…). Tandis que les fortifications impriment le sceau de la militarisation sur la société haïtienne : les fortifications coloniales souvent avec marchés d’esclaves ; les fortifications taïnos et marro</w:t>
      </w:r>
      <w:r w:rsidRPr="00E8358C">
        <w:t>n</w:t>
      </w:r>
      <w:r w:rsidRPr="00E8358C">
        <w:t>nes, pour  leur aspect naturel (non construit) et de repli dans les mo</w:t>
      </w:r>
      <w:r w:rsidRPr="00E8358C">
        <w:t>n</w:t>
      </w:r>
      <w:r w:rsidRPr="00E8358C">
        <w:t>tagnes inaccessibles entourées de végétation ; les fortifications postc</w:t>
      </w:r>
      <w:r w:rsidRPr="00E8358C">
        <w:t>o</w:t>
      </w:r>
      <w:r w:rsidRPr="00E8358C">
        <w:t xml:space="preserve">loniales pour consolider le principal acquis : la liberté. </w:t>
      </w:r>
    </w:p>
    <w:p w:rsidR="004C50DC" w:rsidRDefault="004C50DC" w:rsidP="004C50DC">
      <w:pPr>
        <w:pStyle w:val="Citation0c"/>
      </w:pPr>
      <w:r w:rsidRPr="00E8358C">
        <w:t>(Vénite, entrevue, 12 avril 2014)</w:t>
      </w:r>
    </w:p>
    <w:p w:rsidR="004C50DC" w:rsidRPr="00E8358C" w:rsidRDefault="004C50DC" w:rsidP="004C50DC">
      <w:pPr>
        <w:pStyle w:val="Citation0c"/>
      </w:pPr>
    </w:p>
    <w:p w:rsidR="004C50DC" w:rsidRDefault="004C50DC" w:rsidP="004C50DC">
      <w:pPr>
        <w:spacing w:before="120" w:after="120"/>
        <w:jc w:val="both"/>
        <w:rPr>
          <w:bCs/>
        </w:rPr>
      </w:pPr>
      <w:r w:rsidRPr="00E8358C">
        <w:rPr>
          <w:bCs/>
        </w:rPr>
        <w:t>Dans les lignes qui suivent, nous présentons certains lieux tels qu’ils sont perçus par des</w:t>
      </w:r>
      <w:r>
        <w:rPr>
          <w:bCs/>
        </w:rPr>
        <w:t xml:space="preserve"> participants à notre enquête.</w:t>
      </w:r>
    </w:p>
    <w:p w:rsidR="004C50DC" w:rsidRPr="00E8358C" w:rsidRDefault="004C50DC" w:rsidP="004C50DC">
      <w:pPr>
        <w:spacing w:before="120" w:after="120"/>
        <w:jc w:val="both"/>
        <w:rPr>
          <w:bCs/>
        </w:rPr>
      </w:pPr>
      <w:r>
        <w:rPr>
          <w:bCs/>
        </w:rPr>
        <w:br w:type="page"/>
      </w:r>
    </w:p>
    <w:p w:rsidR="004C50DC" w:rsidRPr="00DC79CC" w:rsidRDefault="004C50DC" w:rsidP="004C50DC">
      <w:pPr>
        <w:pStyle w:val="b"/>
      </w:pPr>
      <w:bookmarkStart w:id="304" w:name="_Toc406489750"/>
      <w:bookmarkStart w:id="305" w:name="_Toc423347333"/>
      <w:bookmarkStart w:id="306" w:name="_Toc442280515"/>
      <w:r w:rsidRPr="00DC79CC">
        <w:t>Citadelle Henri Christophe à Milot</w:t>
      </w:r>
      <w:bookmarkEnd w:id="304"/>
      <w:bookmarkEnd w:id="305"/>
      <w:bookmarkEnd w:id="306"/>
    </w:p>
    <w:p w:rsidR="004C50DC" w:rsidRDefault="004C50DC" w:rsidP="004C50DC">
      <w:pPr>
        <w:spacing w:before="120" w:after="120"/>
        <w:jc w:val="both"/>
      </w:pPr>
    </w:p>
    <w:p w:rsidR="004C50DC" w:rsidRPr="00E8358C" w:rsidRDefault="004C50DC" w:rsidP="004C50DC">
      <w:pPr>
        <w:spacing w:before="120" w:after="120"/>
        <w:jc w:val="both"/>
      </w:pPr>
      <w:r w:rsidRPr="00E8358C">
        <w:t>La citadelle Henri Christophe</w:t>
      </w:r>
      <w:r>
        <w:t> </w:t>
      </w:r>
      <w:r w:rsidRPr="00E8358C">
        <w:rPr>
          <w:rStyle w:val="Appelnotedebasdep"/>
        </w:rPr>
        <w:footnoteReference w:id="739"/>
      </w:r>
      <w:r w:rsidRPr="00E8358C">
        <w:t xml:space="preserve"> s’élève à 900 m d’altitude et s’impose comme la plus grande fortification des Caraïbes</w:t>
      </w:r>
      <w:r>
        <w:t> </w:t>
      </w:r>
      <w:r>
        <w:rPr>
          <w:rStyle w:val="Appelnotedebasdep"/>
        </w:rPr>
        <w:footnoteReference w:id="740"/>
      </w:r>
      <w:r>
        <w:rPr>
          <w:vertAlign w:val="superscript"/>
        </w:rPr>
        <w:t>.</w:t>
      </w:r>
      <w:r w:rsidRPr="00E8358C">
        <w:t xml:space="preserve"> Cette construction matérialise l’ordonnance de Jean-Jacques Dessalines après l’Indépendance d’Haïti (1804) qui visait à défendre la partie nord de la nouvelle république contre la menace perpétuelle d’une a</w:t>
      </w:r>
      <w:r w:rsidRPr="00E8358C">
        <w:t>t</w:t>
      </w:r>
      <w:r w:rsidRPr="00E8358C">
        <w:t>taque des troupes françaises. Selon Thomas Madiou, « dès le mois de janvier 1805, Christophe avait fait commencer la construction de la Citadelle, sous la direction d’un officier du génie appelé Henry Barré, homme de couleur… »</w:t>
      </w:r>
      <w:r>
        <w:t> </w:t>
      </w:r>
      <w:r>
        <w:rPr>
          <w:rStyle w:val="Appelnotedebasdep"/>
        </w:rPr>
        <w:footnoteReference w:id="741"/>
      </w:r>
      <w:r w:rsidRPr="00E8358C">
        <w:t>. Cet architecte avait élaboré le plan de la c</w:t>
      </w:r>
      <w:r w:rsidRPr="00E8358C">
        <w:t>i</w:t>
      </w:r>
      <w:r w:rsidRPr="00E8358C">
        <w:t>tadelle sur les instructions de Christophe. L’architecte écossais Laferri</w:t>
      </w:r>
      <w:r w:rsidRPr="00E8358C">
        <w:t>è</w:t>
      </w:r>
      <w:r w:rsidRPr="00E8358C">
        <w:t>re devait finaliser les travaux, qui durèrent quinze ans (1804-1818). La Citadelle fait partie d’un ensemble de</w:t>
      </w:r>
      <w:r>
        <w:t xml:space="preserve"> [268]</w:t>
      </w:r>
      <w:r w:rsidRPr="00E8358C">
        <w:t xml:space="preserve"> dispositifs de défense comprenant le site des Ramiers, formé de quatre redoutes, et le co</w:t>
      </w:r>
      <w:r w:rsidRPr="00E8358C">
        <w:t>m</w:t>
      </w:r>
      <w:r w:rsidRPr="00E8358C">
        <w:t>plexe résidentiel et militaire dit « Palais de la Reine ». La cit</w:t>
      </w:r>
      <w:r w:rsidRPr="00E8358C">
        <w:t>a</w:t>
      </w:r>
      <w:r w:rsidRPr="00E8358C">
        <w:t>delle dépassait « le cadre fonctionnel strict d’un ouvrage militaire de défe</w:t>
      </w:r>
      <w:r w:rsidRPr="00E8358C">
        <w:t>n</w:t>
      </w:r>
      <w:r w:rsidRPr="00E8358C">
        <w:t>se pour se transformer en un monument intentionnel, dédié à la victo</w:t>
      </w:r>
      <w:r w:rsidRPr="00E8358C">
        <w:t>i</w:t>
      </w:r>
      <w:r w:rsidRPr="00E8358C">
        <w:t>re de 1803... »</w:t>
      </w:r>
      <w:r>
        <w:t> </w:t>
      </w:r>
      <w:r>
        <w:rPr>
          <w:rStyle w:val="Appelnotedebasdep"/>
        </w:rPr>
        <w:footnoteReference w:id="742"/>
      </w:r>
      <w:r w:rsidRPr="00E8358C">
        <w:t>.</w:t>
      </w:r>
    </w:p>
    <w:p w:rsidR="004C50DC" w:rsidRDefault="004C50DC" w:rsidP="004C50DC">
      <w:pPr>
        <w:spacing w:before="120" w:after="120"/>
        <w:jc w:val="both"/>
      </w:pPr>
      <w:r w:rsidRPr="00E8358C">
        <w:t>Au cœur du Parc national historique, la Citadelle a connu plusieurs restaurations par le passé, notamment en 1977, et de 1980 à 1990 s</w:t>
      </w:r>
      <w:r w:rsidRPr="00E8358C">
        <w:t>e</w:t>
      </w:r>
      <w:r w:rsidRPr="00E8358C">
        <w:t>lon un plan d’action défini et ratifié par le gouvernement d’Haïti et l’UNESCO</w:t>
      </w:r>
      <w:r>
        <w:t> </w:t>
      </w:r>
      <w:r>
        <w:rPr>
          <w:rStyle w:val="Appelnotedebasdep"/>
        </w:rPr>
        <w:footnoteReference w:id="743"/>
      </w:r>
      <w:r w:rsidRPr="00E8358C">
        <w:t>. À la suite des menaces de destruction de certaines pa</w:t>
      </w:r>
      <w:r w:rsidRPr="00E8358C">
        <w:t>r</w:t>
      </w:r>
      <w:r w:rsidRPr="00E8358C">
        <w:t>ties très visibles dans les structures de maçonnerie, depuis 2011, de nouveaux travaux de restauration sont en cours suivant une nouvelle coopération entre l’État haïtien et l’UNESCO. La citadelle a été cla</w:t>
      </w:r>
      <w:r w:rsidRPr="00E8358C">
        <w:t>s</w:t>
      </w:r>
      <w:r w:rsidRPr="00E8358C">
        <w:t xml:space="preserve">sée, avec les monuments historiques du parc national (Palais de Sans-Souci, Citadelle Henri et site de Ramiers), au patrimoine national d’Haïti par </w:t>
      </w:r>
      <w:r>
        <w:t>arrêté en date du 23 août 1995.</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4109720" cy="2280920"/>
            <wp:effectExtent l="25400" t="25400" r="17780" b="17780"/>
            <wp:docPr id="31" name="Image 31" descr="citadell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descr="citadelle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09720" cy="228092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07" w:name="_Toc417146070"/>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pStyle w:val="figst"/>
        <w:rPr>
          <w:szCs w:val="18"/>
        </w:rPr>
      </w:pPr>
      <w:bookmarkStart w:id="308" w:name="Memoire_fig_25"/>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25</w:t>
      </w:r>
      <w:r w:rsidRPr="00DC79CC">
        <w:fldChar w:fldCharType="end"/>
      </w:r>
      <w:r w:rsidRPr="00DC79CC">
        <w:t>. Vue aérienne de la citadelle Henri Christophe</w:t>
      </w:r>
      <w:bookmarkEnd w:id="307"/>
      <w:r>
        <w:t>.</w:t>
      </w:r>
      <w:r>
        <w:br/>
      </w:r>
      <w:r w:rsidRPr="00E8358C">
        <w:rPr>
          <w:szCs w:val="18"/>
        </w:rPr>
        <w:t>Source : Ministère du tourisme haïtien</w:t>
      </w:r>
      <w:r>
        <w:rPr>
          <w:szCs w:val="18"/>
        </w:rPr>
        <w:t>.</w:t>
      </w:r>
    </w:p>
    <w:bookmarkEnd w:id="308"/>
    <w:p w:rsidR="004C50DC" w:rsidRDefault="004C50DC" w:rsidP="004C50DC">
      <w:pPr>
        <w:spacing w:before="120" w:after="120"/>
        <w:jc w:val="both"/>
        <w:rPr>
          <w:szCs w:val="18"/>
        </w:rPr>
      </w:pPr>
    </w:p>
    <w:p w:rsidR="004C50DC" w:rsidRDefault="004C50DC" w:rsidP="004C50DC">
      <w:pPr>
        <w:spacing w:before="120" w:after="120"/>
        <w:jc w:val="both"/>
        <w:rPr>
          <w:szCs w:val="18"/>
        </w:rPr>
      </w:pPr>
      <w:r>
        <w:rPr>
          <w:szCs w:val="18"/>
        </w:rPr>
        <w:br w:type="page"/>
        <w:t>[269]</w:t>
      </w:r>
    </w:p>
    <w:p w:rsidR="004C50DC" w:rsidRPr="00E8358C" w:rsidRDefault="004C50DC" w:rsidP="004C50DC">
      <w:pPr>
        <w:spacing w:before="120" w:after="120"/>
        <w:jc w:val="both"/>
        <w:rPr>
          <w:szCs w:val="18"/>
        </w:rPr>
      </w:pPr>
    </w:p>
    <w:p w:rsidR="004C50DC" w:rsidRPr="00E8358C" w:rsidRDefault="009B614B" w:rsidP="004C50DC">
      <w:pPr>
        <w:pStyle w:val="fig"/>
      </w:pPr>
      <w:r w:rsidRPr="00E8358C">
        <w:rPr>
          <w:noProof/>
          <w:lang w:eastAsia="fr-FR"/>
        </w:rPr>
        <w:drawing>
          <wp:inline distT="0" distB="0" distL="0" distR="0">
            <wp:extent cx="3754120" cy="2592705"/>
            <wp:effectExtent l="25400" t="25400" r="17780" b="10795"/>
            <wp:docPr id="32" name="Image 32" descr="IMG_0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descr="IMG_0947"/>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54120" cy="259270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09" w:name="_Toc417146071"/>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310" w:name="Memoire_fig_26"/>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26</w:t>
      </w:r>
      <w:r w:rsidRPr="00DC79CC">
        <w:fldChar w:fldCharType="end"/>
      </w:r>
      <w:r w:rsidRPr="00DC79CC">
        <w:t>. Une façade de la Citadelle Henri Christophe</w:t>
      </w:r>
      <w:bookmarkEnd w:id="309"/>
      <w:r>
        <w:t>.</w:t>
      </w:r>
      <w:r>
        <w:br/>
      </w:r>
      <w:r w:rsidRPr="00E8358C">
        <w:rPr>
          <w:szCs w:val="18"/>
        </w:rPr>
        <w:t>Photographie J.-R. Augustin, mars 2013</w:t>
      </w:r>
      <w:r>
        <w:rPr>
          <w:szCs w:val="18"/>
        </w:rPr>
        <w:t>.</w:t>
      </w:r>
    </w:p>
    <w:bookmarkEnd w:id="310"/>
    <w:p w:rsidR="004C50DC" w:rsidRPr="00E8358C" w:rsidRDefault="009B614B" w:rsidP="004C50DC">
      <w:pPr>
        <w:pStyle w:val="fig"/>
      </w:pPr>
      <w:r w:rsidRPr="00E8358C">
        <w:rPr>
          <w:noProof/>
        </w:rPr>
        <w:drawing>
          <wp:inline distT="0" distB="0" distL="0" distR="0">
            <wp:extent cx="3733165" cy="2807970"/>
            <wp:effectExtent l="25400" t="25400" r="13335" b="11430"/>
            <wp:docPr id="33" name="Image 33" descr="IMG_0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descr="IMG_0918"/>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33165" cy="280797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11" w:name="_Toc417146072"/>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312" w:name="Memoire_fig_27"/>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27</w:t>
      </w:r>
      <w:r w:rsidRPr="00DC79CC">
        <w:fldChar w:fldCharType="end"/>
      </w:r>
      <w:r w:rsidRPr="00DC79CC">
        <w:t>. Vestiges du palais de Sans-Souci</w:t>
      </w:r>
      <w:bookmarkEnd w:id="311"/>
      <w:r>
        <w:t>.</w:t>
      </w:r>
      <w:r>
        <w:br/>
      </w:r>
      <w:r w:rsidRPr="00E8358C">
        <w:rPr>
          <w:szCs w:val="18"/>
        </w:rPr>
        <w:t>Photographie J.-R. Augustin, mars 2013</w:t>
      </w:r>
      <w:r>
        <w:rPr>
          <w:szCs w:val="18"/>
        </w:rPr>
        <w:t>.</w:t>
      </w:r>
    </w:p>
    <w:bookmarkEnd w:id="312"/>
    <w:p w:rsidR="004C50DC" w:rsidRDefault="004C50DC" w:rsidP="004C50DC">
      <w:pPr>
        <w:spacing w:before="120" w:after="120"/>
        <w:jc w:val="both"/>
      </w:pPr>
    </w:p>
    <w:p w:rsidR="004C50DC" w:rsidRPr="00E8358C" w:rsidRDefault="004C50DC" w:rsidP="004C50DC">
      <w:pPr>
        <w:spacing w:before="120" w:after="120"/>
        <w:jc w:val="both"/>
      </w:pPr>
      <w:r w:rsidRPr="00E8358C">
        <w:t>Les Haïtiens s’accordent à considérer le site de la Citadelle comme le plus important lieu de mémoire de la défense de leur indépendance. Ce lieu caractérise la fierté de tout un peuple. C’est l’exemple tangible de la mémoire glorieuse, de la vision et du savoir-faire haïtiens. Les réactions des visiteurs haïtiens à la citadelle laissent clairement app</w:t>
      </w:r>
      <w:r w:rsidRPr="00E8358C">
        <w:t>a</w:t>
      </w:r>
      <w:r w:rsidRPr="00E8358C">
        <w:t>raître les rapports affectifs avec ce lieu. Elles confirment le symboli</w:t>
      </w:r>
      <w:r w:rsidRPr="00E8358C">
        <w:t>s</w:t>
      </w:r>
      <w:r w:rsidRPr="00E8358C">
        <w:t>me historique et identitaire qui incarne le peuple haïtien. Les gouve</w:t>
      </w:r>
      <w:r w:rsidRPr="00E8358C">
        <w:t>r</w:t>
      </w:r>
      <w:r w:rsidRPr="00E8358C">
        <w:t>nements en font le principal objet de représentation du</w:t>
      </w:r>
      <w:r>
        <w:t xml:space="preserve"> [270]</w:t>
      </w:r>
      <w:r w:rsidRPr="00E8358C">
        <w:t xml:space="preserve"> pays dans leur plan touristique. Patrick, un sexagénaire vivant à Miami, en vacance à Milot après dix ans d’absence d’Haïti, a porté son regard sur le site de la Citadelle lors de notre visite. Il déclare que la Citade</w:t>
      </w:r>
      <w:r w:rsidRPr="00E8358C">
        <w:t>l</w:t>
      </w:r>
      <w:r w:rsidRPr="00E8358C">
        <w:t xml:space="preserve">le est un symbole de fierté et ne manque pas l’occasion de faire sa promotion en invitant vivement ses compatriotes à la visiter. </w:t>
      </w:r>
    </w:p>
    <w:p w:rsidR="004C50DC" w:rsidRDefault="004C50DC" w:rsidP="004C50DC">
      <w:pPr>
        <w:pStyle w:val="Citation0i"/>
      </w:pPr>
    </w:p>
    <w:p w:rsidR="004C50DC" w:rsidRPr="00E8358C" w:rsidRDefault="004C50DC" w:rsidP="004C50DC">
      <w:pPr>
        <w:pStyle w:val="Citation0i"/>
      </w:pPr>
      <w:r w:rsidRPr="00E8358C">
        <w:t>Mwen toujou prè pou m pale de Sitadèl Christophe la tout kote m pase. Se senbòl fyète nou. Se yon moniman ki montre grandè pèp ayisyen devan l</w:t>
      </w:r>
      <w:r w:rsidRPr="00E8358C">
        <w:t>i</w:t>
      </w:r>
      <w:r w:rsidRPr="00E8358C">
        <w:t xml:space="preserve">manite. Se pou defann libète epi konbat retou lesklavaj zanzèt nou wa Chritophe te konstwi li. Fòk tout Ayisyen fè pwomosyon li. </w:t>
      </w:r>
    </w:p>
    <w:p w:rsidR="004C50DC" w:rsidRPr="00E8358C" w:rsidRDefault="004C50DC" w:rsidP="004C50DC">
      <w:pPr>
        <w:pStyle w:val="Citation0"/>
      </w:pPr>
      <w:r w:rsidRPr="00E8358C">
        <w:t>[Je suis toujours prêt à parler de la citadelle Henri Christophe pa</w:t>
      </w:r>
      <w:r w:rsidRPr="00E8358C">
        <w:t>r</w:t>
      </w:r>
      <w:r w:rsidRPr="00E8358C">
        <w:t>tout où je vais. C’est un symbole de fierté. Ce monument paraît à la hauteur de la mémoire collective haïtienne devant l’humanité. C’est pour défendre la l</w:t>
      </w:r>
      <w:r w:rsidRPr="00E8358C">
        <w:t>i</w:t>
      </w:r>
      <w:r w:rsidRPr="00E8358C">
        <w:t>berté et lutter contre le retour de l’esclavage que le roi Christophe l’a fait construire. Tout Haïtien doit assurer sa mise en valeur.]</w:t>
      </w:r>
    </w:p>
    <w:p w:rsidR="004C50DC" w:rsidRDefault="004C50DC" w:rsidP="004C50DC">
      <w:pPr>
        <w:pStyle w:val="Citation0c"/>
      </w:pPr>
      <w:r w:rsidRPr="00E8358C">
        <w:t>(Patrick, entrevue, 4 juillet 2014)</w:t>
      </w:r>
    </w:p>
    <w:p w:rsidR="004C50DC" w:rsidRPr="00E8358C" w:rsidRDefault="004C50DC" w:rsidP="004C50DC">
      <w:pPr>
        <w:pStyle w:val="Citation0c"/>
      </w:pPr>
    </w:p>
    <w:p w:rsidR="004C50DC" w:rsidRPr="00E8358C" w:rsidRDefault="004C50DC" w:rsidP="004C50DC">
      <w:pPr>
        <w:spacing w:before="120" w:after="120"/>
        <w:jc w:val="both"/>
      </w:pPr>
      <w:r w:rsidRPr="00E8358C">
        <w:t>Jacqueline, étudiante de 20 ans originaire de la ville de Jacmel, v</w:t>
      </w:r>
      <w:r w:rsidRPr="00E8358C">
        <w:t>i</w:t>
      </w:r>
      <w:r w:rsidRPr="00E8358C">
        <w:t>sitant pour la première fois la Citadelle le même jour, partage aussi cet avis. La Citadelle est l’un des accomplissements de la vision des pr</w:t>
      </w:r>
      <w:r w:rsidRPr="00E8358C">
        <w:t>e</w:t>
      </w:r>
      <w:r w:rsidRPr="00E8358C">
        <w:t xml:space="preserve">miers dirigeants, particulièrement de Henri Christophe. Elle a été construite peu de temps après l’Indépendance haïtienne pour défendre la liberté conquise. Ce lieu transmet à la fois l’histoire et la mémoire de l’esclavage. </w:t>
      </w:r>
    </w:p>
    <w:p w:rsidR="004C50DC" w:rsidRDefault="004C50DC" w:rsidP="004C50DC">
      <w:pPr>
        <w:pStyle w:val="Citation0i"/>
      </w:pPr>
    </w:p>
    <w:p w:rsidR="004C50DC" w:rsidRPr="00E8358C" w:rsidRDefault="004C50DC" w:rsidP="004C50DC">
      <w:pPr>
        <w:pStyle w:val="Citation0i"/>
      </w:pPr>
      <w:r w:rsidRPr="00E8358C">
        <w:t>Sa se travay visyon zanzèt nou yo. Nou se yon pèp ki gran, ki gen yon is</w:t>
      </w:r>
      <w:r w:rsidRPr="00E8358C">
        <w:t>t</w:t>
      </w:r>
      <w:r w:rsidRPr="00E8358C">
        <w:t>wa anpil pèp ta renmen genyen. Nou konbat esklavaj epi nou  konstwi yon moniman konsa pou n defann li. Mèsi Christophe pou senbòl fyète sa ou mouri kite pou tout pèp ayisyen an.</w:t>
      </w:r>
    </w:p>
    <w:p w:rsidR="004C50DC" w:rsidRPr="00E8358C" w:rsidRDefault="004C50DC" w:rsidP="004C50DC">
      <w:pPr>
        <w:pStyle w:val="Citation0"/>
      </w:pPr>
      <w:r w:rsidRPr="00E8358C">
        <w:t>[Ce monument traduit la vision de nos ancêtres. Nous sommes une grande nation, avec une histoire riche et très passionnante que beaucoup de pe</w:t>
      </w:r>
      <w:r w:rsidRPr="00E8358C">
        <w:t>u</w:t>
      </w:r>
      <w:r w:rsidRPr="00E8358C">
        <w:t>ples aimeraient avoir. Nous avons combattu l’esclavage, nous avons pu construire un monument aussi imposant pour défendre notre liberté. Merci Christophe d’avoir laissé ce symbole de fierté en héritage au peuple ha</w:t>
      </w:r>
      <w:r w:rsidRPr="00E8358C">
        <w:t>ï</w:t>
      </w:r>
      <w:r w:rsidRPr="00E8358C">
        <w:t>tien.]</w:t>
      </w:r>
    </w:p>
    <w:p w:rsidR="004C50DC" w:rsidRDefault="004C50DC" w:rsidP="004C50DC">
      <w:pPr>
        <w:pStyle w:val="Citation0c"/>
      </w:pPr>
      <w:r w:rsidRPr="00E8358C">
        <w:t>(Jacqueline, entrevue, 4 juillet 2014)</w:t>
      </w:r>
    </w:p>
    <w:p w:rsidR="004C50DC" w:rsidRPr="00E8358C" w:rsidRDefault="004C50DC" w:rsidP="004C50DC">
      <w:pPr>
        <w:pStyle w:val="Citation0c"/>
      </w:pPr>
    </w:p>
    <w:p w:rsidR="004C50DC" w:rsidRPr="00E8358C" w:rsidRDefault="004C50DC" w:rsidP="004C50DC">
      <w:pPr>
        <w:spacing w:before="120" w:after="120"/>
        <w:jc w:val="both"/>
      </w:pPr>
      <w:r w:rsidRPr="00E8358C">
        <w:t>Jocelyne, 41 ans, éducatrice demeurant à Milot, y voit l’orgueil du peuple haïtien. Elle visite régulièrement la Citadelle. Ce 4 juillet 2014 a été pour elle, une fois de plus, l’occasion de la redécouvrir. Selon Jocelyne, la Citadelle demeure une icône du savoir-faire et de la fierté des Haïtiens.</w:t>
      </w:r>
    </w:p>
    <w:p w:rsidR="004C50DC" w:rsidRDefault="004C50DC" w:rsidP="004C50DC">
      <w:pPr>
        <w:pStyle w:val="Citation0"/>
      </w:pPr>
    </w:p>
    <w:p w:rsidR="004C50DC" w:rsidRPr="00E8358C" w:rsidRDefault="004C50DC" w:rsidP="004C50DC">
      <w:pPr>
        <w:pStyle w:val="Citation0"/>
      </w:pPr>
      <w:r w:rsidRPr="00E8358C">
        <w:t>Je suis fière d’habiter la Commune où vivait le roi bâtisseur. Tous les Ha</w:t>
      </w:r>
      <w:r w:rsidRPr="00E8358C">
        <w:t>ï</w:t>
      </w:r>
      <w:r w:rsidRPr="00E8358C">
        <w:t>tiens doivent marcher sur ses pas. Il nous a légué la Citadelle qui est dev</w:t>
      </w:r>
      <w:r w:rsidRPr="00E8358C">
        <w:t>e</w:t>
      </w:r>
      <w:r w:rsidRPr="00E8358C">
        <w:t xml:space="preserve">nue une icône de la gloire haïtienne, de la victoire de la liberté sur l’esclavage à travers le monde. Son </w:t>
      </w:r>
      <w:r>
        <w:t xml:space="preserve">[271] </w:t>
      </w:r>
      <w:r w:rsidRPr="00E8358C">
        <w:t>architecture d</w:t>
      </w:r>
      <w:r w:rsidRPr="00E8358C">
        <w:t>é</w:t>
      </w:r>
      <w:r w:rsidRPr="00E8358C">
        <w:t>note l’ingéniosité du savoir-faire haïtien. Chaque jour, j’ai la chance de contempler orguei</w:t>
      </w:r>
      <w:r w:rsidRPr="00E8358C">
        <w:t>l</w:t>
      </w:r>
      <w:r w:rsidRPr="00E8358C">
        <w:t xml:space="preserve">leusement la citadelle et les autres  monuments qui s’y rattachent. </w:t>
      </w:r>
    </w:p>
    <w:p w:rsidR="004C50DC" w:rsidRDefault="004C50DC" w:rsidP="004C50DC">
      <w:pPr>
        <w:pStyle w:val="Citation0c"/>
      </w:pPr>
      <w:r w:rsidRPr="00E8358C">
        <w:t>(Jocelyne, entrevue, 4 juillet 2014)</w:t>
      </w:r>
    </w:p>
    <w:p w:rsidR="004C50DC" w:rsidRPr="00E8358C" w:rsidRDefault="004C50DC" w:rsidP="004C50DC">
      <w:pPr>
        <w:pStyle w:val="Citation0c"/>
      </w:pPr>
    </w:p>
    <w:p w:rsidR="004C50DC" w:rsidRPr="00E8358C" w:rsidRDefault="004C50DC" w:rsidP="004C50DC">
      <w:pPr>
        <w:spacing w:before="120" w:after="120"/>
        <w:jc w:val="both"/>
      </w:pPr>
      <w:r w:rsidRPr="00E8358C">
        <w:t>Le site de la Citadelle Henri Christophe a effectivement une portée mémorielle universelle. En 1976, Léopold S. Senghor, alors président du Sénégal, considéra sa visite à la citadelle comme « un pèlerinage aux sources vives de la négritude »</w:t>
      </w:r>
      <w:r>
        <w:t> </w:t>
      </w:r>
      <w:r>
        <w:rPr>
          <w:rStyle w:val="Appelnotedebasdep"/>
        </w:rPr>
        <w:footnoteReference w:id="744"/>
      </w:r>
      <w:r w:rsidRPr="00E8358C">
        <w:t xml:space="preserve">. Il est l’élément central du Parc national historique inscrit sur la liste du patrimoine mondial en 1982 par l’UNESCO, suivant la recommandation du Conseil international des monuments et des sites (ICOMOS). </w:t>
      </w:r>
    </w:p>
    <w:p w:rsidR="004C50DC" w:rsidRPr="00E8358C" w:rsidRDefault="004C50DC" w:rsidP="004C50DC">
      <w:pPr>
        <w:spacing w:before="120" w:after="120"/>
        <w:jc w:val="both"/>
      </w:pPr>
      <w:r w:rsidRPr="00E8358C">
        <w:t>Depuis 1990, l’ISPAN, en partenariat avec la Banque de la Rép</w:t>
      </w:r>
      <w:r w:rsidRPr="00E8358C">
        <w:t>u</w:t>
      </w:r>
      <w:r w:rsidRPr="00E8358C">
        <w:t>blique d’Haïti, a inauguré dans la Citadelle une salle d’exposition qui remplit la fonction d’un musée d’histoire avec « la plus grande colle</w:t>
      </w:r>
      <w:r w:rsidRPr="00E8358C">
        <w:t>c</w:t>
      </w:r>
      <w:r w:rsidRPr="00E8358C">
        <w:t>tion d’objets (canons, boulets, peintures) identitaires du peuple ha</w:t>
      </w:r>
      <w:r w:rsidRPr="00E8358C">
        <w:t>ï</w:t>
      </w:r>
      <w:r w:rsidRPr="00E8358C">
        <w:t>tien »</w:t>
      </w:r>
      <w:r>
        <w:t> </w:t>
      </w:r>
      <w:r w:rsidRPr="00E8358C">
        <w:rPr>
          <w:rStyle w:val="Appelnotedebasdep"/>
        </w:rPr>
        <w:footnoteReference w:id="745"/>
      </w:r>
      <w:r w:rsidRPr="00E8358C">
        <w:t>. Cependant, l’état de conservation du site, depuis quelques a</w:t>
      </w:r>
      <w:r w:rsidRPr="00E8358C">
        <w:t>n</w:t>
      </w:r>
      <w:r w:rsidRPr="00E8358C">
        <w:t>nées, en inquiète plus d’un ; si rien n’est fait, de sérieux dommages peuvent survenir dans un proche avenir. L’ISPAN a déjà attiré l’attention des autorités compétentes sur cet aspect dans un rapport publié en 2008, en mentionnant le fait que « l’idée du patrimoine, i</w:t>
      </w:r>
      <w:r w:rsidRPr="00E8358C">
        <w:t>n</w:t>
      </w:r>
      <w:r w:rsidRPr="00E8358C">
        <w:t>timement liée à la nécessité de conserver des œuvres menacées […] répond au principe de partage de la culture au sein des sociétés dém</w:t>
      </w:r>
      <w:r w:rsidRPr="00E8358C">
        <w:t>o</w:t>
      </w:r>
      <w:r w:rsidRPr="00E8358C">
        <w:t>cratiques »</w:t>
      </w:r>
      <w:r>
        <w:t> </w:t>
      </w:r>
      <w:r>
        <w:rPr>
          <w:rStyle w:val="Appelnotedebasdep"/>
        </w:rPr>
        <w:footnoteReference w:id="746"/>
      </w:r>
      <w:r w:rsidRPr="00E8358C">
        <w:t xml:space="preserve">. </w:t>
      </w:r>
    </w:p>
    <w:p w:rsidR="004C50DC" w:rsidRPr="00E8358C" w:rsidRDefault="004C50DC" w:rsidP="004C50DC">
      <w:pPr>
        <w:spacing w:before="120" w:after="120"/>
        <w:jc w:val="both"/>
      </w:pPr>
      <w:r w:rsidRPr="00E8358C">
        <w:t xml:space="preserve">Jocelyne a voulu nous entretenir aussi des risques potentiels de destruction de la Citadelle. Elle se montre très  préoccupée et veut lancer un cri d’alarme pour sensibiliser les autorités compétentes et la population haïtienne à l’urgence de restaurer le site, d’autant plus qu’il se trouve sur une faille sismique qui traverse le nord d’Haïti. </w:t>
      </w:r>
    </w:p>
    <w:p w:rsidR="004C50DC" w:rsidRDefault="004C50DC" w:rsidP="004C50DC">
      <w:pPr>
        <w:pStyle w:val="Citation0"/>
      </w:pPr>
    </w:p>
    <w:p w:rsidR="004C50DC" w:rsidRPr="00E8358C" w:rsidRDefault="004C50DC" w:rsidP="004C50DC">
      <w:pPr>
        <w:pStyle w:val="Citation0"/>
      </w:pPr>
      <w:r w:rsidRPr="00E8358C">
        <w:t xml:space="preserve">Il y a un risque énorme de destruction de la Citadelle. Les menaces sont sérieuses. La faille sismique qui traverse tout le Nord du pays complique encore plus la situation. Les autorités compétentes et la population doivent se concerter pour sauver le symbole de la fierté haïtienne. C’est un bien commun. Tous les Haïtiens sont concernés. </w:t>
      </w:r>
    </w:p>
    <w:p w:rsidR="004C50DC" w:rsidRPr="00E8358C" w:rsidRDefault="004C50DC" w:rsidP="004C50DC">
      <w:pPr>
        <w:pStyle w:val="Citation0c"/>
      </w:pPr>
      <w:r w:rsidRPr="00E8358C">
        <w:t>(Jocelyne, entrevue, 4 juillet 2014)</w:t>
      </w:r>
    </w:p>
    <w:p w:rsidR="004C50DC" w:rsidRPr="00E8358C" w:rsidRDefault="004C50DC" w:rsidP="004C50DC">
      <w:pPr>
        <w:spacing w:before="120" w:after="120"/>
        <w:jc w:val="both"/>
        <w:rPr>
          <w:szCs w:val="22"/>
        </w:rPr>
      </w:pPr>
    </w:p>
    <w:p w:rsidR="004C50DC" w:rsidRDefault="004C50DC" w:rsidP="004C50DC">
      <w:pPr>
        <w:spacing w:before="120" w:after="120"/>
        <w:jc w:val="both"/>
      </w:pPr>
      <w:r>
        <w:t>[272]</w:t>
      </w:r>
    </w:p>
    <w:p w:rsidR="004C50DC" w:rsidRPr="00E8358C" w:rsidRDefault="004C50DC" w:rsidP="004C50DC">
      <w:pPr>
        <w:spacing w:before="120" w:after="120"/>
        <w:jc w:val="both"/>
      </w:pPr>
      <w:r w:rsidRPr="00E8358C">
        <w:t>Nous n’avons pu trouver de statistiques concernant le nombre de visites de cette forteresse considérée par plusieurs Haïtiens comme la huitième merveille du monde. Selon l’ISPAN, durant la période « de janvier au mois de mai »</w:t>
      </w:r>
      <w:r>
        <w:t> </w:t>
      </w:r>
      <w:r>
        <w:rPr>
          <w:rStyle w:val="Appelnotedebasdep"/>
        </w:rPr>
        <w:footnoteReference w:id="747"/>
      </w:r>
      <w:r w:rsidRPr="00E8358C">
        <w:t>, la Citadelle accueille le plus grand no</w:t>
      </w:r>
      <w:r w:rsidRPr="00E8358C">
        <w:t>m</w:t>
      </w:r>
      <w:r w:rsidRPr="00E8358C">
        <w:t>bre de visiteurs. Des statistiques auraient permis de comparer le no</w:t>
      </w:r>
      <w:r w:rsidRPr="00E8358C">
        <w:t>m</w:t>
      </w:r>
      <w:r w:rsidRPr="00E8358C">
        <w:t>bre de visiteurs haïtiens aux visiteurs étrangers et d’identifier aussi les catégories de visiteurs (étudiants, professionnels, coopérants étra</w:t>
      </w:r>
      <w:r w:rsidRPr="00E8358C">
        <w:t>n</w:t>
      </w:r>
      <w:r w:rsidRPr="00E8358C">
        <w:t>gers, habitants de tel ou tel département, etc.). Elles auraient égal</w:t>
      </w:r>
      <w:r w:rsidRPr="00E8358C">
        <w:t>e</w:t>
      </w:r>
      <w:r w:rsidRPr="00E8358C">
        <w:t>ment permis de déterminer le nombre de citoyens haïtiens qui visitent ce haut lieu de mémoire chaque année. Les chiffres permettraient aux autorités étatiques et locales (ministère de l’Éducation nationale, m</w:t>
      </w:r>
      <w:r w:rsidRPr="00E8358C">
        <w:t>i</w:t>
      </w:r>
      <w:r w:rsidRPr="00E8358C">
        <w:t>nistère du Tourisme, ministère de la Culture, collectivités territori</w:t>
      </w:r>
      <w:r w:rsidRPr="00E8358C">
        <w:t>a</w:t>
      </w:r>
      <w:r w:rsidRPr="00E8358C">
        <w:t xml:space="preserve">les…) de développer ou de réviser les stratégies pour encourager plus de visiteurs haïtiens à venir à la Citadelle Henri Christophe. </w:t>
      </w:r>
    </w:p>
    <w:p w:rsidR="004C50DC" w:rsidRDefault="004C50DC" w:rsidP="004C50DC">
      <w:pPr>
        <w:spacing w:before="120" w:after="120"/>
        <w:jc w:val="both"/>
      </w:pPr>
      <w:r w:rsidRPr="00E8358C">
        <w:t>Comme nous l’avons déjà évoqué dans le texte, il faut que les h</w:t>
      </w:r>
      <w:r w:rsidRPr="00E8358C">
        <w:t>a</w:t>
      </w:r>
      <w:r w:rsidRPr="00E8358C">
        <w:t>bitants eux-mêmes s’approprient leur patrimoine, car l’État ne peut pas tout faire. Par le passé, les vodouisants s’étaient approprié la Cit</w:t>
      </w:r>
      <w:r w:rsidRPr="00E8358C">
        <w:t>a</w:t>
      </w:r>
      <w:r w:rsidRPr="00E8358C">
        <w:t xml:space="preserve">delle, ce qui avait aidé à conserver le site. Par contre, nous savons qu’à Vertières, les statues des héros ont été vandalisées, et que les gens étendaient leur linge sur les statues des héros du Champ-de-Mars… Il faut donc que les gens participent, soit spontanément, soit en étant sensibilisés (éduqués) à la question, avant que </w:t>
      </w:r>
      <w:r>
        <w:t>l’État apporte sa contribution.</w:t>
      </w:r>
    </w:p>
    <w:p w:rsidR="004C50DC" w:rsidRPr="00E8358C" w:rsidRDefault="004C50DC" w:rsidP="004C50DC">
      <w:pPr>
        <w:spacing w:before="120" w:after="120"/>
        <w:jc w:val="both"/>
      </w:pPr>
    </w:p>
    <w:p w:rsidR="004C50DC" w:rsidRPr="00DC79CC" w:rsidRDefault="004C50DC" w:rsidP="004C50DC">
      <w:pPr>
        <w:pStyle w:val="b"/>
      </w:pPr>
      <w:bookmarkStart w:id="313" w:name="_Toc406489751"/>
      <w:bookmarkStart w:id="314" w:name="_Toc423347334"/>
      <w:bookmarkStart w:id="315" w:name="_Toc442280516"/>
      <w:r w:rsidRPr="00DC79CC">
        <w:t>Le fort de la Crête-à-Pierrot</w:t>
      </w:r>
      <w:bookmarkEnd w:id="313"/>
      <w:bookmarkEnd w:id="314"/>
      <w:bookmarkEnd w:id="315"/>
    </w:p>
    <w:p w:rsidR="004C50DC" w:rsidRDefault="004C50DC" w:rsidP="004C50DC">
      <w:pPr>
        <w:spacing w:before="120" w:after="120"/>
        <w:jc w:val="both"/>
      </w:pPr>
    </w:p>
    <w:p w:rsidR="004C50DC" w:rsidRPr="00E8358C" w:rsidRDefault="004C50DC" w:rsidP="004C50DC">
      <w:pPr>
        <w:spacing w:before="120" w:after="120"/>
        <w:jc w:val="both"/>
      </w:pPr>
      <w:r w:rsidRPr="00E8358C">
        <w:t>Le fort de la Crête-à-Pierrot est bâti sur la colline du même nom qui domine la plaine à Petite Rivière de l’Artibonite. Selon Thomas Madiou, « la fortification de la Crête-à-Pierrot est rectangulaire et à radian, elle a cent pieds environ de longueur. Elle fut construite par Laplaine Sterling et Guy l’aîné sur la rive droite de l’Artibonite, deux hommes de couleur, à l’époque de la guerre qu’ils soutinrent contre Borel et ses saliniers. Plus tard, Christophe Mornay, Noir, colonel de 8</w:t>
      </w:r>
      <w:r w:rsidRPr="00E8358C">
        <w:rPr>
          <w:vertAlign w:val="superscript"/>
        </w:rPr>
        <w:t>e</w:t>
      </w:r>
      <w:r w:rsidRPr="00E8358C">
        <w:t xml:space="preserve"> coloniale, et Blanc Cassenave, homme</w:t>
      </w:r>
      <w:r>
        <w:t xml:space="preserve"> [273]</w:t>
      </w:r>
      <w:r w:rsidRPr="00E8358C">
        <w:t xml:space="preserve"> de couleur, l’occupèrent pendant nos guerres contre les Anglais et les Esp</w:t>
      </w:r>
      <w:r w:rsidRPr="00E8358C">
        <w:t>a</w:t>
      </w:r>
      <w:r w:rsidRPr="00E8358C">
        <w:t>gnols »</w:t>
      </w:r>
      <w:r>
        <w:t> </w:t>
      </w:r>
      <w:r>
        <w:rPr>
          <w:rStyle w:val="Appelnotedebasdep"/>
        </w:rPr>
        <w:footnoteReference w:id="748"/>
      </w:r>
      <w:r w:rsidRPr="00E8358C">
        <w:t>. Le fort fut le théâtre de violents combats de février à juin 1802 entre les troupes révolutionnaires des indigènes esclaves et a</w:t>
      </w:r>
      <w:r w:rsidRPr="00E8358C">
        <w:t>f</w:t>
      </w:r>
      <w:r w:rsidRPr="00E8358C">
        <w:t>franchis contre les troupes expéditionnaires françaises commandées par le général Leclerc. Ce dernier voulait rétablir l’esclavage à Saint-Domingue et freiner la démarche autonomiste de Toussaint Louvert</w:t>
      </w:r>
      <w:r w:rsidRPr="00E8358C">
        <w:t>u</w:t>
      </w:r>
      <w:r w:rsidRPr="00E8358C">
        <w:t xml:space="preserve">re clairement dévoilée dans sa Constitution de 1801. </w:t>
      </w:r>
    </w:p>
    <w:p w:rsidR="004C50DC" w:rsidRPr="00E8358C" w:rsidRDefault="004C50DC" w:rsidP="004C50DC">
      <w:pPr>
        <w:spacing w:before="120" w:after="120"/>
        <w:jc w:val="both"/>
      </w:pPr>
      <w:r w:rsidRPr="00E8358C">
        <w:t>La Crête-à-Pierrot est un lieu de mémoire en lien avec le passé c</w:t>
      </w:r>
      <w:r w:rsidRPr="00E8358C">
        <w:t>o</w:t>
      </w:r>
      <w:r w:rsidRPr="00E8358C">
        <w:t>lonial esclavagiste en Haïti. Les murailles du fort encore debout sont « témoins d’un fait d’armes exceptionnel durant la guerre de l’Indépendance d’Haïti »</w:t>
      </w:r>
      <w:r>
        <w:t> </w:t>
      </w:r>
      <w:r>
        <w:rPr>
          <w:rStyle w:val="Appelnotedebasdep"/>
        </w:rPr>
        <w:footnoteReference w:id="749"/>
      </w:r>
      <w:r w:rsidRPr="00E8358C">
        <w:t>. Le général français Leclerc a eu aussi conscience de l’ampleur des combats. Dans sa correspondance avec Bonaparte, il a rapporté : « c’est ici une guerre d’Arabes, à peine sommes-nous passés que les Noirs occupent les bois voisins de la ro</w:t>
      </w:r>
      <w:r w:rsidRPr="00E8358C">
        <w:t>u</w:t>
      </w:r>
      <w:r w:rsidRPr="00E8358C">
        <w:t>te et qu’ils coupent nos communications »</w:t>
      </w:r>
      <w:r>
        <w:t> </w:t>
      </w:r>
      <w:r>
        <w:rPr>
          <w:rStyle w:val="Appelnotedebasdep"/>
        </w:rPr>
        <w:footnoteReference w:id="750"/>
      </w:r>
      <w:r w:rsidRPr="00E8358C">
        <w:t>. La résistance des insu</w:t>
      </w:r>
      <w:r w:rsidRPr="00E8358C">
        <w:t>r</w:t>
      </w:r>
      <w:r w:rsidRPr="00E8358C">
        <w:t>gés indigènes « aux assauts répétés à la mitraillette des troupes de L</w:t>
      </w:r>
      <w:r w:rsidRPr="00E8358C">
        <w:t>e</w:t>
      </w:r>
      <w:r w:rsidRPr="00E8358C">
        <w:t>clerc supérieures en nombre et en munitions »</w:t>
      </w:r>
      <w:r>
        <w:t> </w:t>
      </w:r>
      <w:r>
        <w:rPr>
          <w:rStyle w:val="Appelnotedebasdep"/>
        </w:rPr>
        <w:footnoteReference w:id="751"/>
      </w:r>
      <w:r w:rsidRPr="00E8358C">
        <w:t xml:space="preserve"> à la Crête-à-Pierrot fut une preuve de leur détermination à vivre libres ou mourir et à comba</w:t>
      </w:r>
      <w:r w:rsidRPr="00E8358C">
        <w:t>t</w:t>
      </w:r>
      <w:r w:rsidRPr="00E8358C">
        <w:t xml:space="preserve">tre les Français. Le fort fut le lieu de la démonstration de la bravoure des insurgés et de l’affirmation des capacités de stratège du général Jean-Jacques Dessalines dont le mot d’ordre a été rapporté : </w:t>
      </w:r>
    </w:p>
    <w:p w:rsidR="004C50DC" w:rsidRPr="00E8358C" w:rsidRDefault="004C50DC" w:rsidP="004C50DC">
      <w:pPr>
        <w:spacing w:before="120" w:after="120"/>
        <w:jc w:val="both"/>
        <w:rPr>
          <w:szCs w:val="22"/>
        </w:rPr>
      </w:pPr>
      <w:r w:rsidRPr="00E8358C">
        <w:rPr>
          <w:szCs w:val="22"/>
        </w:rPr>
        <w:t>Nous serons attaqués ce matin, je ne veux garder avec moi que des braves. Que ceux qui veulent redevenir esclaves des Français sortent du fort. Que tous ceux, au contraire, qui veulent mourir en hommes libres se rangent autour de moi !</w:t>
      </w:r>
      <w:r>
        <w:rPr>
          <w:szCs w:val="22"/>
        </w:rPr>
        <w:t> </w:t>
      </w:r>
      <w:r>
        <w:rPr>
          <w:rStyle w:val="Appelnotedebasdep"/>
          <w:szCs w:val="22"/>
        </w:rPr>
        <w:footnoteReference w:id="752"/>
      </w:r>
    </w:p>
    <w:p w:rsidR="004C50DC" w:rsidRPr="00E8358C" w:rsidRDefault="004C50DC" w:rsidP="004C50DC">
      <w:pPr>
        <w:spacing w:before="120" w:after="120"/>
        <w:jc w:val="both"/>
      </w:pPr>
      <w:r w:rsidRPr="00E8358C">
        <w:t>Les attaques de la Crête-à-Pierrot ont été décisives dans la guerre de l’indépendance haïtienne. Malgré la prise du fort le 24 mars 1802 par les troupes de Leclerc, la stratégie militaire et la bravoure inégal</w:t>
      </w:r>
      <w:r w:rsidRPr="00E8358C">
        <w:t>a</w:t>
      </w:r>
      <w:r w:rsidRPr="00E8358C">
        <w:t>bles des généraux indigènes ont démontré leur farouche détermination à continuer la révolution et à libérer Saint-Domingue du joug de l’esclavage. Plusieurs insurgés ont péri glorieusement en combattant les soldats français. L’idée de</w:t>
      </w:r>
      <w:r>
        <w:t xml:space="preserve"> [274]</w:t>
      </w:r>
      <w:r w:rsidRPr="00E8358C">
        <w:t xml:space="preserve"> l’indépendance les avait galvan</w:t>
      </w:r>
      <w:r w:rsidRPr="00E8358C">
        <w:t>i</w:t>
      </w:r>
      <w:r w:rsidRPr="00E8358C">
        <w:t>sés. Les survivants avaient réussi à freiner les Français dans leur pr</w:t>
      </w:r>
      <w:r w:rsidRPr="00E8358C">
        <w:t>o</w:t>
      </w:r>
      <w:r w:rsidRPr="00E8358C">
        <w:t>gression. Dans une autre correspondance adressée à Bonaparte le 5 mars, le général Leclerc l’informait des intentions de Toussaint Lo</w:t>
      </w:r>
      <w:r w:rsidRPr="00E8358C">
        <w:t>u</w:t>
      </w:r>
      <w:r w:rsidRPr="00E8358C">
        <w:t>verture de construire un État indépendant de la France.</w:t>
      </w:r>
    </w:p>
    <w:p w:rsidR="004C50DC" w:rsidRDefault="004C50DC" w:rsidP="004C50DC">
      <w:pPr>
        <w:pStyle w:val="Citation0i"/>
      </w:pPr>
    </w:p>
    <w:p w:rsidR="004C50DC" w:rsidRDefault="004C50DC" w:rsidP="004C50DC">
      <w:pPr>
        <w:pStyle w:val="Citation0i"/>
      </w:pPr>
      <w:r w:rsidRPr="00E8358C">
        <w:t>Entre mille lettres du général Toussaint, qui me sont tombées sous les mains […] et qui annoncent son intention bien prononcée d’être indépe</w:t>
      </w:r>
      <w:r w:rsidRPr="00E8358C">
        <w:t>n</w:t>
      </w:r>
      <w:r w:rsidRPr="00E8358C">
        <w:t>dant, je vous envoie celle-ci. J’en ai beaucoup, datée du 14 pluviôse (5 f</w:t>
      </w:r>
      <w:r w:rsidRPr="00E8358C">
        <w:t>é</w:t>
      </w:r>
      <w:r w:rsidRPr="00E8358C">
        <w:t>vrier) adressée aux généraux Dessalines, Christophe et Maurepas par le même et qui toutes annoncent les mêmes dispos</w:t>
      </w:r>
      <w:r w:rsidRPr="00E8358C">
        <w:t>i</w:t>
      </w:r>
      <w:r w:rsidRPr="00E8358C">
        <w:t>tions. Elles sont de trois jours antérieurs à notre arrivée au Cap et prouvent clairement que si je me fusse laissé abuser par les folles pr</w:t>
      </w:r>
      <w:r w:rsidRPr="00E8358C">
        <w:t>o</w:t>
      </w:r>
      <w:r w:rsidRPr="00E8358C">
        <w:t>testations de Toussaint, je n’aurais été qu’un imbécile</w:t>
      </w:r>
      <w:r>
        <w:rPr>
          <w:i w:val="0"/>
        </w:rPr>
        <w:t> </w:t>
      </w:r>
      <w:r>
        <w:rPr>
          <w:rStyle w:val="Appelnotedebasdep"/>
          <w:i w:val="0"/>
        </w:rPr>
        <w:footnoteReference w:id="753"/>
      </w:r>
      <w:r>
        <w:t>.</w:t>
      </w:r>
    </w:p>
    <w:p w:rsidR="004C50DC" w:rsidRPr="00E8358C" w:rsidRDefault="004C50DC" w:rsidP="004C50DC">
      <w:pPr>
        <w:pStyle w:val="Citation0i"/>
      </w:pPr>
    </w:p>
    <w:p w:rsidR="004C50DC" w:rsidRPr="00E8358C" w:rsidRDefault="004C50DC" w:rsidP="004C50DC">
      <w:pPr>
        <w:spacing w:before="120" w:after="120"/>
        <w:jc w:val="both"/>
      </w:pPr>
      <w:r w:rsidRPr="00E8358C">
        <w:t xml:space="preserve">À la suite de la retraite des troupes indigènes de la Crête-à-Pierrot, Toussaint Louverture fut arrêté le 10 juin 1802 alors qu’il participait à une conférence militaire aux Gonaïves sur l’invitation du général français Brunet. Il fut embarqué avec sa famille sur </w:t>
      </w:r>
      <w:r w:rsidRPr="00E8358C">
        <w:rPr>
          <w:i/>
        </w:rPr>
        <w:t>la Créole</w:t>
      </w:r>
      <w:r w:rsidRPr="00E8358C">
        <w:t xml:space="preserve"> et conduit au Cap pour être déporté sur </w:t>
      </w:r>
      <w:r w:rsidRPr="00E8358C">
        <w:rPr>
          <w:i/>
        </w:rPr>
        <w:t>le Héros</w:t>
      </w:r>
      <w:r w:rsidRPr="00E8358C">
        <w:t xml:space="preserve"> à Brest. Arrivé en Fra</w:t>
      </w:r>
      <w:r w:rsidRPr="00E8358C">
        <w:t>n</w:t>
      </w:r>
      <w:r w:rsidRPr="00E8358C">
        <w:t>ce, il fut enfermé au fort de Brest le 14 juillet, avant d’être transféré, huit jours plus tard, au fort de Joux dans le Jura avec son serviteur Mars Plaisir</w:t>
      </w:r>
      <w:r>
        <w:t> </w:t>
      </w:r>
      <w:r>
        <w:rPr>
          <w:rStyle w:val="Appelnotedebasdep"/>
        </w:rPr>
        <w:footnoteReference w:id="754"/>
      </w:r>
      <w:r w:rsidRPr="00E8358C">
        <w:t xml:space="preserve">. Incarcéré dans des conditions inhumaines surordre de Bonaparte, il a rendu l’âme le 7 avril 1803. </w:t>
      </w:r>
    </w:p>
    <w:p w:rsidR="004C50DC" w:rsidRPr="00E8358C" w:rsidRDefault="004C50DC" w:rsidP="004C50DC">
      <w:pPr>
        <w:spacing w:before="120" w:after="120"/>
        <w:jc w:val="both"/>
      </w:pPr>
      <w:r w:rsidRPr="00E8358C">
        <w:t>Cette arrestation n’avait pas retenu les généraux Christophe et Dessalines dans leur marche vers la libération de la colonie. Ils avaient su mettre en pratique les instructions voilées de continuer la lutte de Toussaint Louverture qui avait prononcé ces mots : « En me renversant, on n’a abattu à Saint-Domingue que le tronc de l’arbre de la liberté, mais il repoussera, car ses racines sont profondes et no</w:t>
      </w:r>
      <w:r w:rsidRPr="00E8358C">
        <w:t>m</w:t>
      </w:r>
      <w:r w:rsidRPr="00E8358C">
        <w:t>breuses ». Effectivement, Dessalines a conduit les troupes indigènes à l’indépendance officielle d’Haïti le 1</w:t>
      </w:r>
      <w:r w:rsidRPr="00E8358C">
        <w:rPr>
          <w:vertAlign w:val="superscript"/>
        </w:rPr>
        <w:t>er</w:t>
      </w:r>
      <w:r w:rsidRPr="00E8358C">
        <w:t xml:space="preserve"> janvier 1804. </w:t>
      </w:r>
    </w:p>
    <w:p w:rsidR="004C50DC" w:rsidRPr="00E8358C" w:rsidRDefault="004C50DC" w:rsidP="004C50DC">
      <w:pPr>
        <w:spacing w:before="120" w:after="120"/>
        <w:jc w:val="both"/>
      </w:pPr>
      <w:r w:rsidRPr="00E8358C">
        <w:t>Le fort de la Crête-à-Pierrot conserve encore ses murailles recta</w:t>
      </w:r>
      <w:r w:rsidRPr="00E8358C">
        <w:t>n</w:t>
      </w:r>
      <w:r w:rsidRPr="00E8358C">
        <w:t>gulaires et la poudrière restaurée en 1932 est toujours debout. Chaque année, les Rivartibonitiens commémorent solennellement la bataille de la Crête-à-Pierrot. Sur l’esplanade du fort, le 24 mars est le jour, pour des milliers de participants, d’exprimer les émotions procurées par ce lieu de mémoire haïtien. Anna, cultivatrice et commerçante, 50 ans, originaire de Verrettes,</w:t>
      </w:r>
      <w:r>
        <w:t xml:space="preserve"> [275]</w:t>
      </w:r>
      <w:r w:rsidRPr="00E8358C">
        <w:t xml:space="preserve"> rencontrée lors des festivités du 24 mars 2013, exprime son attachement et son inquiétude pour le site.</w:t>
      </w:r>
    </w:p>
    <w:p w:rsidR="004C50DC" w:rsidRDefault="004C50DC" w:rsidP="004C50DC">
      <w:pPr>
        <w:pStyle w:val="Citation0i"/>
      </w:pPr>
    </w:p>
    <w:p w:rsidR="004C50DC" w:rsidRPr="00E8358C" w:rsidRDefault="004C50DC" w:rsidP="004C50DC">
      <w:pPr>
        <w:pStyle w:val="Citation0i"/>
      </w:pPr>
      <w:r w:rsidRPr="00E8358C">
        <w:t>Chak ane m vin la pou m remesye zansèt nou yo paske yo te batay pou ba nou peyi sa. Mwen p ap janm sispann fè sa. Lè m vin isit la, m santi m yon fanm ki djanm, vayan tankou solda yo. Se pou sa m pa ta vle, yo kite fò a kraze. Se pou otorite, majistra ak lot responsab yo netwaye l epi repare l.</w:t>
      </w:r>
    </w:p>
    <w:p w:rsidR="004C50DC" w:rsidRPr="00E8358C" w:rsidRDefault="004C50DC" w:rsidP="004C50DC">
      <w:pPr>
        <w:pStyle w:val="Citation0"/>
      </w:pPr>
      <w:r w:rsidRPr="00E8358C">
        <w:t>[Chaque année, je viens remercier les soldats qui ont combattu ici pour la liberté. Je ne saurais cesser de les remercier. Quand je suis ici, je me sens aussi déterminée que les soldats. Ainsi, j’implore les aut</w:t>
      </w:r>
      <w:r w:rsidRPr="00E8358C">
        <w:t>o</w:t>
      </w:r>
      <w:r w:rsidRPr="00E8358C">
        <w:t>rités de la ville, le maire, de prendre des mesures pour éviter que le fort soit détruit. Qu’ils l’entretiennent et le restaurent.]</w:t>
      </w:r>
    </w:p>
    <w:p w:rsidR="004C50DC" w:rsidRDefault="004C50DC" w:rsidP="004C50DC">
      <w:pPr>
        <w:pStyle w:val="Citation0c"/>
      </w:pPr>
      <w:r w:rsidRPr="00E8358C">
        <w:t>(Anna, entrevue, 24 mars 2013)</w:t>
      </w:r>
    </w:p>
    <w:p w:rsidR="004C50DC" w:rsidRPr="00E8358C" w:rsidRDefault="004C50DC" w:rsidP="004C50DC">
      <w:pPr>
        <w:pStyle w:val="Citation0c"/>
      </w:pPr>
    </w:p>
    <w:p w:rsidR="004C50DC" w:rsidRPr="00E8358C" w:rsidRDefault="004C50DC" w:rsidP="004C50DC">
      <w:pPr>
        <w:spacing w:before="120" w:after="120"/>
        <w:jc w:val="both"/>
      </w:pPr>
      <w:r w:rsidRPr="00E8358C">
        <w:t>Il est important de souligner qu’aux efforts de l’ISPAN pour d</w:t>
      </w:r>
      <w:r w:rsidRPr="00E8358C">
        <w:t>o</w:t>
      </w:r>
      <w:r w:rsidRPr="00E8358C">
        <w:t>cumenter et archiver le site, s’ajoutent ceux des habitants de la zone qui s’investissent pour repeindre les murailles avec les autorités loc</w:t>
      </w:r>
      <w:r w:rsidRPr="00E8358C">
        <w:t>a</w:t>
      </w:r>
      <w:r w:rsidRPr="00E8358C">
        <w:t>les. C’est une preuve que l’appropriation est effective : le fort est le symbole de toute une communauté qui conserve jalousement son p</w:t>
      </w:r>
      <w:r w:rsidRPr="00E8358C">
        <w:t>a</w:t>
      </w:r>
      <w:r w:rsidRPr="00E8358C">
        <w:t xml:space="preserve">trimoine et les traditions qui l’entourent. </w:t>
      </w:r>
    </w:p>
    <w:p w:rsidR="004C50DC" w:rsidRPr="00E8358C" w:rsidRDefault="004C50DC" w:rsidP="004C50DC">
      <w:pPr>
        <w:spacing w:before="120" w:after="120"/>
        <w:jc w:val="both"/>
        <w:rPr>
          <w:szCs w:val="13"/>
        </w:rPr>
      </w:pPr>
    </w:p>
    <w:p w:rsidR="004C50DC" w:rsidRPr="00E8358C" w:rsidRDefault="009B614B" w:rsidP="004C50DC">
      <w:pPr>
        <w:pStyle w:val="fig"/>
      </w:pPr>
      <w:r w:rsidRPr="00E8358C">
        <w:rPr>
          <w:noProof/>
          <w:lang w:eastAsia="fr-FR"/>
        </w:rPr>
        <w:drawing>
          <wp:inline distT="0" distB="0" distL="0" distR="0">
            <wp:extent cx="3808095" cy="2506345"/>
            <wp:effectExtent l="25400" t="25400" r="14605" b="8255"/>
            <wp:docPr id="34" name="Image 34" descr="Cretemap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 descr="Cretemap1"/>
                    <pic:cNvPicPr>
                      <a:picLocks/>
                    </pic:cNvPicPr>
                  </pic:nvPicPr>
                  <pic:blipFill>
                    <a:blip r:embed="rId65">
                      <a:lum bright="-20000" contrast="40000"/>
                      <a:extLst>
                        <a:ext uri="{28A0092B-C50C-407E-A947-70E740481C1C}">
                          <a14:useLocalDpi xmlns:a14="http://schemas.microsoft.com/office/drawing/2010/main" val="0"/>
                        </a:ext>
                      </a:extLst>
                    </a:blip>
                    <a:srcRect/>
                    <a:stretch>
                      <a:fillRect/>
                    </a:stretch>
                  </pic:blipFill>
                  <pic:spPr bwMode="auto">
                    <a:xfrm>
                      <a:off x="0" y="0"/>
                      <a:ext cx="3808095" cy="250634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16" w:name="_Toc417146073"/>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bookmarkStart w:id="317" w:name="Memoire_fig_28"/>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28</w:t>
      </w:r>
      <w:r w:rsidRPr="00DC79CC">
        <w:fldChar w:fldCharType="end"/>
      </w:r>
      <w:r w:rsidRPr="00DC79CC">
        <w:t>. Le fort de la Crête-à-Pierrot</w:t>
      </w:r>
      <w:bookmarkEnd w:id="316"/>
      <w:r>
        <w:t xml:space="preserve">. </w:t>
      </w:r>
      <w:r w:rsidRPr="00E8358C">
        <w:rPr>
          <w:szCs w:val="18"/>
        </w:rPr>
        <w:t>Gravure de H. Clerget d’après M</w:t>
      </w:r>
      <w:r w:rsidRPr="00E8358C">
        <w:rPr>
          <w:szCs w:val="18"/>
        </w:rPr>
        <w:t>i</w:t>
      </w:r>
      <w:r w:rsidRPr="00E8358C">
        <w:rPr>
          <w:szCs w:val="18"/>
        </w:rPr>
        <w:t>chel Etienne Descourtilz</w:t>
      </w:r>
      <w:r>
        <w:rPr>
          <w:szCs w:val="18"/>
        </w:rPr>
        <w:t xml:space="preserve">. </w:t>
      </w:r>
      <w:r w:rsidRPr="00E8358C">
        <w:rPr>
          <w:szCs w:val="18"/>
        </w:rPr>
        <w:t>Source :</w:t>
      </w:r>
      <w:r>
        <w:rPr>
          <w:szCs w:val="18"/>
        </w:rPr>
        <w:t xml:space="preserve"> </w:t>
      </w:r>
      <w:r w:rsidRPr="00E8358C">
        <w:rPr>
          <w:szCs w:val="18"/>
        </w:rPr>
        <w:t>Bulletin de l’Ispan, n</w:t>
      </w:r>
      <w:r w:rsidRPr="00E8358C">
        <w:rPr>
          <w:szCs w:val="18"/>
          <w:vertAlign w:val="superscript"/>
        </w:rPr>
        <w:t>o</w:t>
      </w:r>
      <w:r w:rsidRPr="00E8358C">
        <w:rPr>
          <w:szCs w:val="18"/>
        </w:rPr>
        <w:t xml:space="preserve"> 22</w:t>
      </w:r>
      <w:r>
        <w:rPr>
          <w:szCs w:val="18"/>
        </w:rPr>
        <w:t>.</w:t>
      </w:r>
    </w:p>
    <w:bookmarkEnd w:id="317"/>
    <w:p w:rsidR="004C50DC" w:rsidRDefault="004C50DC" w:rsidP="004C50DC">
      <w:pPr>
        <w:spacing w:before="120" w:after="120"/>
        <w:jc w:val="both"/>
      </w:pPr>
      <w:r>
        <w:br w:type="page"/>
        <w:t>[276]</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916045" cy="2797175"/>
            <wp:effectExtent l="25400" t="25400" r="8255" b="9525"/>
            <wp:docPr id="35" name="Image 35" descr="crete-a-pierrot_artibon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 descr="crete-a-pierrot_artibonite"/>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16045" cy="279717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18" w:name="_Toc417146074"/>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pPr>
      <w:bookmarkStart w:id="319" w:name="Memoire_fig_29"/>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29</w:t>
      </w:r>
      <w:r w:rsidRPr="00DC79CC">
        <w:fldChar w:fldCharType="end"/>
      </w:r>
      <w:r w:rsidRPr="00DC79CC">
        <w:t>. Vue d’une partie du fort de la Crête-à-Pierrot</w:t>
      </w:r>
      <w:bookmarkEnd w:id="318"/>
      <w:r>
        <w:t>.</w:t>
      </w:r>
      <w:r>
        <w:br/>
      </w:r>
      <w:r w:rsidRPr="00E8358C">
        <w:t>Source : Haitian treasures, en ligne, http://www.haitiantreasures.com/HT_IMAGES/HT_365.doors.palace.htm</w:t>
      </w:r>
    </w:p>
    <w:bookmarkEnd w:id="319"/>
    <w:p w:rsidR="004C50DC" w:rsidRDefault="004C50DC" w:rsidP="004C50DC">
      <w:pPr>
        <w:spacing w:before="120" w:after="120"/>
        <w:jc w:val="both"/>
      </w:pPr>
    </w:p>
    <w:p w:rsidR="004C50DC" w:rsidRDefault="004C50DC" w:rsidP="004C50DC">
      <w:pPr>
        <w:spacing w:before="120" w:after="120"/>
        <w:jc w:val="both"/>
      </w:pPr>
      <w:r w:rsidRPr="00E8358C">
        <w:t>Le fort a été instrumentalisé par le régime des Duvalier comme tant d’autres lieux historiques pour exprimer l’aspect nationaliste et patriotique de la dictature</w:t>
      </w:r>
      <w:r>
        <w:t> </w:t>
      </w:r>
      <w:r>
        <w:rPr>
          <w:rStyle w:val="Appelnotedebasdep"/>
        </w:rPr>
        <w:footnoteReference w:id="755"/>
      </w:r>
      <w:r w:rsidRPr="00E8358C">
        <w:t>. Aujourd’hui, la Crête-à-Pierrot est dev</w:t>
      </w:r>
      <w:r w:rsidRPr="00E8358C">
        <w:t>e</w:t>
      </w:r>
      <w:r w:rsidRPr="00E8358C">
        <w:t xml:space="preserve">nue un lieu de pèlerinage pour les vodouisants qui y viennent pour des cultes aux morts. Une croix et deux tombes sont érigées sur l’esplanade à cet effet. Les fidèles vodouisants pensent pouvoir entrer en contact avec les soldats disparus lors des multiples combats, ces soldats qui, selon eux, étaient de braves vodouisants au service de la liberté.Adrienne, 32 ans, </w:t>
      </w:r>
      <w:r w:rsidRPr="00E8358C">
        <w:rPr>
          <w:i/>
        </w:rPr>
        <w:t>manbo</w:t>
      </w:r>
      <w:r w:rsidRPr="00E8358C">
        <w:t>, habitant la ville de Petite-Rivière, nous livre ses impressions.</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Mwen toujou ale nan selebrasyon 24 mas la nan Crête-à-Pierrot. Pafwa m konn ale tou pou sèvis pa m. Paske se yon kote pou m mete m an kontak ak solda vayant gason sa yo ki te aksepte mouri pou la libète. Nanm yo ka ban nou fòs jounen jodia kote y ap imilye vodouyizan ki se baz konstri</w:t>
      </w:r>
      <w:r w:rsidRPr="00E8358C">
        <w:t>k</w:t>
      </w:r>
      <w:r w:rsidRPr="00E8358C">
        <w:t xml:space="preserve">syon peyi Ayiti. </w:t>
      </w:r>
    </w:p>
    <w:p w:rsidR="004C50DC" w:rsidRPr="00E8358C" w:rsidRDefault="004C50DC" w:rsidP="004C50DC">
      <w:pPr>
        <w:pStyle w:val="Citation0"/>
      </w:pPr>
      <w:r w:rsidRPr="00E8358C">
        <w:t>[Je participe régulièrement aux commémorations de la bataille de la Crête-à-Pierrot du 24 mars. J’y viens parfois pour mes propres se</w:t>
      </w:r>
      <w:r w:rsidRPr="00E8358C">
        <w:t>r</w:t>
      </w:r>
      <w:r w:rsidRPr="00E8358C">
        <w:t>vices. Ici, je peux rentrer en contact avec l’esprit des vaillants soldats morts au combat pour la liberté. Ils peuvent me galvaniser aujourd’hui dans ce contexte de mépris des vodouisants qui constituent le socle de la construction de la République d’Haïti.]</w:t>
      </w:r>
    </w:p>
    <w:p w:rsidR="004C50DC" w:rsidRPr="00E8358C" w:rsidRDefault="004C50DC" w:rsidP="004C50DC">
      <w:pPr>
        <w:pStyle w:val="Citation0c"/>
      </w:pPr>
      <w:r w:rsidRPr="00E8358C">
        <w:t>(Adrienne, entrevue)</w:t>
      </w:r>
    </w:p>
    <w:p w:rsidR="004C50DC" w:rsidRDefault="004C50DC" w:rsidP="004C50DC">
      <w:pPr>
        <w:spacing w:before="120" w:after="120"/>
        <w:jc w:val="both"/>
      </w:pPr>
    </w:p>
    <w:p w:rsidR="004C50DC" w:rsidRDefault="004C50DC" w:rsidP="004C50DC">
      <w:pPr>
        <w:spacing w:before="120" w:after="120"/>
        <w:jc w:val="both"/>
      </w:pPr>
      <w:r>
        <w:t>[277]</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442335" cy="2549525"/>
            <wp:effectExtent l="25400" t="25400" r="12065" b="15875"/>
            <wp:docPr id="36" name="Image 36" descr="crete-a-pierrot_insi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 descr="crete-a-pierrot_inside"/>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42335" cy="254952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20" w:name="_Toc417146075"/>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321" w:name="Memoire_fig_30"/>
      <w:r w:rsidRPr="00DC79CC">
        <w:t xml:space="preserve">Figure </w:t>
      </w:r>
      <w:r w:rsidRPr="00DC79CC">
        <w:fldChar w:fldCharType="begin"/>
      </w:r>
      <w:r w:rsidR="00EF1554">
        <w:instrText>SEQ</w:instrText>
      </w:r>
      <w:r w:rsidRPr="00DC79CC">
        <w:instrText xml:space="preserve"> Figure \* ARABIC </w:instrText>
      </w:r>
      <w:r w:rsidRPr="00DC79CC">
        <w:fldChar w:fldCharType="separate"/>
      </w:r>
      <w:r>
        <w:rPr>
          <w:noProof/>
        </w:rPr>
        <w:t>30</w:t>
      </w:r>
      <w:r w:rsidRPr="00DC79CC">
        <w:fldChar w:fldCharType="end"/>
      </w:r>
      <w:r w:rsidRPr="00DC79CC">
        <w:t>.Croix vodouesque élevée sur le site de la Crête-à-Pierrot</w:t>
      </w:r>
      <w:bookmarkEnd w:id="320"/>
      <w:r>
        <w:t>.</w:t>
      </w:r>
      <w:r>
        <w:br/>
      </w:r>
      <w:r w:rsidRPr="00E8358C">
        <w:rPr>
          <w:szCs w:val="18"/>
        </w:rPr>
        <w:t>Source : Haitian treasures</w:t>
      </w:r>
    </w:p>
    <w:bookmarkEnd w:id="321"/>
    <w:p w:rsidR="004C50DC" w:rsidRPr="00E8358C" w:rsidRDefault="004C50DC" w:rsidP="004C50DC">
      <w:pPr>
        <w:spacing w:before="120" w:after="120"/>
        <w:jc w:val="both"/>
      </w:pPr>
    </w:p>
    <w:p w:rsidR="004C50DC" w:rsidRPr="00E8358C" w:rsidRDefault="004C50DC" w:rsidP="004C50DC">
      <w:pPr>
        <w:spacing w:before="120" w:after="120"/>
        <w:jc w:val="both"/>
      </w:pPr>
      <w:r w:rsidRPr="00E8358C">
        <w:t>Le fort de la Crête-à-Pierrot semble être l’un de ces endroits que la population des alentours s’est appropriée, phénomène que l’on ne trouve pas partout ailleurs. Ce sont les habitants eux-mêmes qui cél</w:t>
      </w:r>
      <w:r w:rsidRPr="00E8358C">
        <w:t>è</w:t>
      </w:r>
      <w:r w:rsidRPr="00E8358C">
        <w:t xml:space="preserve">brent ce patrimoine, sans intervention de l’État. Le fait qu’ils donnent à ce combat une interprétation vodou nous paraît lancer un défi aux intellectuels haïtiens, qui doivent leur expliquer ce qui s’est vraiment passé. </w:t>
      </w:r>
    </w:p>
    <w:p w:rsidR="004C50DC" w:rsidRPr="00E8358C" w:rsidRDefault="004C50DC" w:rsidP="004C50DC">
      <w:pPr>
        <w:spacing w:before="120" w:after="120"/>
        <w:jc w:val="both"/>
      </w:pPr>
      <w:r w:rsidRPr="00E8358C">
        <w:t xml:space="preserve">La question est de savoir comment Dessalines a pu sortir de ce fort, alors qu’il était entouré de centaines de soldats français, et s’échapper pour continuer la bataille. Par quel moyen ? Si les gens ne disposent pas d’explication sérieuse, comme par exemple, « c’est un terrain boisé… il est passé par un petit chemin… il s’est échappé à telle heure… », nous trouvons tout à fait normal qu’ils donnent à cet événement une explication mythologique. Cette interprétation des gens du lieu interpelle les intellectuels et les historiens. </w:t>
      </w:r>
    </w:p>
    <w:p w:rsidR="004C50DC" w:rsidRDefault="004C50DC" w:rsidP="004C50DC">
      <w:pPr>
        <w:spacing w:before="120" w:after="120"/>
        <w:jc w:val="both"/>
      </w:pPr>
      <w:r w:rsidRPr="00E8358C">
        <w:t>Bien sûr, l’État se doit à la fois d’encourager ce dialogue et de so</w:t>
      </w:r>
      <w:r w:rsidRPr="00E8358C">
        <w:t>u</w:t>
      </w:r>
      <w:r w:rsidRPr="00E8358C">
        <w:t>tenir cette appropriation spontanée parle peuple, d’autant plus que, dans d’autres régions d’Haïti, ce type d’appropriation ne se manifeste pas, ce que l’on peut déplorer, car toute la problématique de la patr</w:t>
      </w:r>
      <w:r w:rsidRPr="00E8358C">
        <w:t>i</w:t>
      </w:r>
      <w:r w:rsidRPr="00E8358C">
        <w:t>monialisation serait déjà grandement facilitée si le peuple était assez mobilisé pour en prendre connaissance. Quitte à ce qu’il y ait un di</w:t>
      </w:r>
      <w:r w:rsidRPr="00E8358C">
        <w:t>a</w:t>
      </w:r>
      <w:r w:rsidRPr="00E8358C">
        <w:t xml:space="preserve">logue entre les élites et le peuple, que l’on dise que les combattants n’étaient pas des </w:t>
      </w:r>
      <w:r w:rsidRPr="00E8358C">
        <w:rPr>
          <w:i/>
        </w:rPr>
        <w:t>loas</w:t>
      </w:r>
      <w:r w:rsidRPr="00E8358C">
        <w:t xml:space="preserve">, qu’ils n’avaient pas non </w:t>
      </w:r>
      <w:r>
        <w:t xml:space="preserve">[278] </w:t>
      </w:r>
      <w:r w:rsidRPr="00E8358C">
        <w:t>plus de</w:t>
      </w:r>
      <w:r>
        <w:t xml:space="preserve"> </w:t>
      </w:r>
      <w:r w:rsidRPr="00E8358C">
        <w:t>« point »</w:t>
      </w:r>
      <w:r>
        <w:t> </w:t>
      </w:r>
      <w:r w:rsidRPr="00E8358C">
        <w:rPr>
          <w:rStyle w:val="Appelnotedebasdep"/>
        </w:rPr>
        <w:footnoteReference w:id="756"/>
      </w:r>
      <w:r w:rsidRPr="00E8358C">
        <w:t>, etc. C’est un élément du patrimoine qui intéresse exclus</w:t>
      </w:r>
      <w:r w:rsidRPr="00E8358C">
        <w:t>i</w:t>
      </w:r>
      <w:r w:rsidRPr="00E8358C">
        <w:t>vement les Haïtiens, et qui a un double sens. Tout d’abord, les indig</w:t>
      </w:r>
      <w:r w:rsidRPr="00E8358C">
        <w:t>è</w:t>
      </w:r>
      <w:r w:rsidRPr="00E8358C">
        <w:t>nes ont dû abandonner le fort ; ils n’ont pas pu tenir jusqu’au bout. En même temps, ils ont résisté très longtemps et sont sortis sans qu’on les capture. Le général Pamphile de Lacroix, qui remplaça les généraux Boudet et Dugat blessés au combat, dans ses Mémoires, parlant du siège de la Crête-à-Pierrot, le qualifie d’« exploit extraordinaire ». C</w:t>
      </w:r>
      <w:r w:rsidRPr="00E8358C">
        <w:t>e</w:t>
      </w:r>
      <w:r w:rsidRPr="00E8358C">
        <w:t>la intéresse les Haïtiens, car pour reprendre les mots de Thomas M</w:t>
      </w:r>
      <w:r w:rsidRPr="00E8358C">
        <w:t>a</w:t>
      </w:r>
      <w:r w:rsidRPr="00E8358C">
        <w:t>diou, « le siège de la Crête-à-Pierrot doit être regardé comme un des faits d’armes les plus mémorables de notre guerre de l’Indépendance »</w:t>
      </w:r>
      <w:r>
        <w:t> </w:t>
      </w:r>
      <w:r>
        <w:rPr>
          <w:rStyle w:val="Appelnotedebasdep"/>
        </w:rPr>
        <w:footnoteReference w:id="757"/>
      </w:r>
      <w:r w:rsidRPr="00E8358C">
        <w:t>.</w:t>
      </w:r>
    </w:p>
    <w:p w:rsidR="004C50DC" w:rsidRDefault="004C50DC" w:rsidP="004C50DC">
      <w:pPr>
        <w:spacing w:before="120" w:after="120"/>
        <w:jc w:val="both"/>
      </w:pPr>
    </w:p>
    <w:p w:rsidR="004C50DC" w:rsidRPr="00E8358C" w:rsidRDefault="004C50DC" w:rsidP="004C50DC">
      <w:pPr>
        <w:spacing w:before="120" w:after="120"/>
        <w:jc w:val="both"/>
      </w:pPr>
    </w:p>
    <w:p w:rsidR="004C50DC" w:rsidRPr="00EA539A" w:rsidRDefault="004C50DC" w:rsidP="004C50DC">
      <w:pPr>
        <w:pStyle w:val="b"/>
      </w:pPr>
      <w:bookmarkStart w:id="322" w:name="_Toc406489752"/>
      <w:bookmarkStart w:id="323" w:name="_Toc423347335"/>
      <w:bookmarkStart w:id="324" w:name="_Toc442280517"/>
      <w:r w:rsidRPr="00EA539A">
        <w:t>Les fortiﬁcations de Dessalines</w:t>
      </w:r>
      <w:bookmarkEnd w:id="322"/>
      <w:bookmarkEnd w:id="323"/>
      <w:bookmarkEnd w:id="324"/>
    </w:p>
    <w:p w:rsidR="004C50DC" w:rsidRDefault="004C50DC" w:rsidP="004C50DC">
      <w:pPr>
        <w:spacing w:before="120" w:after="120"/>
        <w:jc w:val="both"/>
      </w:pPr>
    </w:p>
    <w:p w:rsidR="004C50DC" w:rsidRPr="00E8358C" w:rsidRDefault="004C50DC" w:rsidP="004C50DC">
      <w:pPr>
        <w:spacing w:before="120" w:after="120"/>
        <w:jc w:val="both"/>
      </w:pPr>
      <w:r w:rsidRPr="00E8358C">
        <w:t>La ville de Dessalines se situe dans le département de l’Artibonite, à 29 km au sud-ouest des Gonaïves. Elle présente un intérêt patrim</w:t>
      </w:r>
      <w:r w:rsidRPr="00E8358C">
        <w:t>o</w:t>
      </w:r>
      <w:r w:rsidRPr="00E8358C">
        <w:t>nial incontestable en lien avec le passé colonial esclavagiste. Dessal</w:t>
      </w:r>
      <w:r w:rsidRPr="00E8358C">
        <w:t>i</w:t>
      </w:r>
      <w:r w:rsidRPr="00E8358C">
        <w:t xml:space="preserve">nes, dans sa politique de défense de l’Indépendance et de protection de la première ville construite par les autorités haïtiennes, qui était aussi la nouvelle capitale, a ordonné la construction de six ouvrages fortifiés (fort Culbuté, fort Décidé, fort Innocent, fort Madame, fort Doko et fort Fin-du-Monde). La cartographie des forts montre l’ingéniosité du gouverneur général.  </w:t>
      </w:r>
    </w:p>
    <w:p w:rsidR="004C50DC" w:rsidRPr="00E8358C" w:rsidRDefault="004C50DC" w:rsidP="004C50DC">
      <w:pPr>
        <w:spacing w:before="120" w:after="120"/>
        <w:jc w:val="both"/>
      </w:pPr>
      <w:r w:rsidRPr="00E8358C">
        <w:t>La position du fort Culbuté permet d’assurer la défense de l’entrée est de la ville contre de probables attaques et de protéger la source impériale ou bassin Félicité. Une poudrière est annexée au fort. En 2000, le ministère de la Culture avait</w:t>
      </w:r>
      <w:r>
        <w:t xml:space="preserve"> engagé une entreprise pour la </w:t>
      </w:r>
      <w:r w:rsidRPr="00E8358C">
        <w:t>restauration du fort Culbuté alors menacé de destruction. En 2007, les membres de la communauté ont décidé de restaurer la poudrière, mais leur initiative, bien qu’elle soit louable, ne sera pas sans conséquences sur le site, ce qui explique qu’en 2008, l’ISPAN a dû intervenir pour réparer les dégâts. Du même coup, cette institution du patrimoine s’est engagée à mieux comprendre le site en initiant des fouilles archéol</w:t>
      </w:r>
      <w:r w:rsidRPr="00E8358C">
        <w:t>o</w:t>
      </w:r>
      <w:r w:rsidRPr="00E8358C">
        <w:t>giques intégrées à son projet de Parc national historique de Marchand-Dessalines</w:t>
      </w:r>
      <w:r>
        <w:t> </w:t>
      </w:r>
      <w:r>
        <w:rPr>
          <w:rStyle w:val="Appelnotedebasdep"/>
        </w:rPr>
        <w:footnoteReference w:id="758"/>
      </w:r>
      <w:r w:rsidRPr="00E8358C">
        <w:t>. La population a aussi</w:t>
      </w:r>
      <w:r>
        <w:t xml:space="preserve"> [279]</w:t>
      </w:r>
      <w:r w:rsidRPr="00E8358C">
        <w:t xml:space="preserve"> aménagé un parvis devant la poudrière pour les cérémonies vodou réalisées habituellement tous les jeudis. La pratique des cultes vodou est devenue une réalité sur les lieux des forts et des habitations coloniales en Haïti.  </w:t>
      </w:r>
    </w:p>
    <w:p w:rsidR="004C50DC" w:rsidRPr="00E8358C" w:rsidRDefault="004C50DC" w:rsidP="004C50DC">
      <w:pPr>
        <w:spacing w:before="120" w:after="120"/>
        <w:jc w:val="both"/>
      </w:pPr>
      <w:r w:rsidRPr="00E8358C">
        <w:t xml:space="preserve">Le fort Décidé est implanté sur les flancs d’un morne qui domine toute la ville de Marchand-Dessalines. Il offre au visiteur un aspect majestueux et impressionnant, et un regard sur la vallée de l’Artibonite. Le site est doté d’une place d’armes avec un réservoir destiné à recevoir l’eau de pluie. Toute la structure de la poudrière est encore bien conservée. </w:t>
      </w:r>
    </w:p>
    <w:p w:rsidR="004C50DC" w:rsidRPr="00E8358C" w:rsidRDefault="004C50DC" w:rsidP="004C50DC">
      <w:pPr>
        <w:spacing w:before="120" w:after="120"/>
        <w:jc w:val="both"/>
      </w:pPr>
      <w:r w:rsidRPr="00E8358C">
        <w:t>Le fort Innocent servait de deuxième résidence au fils de l’Empereur, Innocent Dessalines, et il porte son nom selon ce que la mémoire des habitants de la zone retient et partage. Aujourd’hui, il n’en reste que quelques pans de murs. Il a fait l’objet par le passé de plusieurs actes de vandalisme, comme la plupart des vestiges de forts et d’habitations coloniales en Haïti. Du fort Innocent, on peut observer toute la vallée de l’Artibonite.</w:t>
      </w:r>
    </w:p>
    <w:p w:rsidR="004C50DC" w:rsidRPr="00E8358C" w:rsidRDefault="004C50DC" w:rsidP="004C50DC">
      <w:pPr>
        <w:spacing w:before="120" w:after="120"/>
        <w:jc w:val="both"/>
      </w:pPr>
      <w:r w:rsidRPr="00E8358C">
        <w:t>Le fort Madame est le plus imposant des forts de Marchand-Dessalines. On peut y compter plusieurs meurtrières et apprécier e</w:t>
      </w:r>
      <w:r w:rsidRPr="00E8358C">
        <w:t>n</w:t>
      </w:r>
      <w:r w:rsidRPr="00E8358C">
        <w:t>core les ruines d’une poudrière. Le fort Doko a une architecture se</w:t>
      </w:r>
      <w:r w:rsidRPr="00E8358C">
        <w:t>m</w:t>
      </w:r>
      <w:r w:rsidRPr="00E8358C">
        <w:t>blable à celle de fort Décidé. Il est le plus petit des forts de Marchand-Dessalines. Enfin, le fort Fin-Du-Monde, aménagé au sommet du morne au nord, couronne les dispositifs de défense de la ville selon la conception de Jean-Jacques Dessalines. Selon Thomas Madiou, la construction des ouvrages fortifiés avait été confiée à l’ingénieur Z</w:t>
      </w:r>
      <w:r w:rsidRPr="00E8358C">
        <w:t>é</w:t>
      </w:r>
      <w:r w:rsidRPr="00E8358C">
        <w:t>non aidé de Lavelanet, un officier d’artillerie</w:t>
      </w:r>
      <w:r>
        <w:t> </w:t>
      </w:r>
      <w:r>
        <w:rPr>
          <w:rStyle w:val="Appelnotedebasdep"/>
        </w:rPr>
        <w:footnoteReference w:id="759"/>
      </w:r>
      <w:r w:rsidRPr="00E8358C">
        <w:t>.</w:t>
      </w:r>
    </w:p>
    <w:p w:rsidR="004C50DC" w:rsidRDefault="004C50DC" w:rsidP="004C50DC">
      <w:pPr>
        <w:pStyle w:val="p"/>
      </w:pPr>
      <w:r>
        <w:br w:type="page"/>
        <w:t>[280]</w:t>
      </w:r>
    </w:p>
    <w:p w:rsidR="004C50DC" w:rsidRPr="00E8358C" w:rsidRDefault="004C50DC" w:rsidP="004C50DC">
      <w:pPr>
        <w:pStyle w:val="p"/>
      </w:pPr>
    </w:p>
    <w:p w:rsidR="004C50DC" w:rsidRDefault="004C50DC" w:rsidP="004C50DC">
      <w:pPr>
        <w:pStyle w:val="fig1"/>
      </w:pPr>
      <w:r w:rsidRPr="00E8358C">
        <w:rPr>
          <w:lang w:eastAsia="fr-CA"/>
        </w:rPr>
        <w:t xml:space="preserve"> </w:t>
      </w:r>
      <w:r w:rsidR="009B614B" w:rsidRPr="00E8358C">
        <w:rPr>
          <w:noProof/>
        </w:rPr>
        <w:drawing>
          <wp:inline distT="0" distB="0" distL="0" distR="0">
            <wp:extent cx="2646680" cy="2205355"/>
            <wp:effectExtent l="25400" t="25400" r="7620" b="17145"/>
            <wp:docPr id="37" name="Image 13" descr="IMG_34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IMG_3433.jpg"/>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6680" cy="2205355"/>
                    </a:xfrm>
                    <a:prstGeom prst="rect">
                      <a:avLst/>
                    </a:prstGeom>
                    <a:noFill/>
                    <a:ln w="19050" cmpd="sng">
                      <a:solidFill>
                        <a:srgbClr val="000000"/>
                      </a:solidFill>
                      <a:miter lim="800000"/>
                      <a:headEnd/>
                      <a:tailEnd/>
                    </a:ln>
                    <a:effectLst/>
                  </pic:spPr>
                </pic:pic>
              </a:graphicData>
            </a:graphic>
          </wp:inline>
        </w:drawing>
      </w:r>
      <w:r w:rsidRPr="00E8358C">
        <w:rPr>
          <w:lang w:eastAsia="fr-CA"/>
        </w:rPr>
        <w:t xml:space="preserve"> </w:t>
      </w:r>
      <w:r w:rsidR="009B614B" w:rsidRPr="00E8358C">
        <w:rPr>
          <w:noProof/>
        </w:rPr>
        <w:drawing>
          <wp:inline distT="0" distB="0" distL="0" distR="0">
            <wp:extent cx="2797175" cy="2301875"/>
            <wp:effectExtent l="25400" t="25400" r="9525" b="9525"/>
            <wp:docPr id="38" name="Image 16" descr="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descr="image1.jpg"/>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7175" cy="230187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p>
    <w:p w:rsidR="004C50DC" w:rsidRDefault="004C50DC" w:rsidP="004C50DC">
      <w:pPr>
        <w:ind w:right="90" w:firstLine="0"/>
        <w:jc w:val="both"/>
      </w:pPr>
      <w:hyperlink w:anchor="tdm" w:history="1">
        <w:r>
          <w:rPr>
            <w:rStyle w:val="Lienhypertexte"/>
            <w:sz w:val="20"/>
          </w:rPr>
          <w:t>Retour à la table des matières</w:t>
        </w:r>
      </w:hyperlink>
    </w:p>
    <w:p w:rsidR="004C50DC" w:rsidRPr="00E8358C" w:rsidRDefault="004C50DC" w:rsidP="004C50DC">
      <w:pPr>
        <w:ind w:right="90" w:firstLine="0"/>
        <w:jc w:val="both"/>
      </w:pPr>
    </w:p>
    <w:tbl>
      <w:tblPr>
        <w:tblW w:w="0" w:type="auto"/>
        <w:tblInd w:w="-792" w:type="dxa"/>
        <w:tblLook w:val="00BF" w:firstRow="1" w:lastRow="0" w:firstColumn="1" w:lastColumn="0" w:noHBand="0" w:noVBand="0"/>
      </w:tblPr>
      <w:tblGrid>
        <w:gridCol w:w="4320"/>
        <w:gridCol w:w="4532"/>
      </w:tblGrid>
      <w:tr w:rsidR="004C50DC" w:rsidRPr="004C50DC">
        <w:tc>
          <w:tcPr>
            <w:tcW w:w="4320" w:type="dxa"/>
          </w:tcPr>
          <w:p w:rsidR="004C50DC" w:rsidRDefault="004C50DC" w:rsidP="004C50DC">
            <w:pPr>
              <w:pStyle w:val="figst1"/>
            </w:pPr>
            <w:bookmarkStart w:id="325" w:name="_Toc417146076"/>
            <w:bookmarkStart w:id="326" w:name="Memoire_fig_31" w:colFirst="0" w:colLast="0"/>
            <w:r w:rsidRPr="006D69D4">
              <w:t xml:space="preserve">Figure </w:t>
            </w:r>
            <w:r w:rsidRPr="006D69D4">
              <w:fldChar w:fldCharType="begin"/>
            </w:r>
            <w:r w:rsidR="00EF1554">
              <w:instrText>SEQ</w:instrText>
            </w:r>
            <w:r w:rsidRPr="006D69D4">
              <w:instrText xml:space="preserve"> Figure \* ARABIC </w:instrText>
            </w:r>
            <w:r w:rsidRPr="006D69D4">
              <w:fldChar w:fldCharType="separate"/>
            </w:r>
            <w:r>
              <w:rPr>
                <w:noProof/>
              </w:rPr>
              <w:t>31</w:t>
            </w:r>
            <w:r w:rsidRPr="006D69D4">
              <w:fldChar w:fldCharType="end"/>
            </w:r>
            <w:r w:rsidRPr="006D69D4">
              <w:t>. Les ruines du fort Culb</w:t>
            </w:r>
            <w:r w:rsidRPr="006D69D4">
              <w:t>u</w:t>
            </w:r>
            <w:r w:rsidRPr="006D69D4">
              <w:t>té ou fort la Source Dessalines</w:t>
            </w:r>
          </w:p>
        </w:tc>
        <w:tc>
          <w:tcPr>
            <w:tcW w:w="4532" w:type="dxa"/>
          </w:tcPr>
          <w:p w:rsidR="004C50DC" w:rsidRDefault="004C50DC" w:rsidP="004C50DC">
            <w:pPr>
              <w:pStyle w:val="figst1"/>
            </w:pPr>
            <w:bookmarkStart w:id="327" w:name="Memoire_fig_32"/>
            <w:r w:rsidRPr="00EA539A">
              <w:t xml:space="preserve">Figure </w:t>
            </w:r>
            <w:r w:rsidRPr="00EA539A">
              <w:fldChar w:fldCharType="begin"/>
            </w:r>
            <w:r w:rsidR="00EF1554">
              <w:instrText>SEQ</w:instrText>
            </w:r>
            <w:r w:rsidRPr="00EA539A">
              <w:instrText xml:space="preserve"> Figure \* ARABIC </w:instrText>
            </w:r>
            <w:r w:rsidRPr="00EA539A">
              <w:fldChar w:fldCharType="separate"/>
            </w:r>
            <w:r>
              <w:rPr>
                <w:noProof/>
              </w:rPr>
              <w:t>32</w:t>
            </w:r>
            <w:r w:rsidRPr="00EA539A">
              <w:fldChar w:fldCharType="end"/>
            </w:r>
            <w:r w:rsidRPr="006D69D4">
              <w:t>. Fort Décidé, Dessalines</w:t>
            </w:r>
            <w:bookmarkEnd w:id="327"/>
          </w:p>
        </w:tc>
      </w:tr>
      <w:bookmarkEnd w:id="325"/>
      <w:bookmarkEnd w:id="326"/>
    </w:tbl>
    <w:p w:rsidR="004C50DC" w:rsidRDefault="004C50DC" w:rsidP="004C50DC">
      <w:pPr>
        <w:spacing w:before="120" w:after="120"/>
        <w:jc w:val="both"/>
        <w:rPr>
          <w:lang w:eastAsia="en-CA"/>
        </w:rPr>
      </w:pPr>
    </w:p>
    <w:p w:rsidR="004C50DC" w:rsidRPr="00EA539A" w:rsidRDefault="009B614B" w:rsidP="004C50DC">
      <w:pPr>
        <w:spacing w:before="120" w:after="120"/>
        <w:ind w:left="-1440" w:firstLine="0"/>
        <w:jc w:val="right"/>
        <w:rPr>
          <w:lang w:eastAsia="en-CA"/>
        </w:rPr>
      </w:pPr>
      <w:r w:rsidRPr="00E8358C">
        <w:rPr>
          <w:noProof/>
        </w:rPr>
        <w:drawing>
          <wp:inline distT="0" distB="0" distL="0" distR="0">
            <wp:extent cx="2818765" cy="2334260"/>
            <wp:effectExtent l="25400" t="25400" r="13335" b="15240"/>
            <wp:docPr id="39" name="Image 22" descr="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descr="image8.JPG"/>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8765" cy="2334260"/>
                    </a:xfrm>
                    <a:prstGeom prst="rect">
                      <a:avLst/>
                    </a:prstGeom>
                    <a:noFill/>
                    <a:ln w="19050" cmpd="sng">
                      <a:solidFill>
                        <a:srgbClr val="000000"/>
                      </a:solidFill>
                      <a:miter lim="800000"/>
                      <a:headEnd/>
                      <a:tailEnd/>
                    </a:ln>
                    <a:effectLst/>
                  </pic:spPr>
                </pic:pic>
              </a:graphicData>
            </a:graphic>
          </wp:inline>
        </w:drawing>
      </w:r>
      <w:r w:rsidR="004C50DC">
        <w:t xml:space="preserve"> </w:t>
      </w:r>
      <w:r w:rsidRPr="00E8358C">
        <w:rPr>
          <w:noProof/>
        </w:rPr>
        <w:drawing>
          <wp:inline distT="0" distB="0" distL="0" distR="0">
            <wp:extent cx="2581910" cy="2151380"/>
            <wp:effectExtent l="25400" t="25400" r="8890" b="7620"/>
            <wp:docPr id="40" name="Image 25" descr="image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descr="image0.JPG"/>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81910" cy="215138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p>
    <w:p w:rsidR="004C50DC" w:rsidRDefault="004C50DC" w:rsidP="004C50DC">
      <w:pPr>
        <w:ind w:right="90" w:firstLine="0"/>
        <w:jc w:val="both"/>
      </w:pPr>
      <w:hyperlink w:anchor="tdm" w:history="1">
        <w:r>
          <w:rPr>
            <w:rStyle w:val="Lienhypertexte"/>
            <w:sz w:val="20"/>
          </w:rPr>
          <w:t>Retour à la table des matières</w:t>
        </w:r>
      </w:hyperlink>
    </w:p>
    <w:p w:rsidR="004C50DC" w:rsidRPr="00E8358C" w:rsidRDefault="004C50DC" w:rsidP="004C50DC">
      <w:pPr>
        <w:ind w:right="90" w:firstLine="0"/>
        <w:jc w:val="both"/>
      </w:pPr>
    </w:p>
    <w:tbl>
      <w:tblPr>
        <w:tblW w:w="0" w:type="auto"/>
        <w:tblInd w:w="-792" w:type="dxa"/>
        <w:tblLook w:val="00BF" w:firstRow="1" w:lastRow="0" w:firstColumn="1" w:lastColumn="0" w:noHBand="0" w:noVBand="0"/>
      </w:tblPr>
      <w:tblGrid>
        <w:gridCol w:w="4320"/>
        <w:gridCol w:w="4532"/>
      </w:tblGrid>
      <w:tr w:rsidR="004C50DC" w:rsidRPr="004C50DC">
        <w:tc>
          <w:tcPr>
            <w:tcW w:w="4320" w:type="dxa"/>
          </w:tcPr>
          <w:p w:rsidR="004C50DC" w:rsidRDefault="004C50DC" w:rsidP="004C50DC">
            <w:pPr>
              <w:pStyle w:val="figst1"/>
              <w:ind w:firstLine="0"/>
            </w:pPr>
            <w:bookmarkStart w:id="328" w:name="Memoire_fig_33"/>
            <w:r w:rsidRPr="00EA539A">
              <w:t xml:space="preserve">Figure </w:t>
            </w:r>
            <w:r w:rsidRPr="00EA539A">
              <w:fldChar w:fldCharType="begin"/>
            </w:r>
            <w:r w:rsidR="00EF1554">
              <w:instrText>SEQ</w:instrText>
            </w:r>
            <w:r w:rsidRPr="00EA539A">
              <w:instrText xml:space="preserve"> Figure \* ARABIC </w:instrText>
            </w:r>
            <w:r w:rsidRPr="00EA539A">
              <w:fldChar w:fldCharType="separate"/>
            </w:r>
            <w:r>
              <w:rPr>
                <w:noProof/>
              </w:rPr>
              <w:t>33</w:t>
            </w:r>
            <w:r w:rsidRPr="00EA539A">
              <w:fldChar w:fldCharType="end"/>
            </w:r>
            <w:r w:rsidRPr="004C50DC">
              <w:rPr>
                <w:i w:val="0"/>
              </w:rPr>
              <w:t>. Les ruines du fort Madame, Dessalines</w:t>
            </w:r>
            <w:bookmarkEnd w:id="328"/>
          </w:p>
        </w:tc>
        <w:tc>
          <w:tcPr>
            <w:tcW w:w="4532" w:type="dxa"/>
          </w:tcPr>
          <w:p w:rsidR="004C50DC" w:rsidRDefault="004C50DC" w:rsidP="004C50DC">
            <w:pPr>
              <w:pStyle w:val="figst1"/>
              <w:ind w:firstLine="0"/>
            </w:pPr>
            <w:bookmarkStart w:id="329" w:name="Memoire_fig_34"/>
            <w:r w:rsidRPr="00EA539A">
              <w:t xml:space="preserve">Figure </w:t>
            </w:r>
            <w:r w:rsidRPr="00EA539A">
              <w:fldChar w:fldCharType="begin"/>
            </w:r>
            <w:r w:rsidR="00EF1554">
              <w:instrText>SEQ</w:instrText>
            </w:r>
            <w:r w:rsidRPr="00EA539A">
              <w:instrText xml:space="preserve"> Figure \* ARABIC </w:instrText>
            </w:r>
            <w:r w:rsidRPr="00EA539A">
              <w:fldChar w:fldCharType="separate"/>
            </w:r>
            <w:r>
              <w:rPr>
                <w:noProof/>
              </w:rPr>
              <w:t>34</w:t>
            </w:r>
            <w:r w:rsidRPr="00EA539A">
              <w:fldChar w:fldCharType="end"/>
            </w:r>
            <w:r w:rsidRPr="00EA539A">
              <w:t>.</w:t>
            </w:r>
            <w:r w:rsidRPr="004C50DC">
              <w:rPr>
                <w:i w:val="0"/>
              </w:rPr>
              <w:t xml:space="preserve"> Fort Doko, Dessalines</w:t>
            </w:r>
            <w:bookmarkEnd w:id="329"/>
          </w:p>
        </w:tc>
      </w:tr>
    </w:tbl>
    <w:p w:rsidR="004C50DC" w:rsidRPr="00EA539A" w:rsidRDefault="004C50DC" w:rsidP="004C50DC">
      <w:pPr>
        <w:pStyle w:val="p"/>
      </w:pPr>
      <w:r>
        <w:rPr>
          <w:b/>
          <w:i/>
        </w:rPr>
        <w:br w:type="page"/>
      </w:r>
      <w:r w:rsidRPr="00EA539A">
        <w:t>[28</w:t>
      </w:r>
      <w:r>
        <w:t>1</w:t>
      </w:r>
      <w:r w:rsidRPr="00EA539A">
        <w:t>]</w:t>
      </w:r>
    </w:p>
    <w:p w:rsidR="004C50DC" w:rsidRPr="00E8358C" w:rsidRDefault="004C50DC" w:rsidP="004C50DC">
      <w:pPr>
        <w:spacing w:before="120" w:after="120"/>
        <w:jc w:val="both"/>
      </w:pPr>
    </w:p>
    <w:p w:rsidR="004C50DC" w:rsidRPr="00E8358C" w:rsidRDefault="009B614B" w:rsidP="004C50DC">
      <w:pPr>
        <w:pStyle w:val="fig1"/>
      </w:pPr>
      <w:r w:rsidRPr="00E8358C">
        <w:rPr>
          <w:noProof/>
        </w:rPr>
        <w:drawing>
          <wp:inline distT="0" distB="0" distL="0" distR="0">
            <wp:extent cx="2926080" cy="2172970"/>
            <wp:effectExtent l="25400" t="25400" r="7620" b="11430"/>
            <wp:docPr id="41" name="Image 28" descr="http://static.squarespace.com/static/53348503e4b09be6564e601a/t/53b364d2e4b059c25caf1b52/1404265672930/?format=750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descr="http://static.squarespace.com/static/53348503e4b09be6564e601a/t/53b364d2e4b059c25caf1b52/1404265672930/?format=750w"/>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6080" cy="2172970"/>
                    </a:xfrm>
                    <a:prstGeom prst="rect">
                      <a:avLst/>
                    </a:prstGeom>
                    <a:noFill/>
                    <a:ln w="19050" cmpd="sng">
                      <a:solidFill>
                        <a:srgbClr val="000000"/>
                      </a:solidFill>
                      <a:miter lim="800000"/>
                      <a:headEnd/>
                      <a:tailEnd/>
                    </a:ln>
                    <a:effectLst/>
                  </pic:spPr>
                </pic:pic>
              </a:graphicData>
            </a:graphic>
          </wp:inline>
        </w:drawing>
      </w:r>
      <w:r w:rsidR="004C50DC" w:rsidRPr="00E8358C">
        <w:rPr>
          <w:lang w:eastAsia="fr-CA"/>
        </w:rPr>
        <w:t xml:space="preserve"> </w:t>
      </w:r>
      <w:r w:rsidRPr="00E8358C">
        <w:rPr>
          <w:noProof/>
        </w:rPr>
        <w:drawing>
          <wp:inline distT="0" distB="0" distL="0" distR="0">
            <wp:extent cx="2581910" cy="2011680"/>
            <wp:effectExtent l="25400" t="25400" r="8890" b="7620"/>
            <wp:docPr id="42" name="Image 4" descr="http://admin.lenouvelliste.com/images/nouvelliste/2013-10-11/fortlafindumon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http://admin.lenouvelliste.com/images/nouvelliste/2013-10-11/fortlafindumonde.jp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1910" cy="201168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30" w:name="_Toc417146078"/>
    </w:p>
    <w:p w:rsidR="004C50DC" w:rsidRDefault="004C50DC" w:rsidP="004C50DC">
      <w:pPr>
        <w:ind w:right="90" w:firstLine="0"/>
        <w:jc w:val="both"/>
      </w:pPr>
      <w:hyperlink w:anchor="tdm" w:history="1">
        <w:r>
          <w:rPr>
            <w:rStyle w:val="Lienhypertexte"/>
            <w:sz w:val="20"/>
          </w:rPr>
          <w:t>Retour à la table des matières</w:t>
        </w:r>
      </w:hyperlink>
    </w:p>
    <w:p w:rsidR="004C50DC" w:rsidRPr="00E8358C" w:rsidRDefault="004C50DC" w:rsidP="004C50DC">
      <w:pPr>
        <w:ind w:right="90" w:firstLine="0"/>
        <w:jc w:val="both"/>
      </w:pPr>
    </w:p>
    <w:tbl>
      <w:tblPr>
        <w:tblW w:w="0" w:type="auto"/>
        <w:tblInd w:w="-792" w:type="dxa"/>
        <w:tblLook w:val="00BF" w:firstRow="1" w:lastRow="0" w:firstColumn="1" w:lastColumn="0" w:noHBand="0" w:noVBand="0"/>
      </w:tblPr>
      <w:tblGrid>
        <w:gridCol w:w="4320"/>
        <w:gridCol w:w="4532"/>
      </w:tblGrid>
      <w:tr w:rsidR="004C50DC" w:rsidRPr="004C50DC">
        <w:tc>
          <w:tcPr>
            <w:tcW w:w="4320" w:type="dxa"/>
          </w:tcPr>
          <w:p w:rsidR="004C50DC" w:rsidRDefault="004C50DC" w:rsidP="004C50DC">
            <w:pPr>
              <w:pStyle w:val="figst1"/>
              <w:ind w:firstLine="0"/>
            </w:pPr>
            <w:bookmarkStart w:id="331" w:name="Memoire_fig_35"/>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35</w:t>
            </w:r>
            <w:r w:rsidRPr="00FF337C">
              <w:fldChar w:fldCharType="end"/>
            </w:r>
            <w:r w:rsidRPr="004C50DC">
              <w:rPr>
                <w:i w:val="0"/>
              </w:rPr>
              <w:t>.Vestiges du fort Innocent, De</w:t>
            </w:r>
            <w:r w:rsidRPr="004C50DC">
              <w:rPr>
                <w:i w:val="0"/>
              </w:rPr>
              <w:t>s</w:t>
            </w:r>
            <w:r w:rsidRPr="004C50DC">
              <w:rPr>
                <w:i w:val="0"/>
              </w:rPr>
              <w:t>salines</w:t>
            </w:r>
            <w:bookmarkEnd w:id="331"/>
          </w:p>
        </w:tc>
        <w:tc>
          <w:tcPr>
            <w:tcW w:w="4532" w:type="dxa"/>
          </w:tcPr>
          <w:p w:rsidR="004C50DC" w:rsidRDefault="004C50DC" w:rsidP="004C50DC">
            <w:pPr>
              <w:pStyle w:val="figst1"/>
              <w:ind w:firstLine="0"/>
            </w:pPr>
            <w:bookmarkStart w:id="332" w:name="Memoire_fig_36"/>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36</w:t>
            </w:r>
            <w:r w:rsidRPr="00FF337C">
              <w:fldChar w:fldCharType="end"/>
            </w:r>
            <w:r w:rsidRPr="00FF337C">
              <w:t>.</w:t>
            </w:r>
            <w:r w:rsidRPr="004C50DC">
              <w:rPr>
                <w:i w:val="0"/>
              </w:rPr>
              <w:t xml:space="preserve"> Fort Fin-Du-Monde, Dessal</w:t>
            </w:r>
            <w:r w:rsidRPr="004C50DC">
              <w:rPr>
                <w:i w:val="0"/>
              </w:rPr>
              <w:t>i</w:t>
            </w:r>
            <w:r w:rsidRPr="004C50DC">
              <w:rPr>
                <w:i w:val="0"/>
              </w:rPr>
              <w:t>nes </w:t>
            </w:r>
            <w:r w:rsidRPr="004C50DC">
              <w:rPr>
                <w:rStyle w:val="Appelnotedebasdep"/>
                <w:i w:val="0"/>
              </w:rPr>
              <w:footnoteReference w:id="760"/>
            </w:r>
            <w:bookmarkEnd w:id="332"/>
          </w:p>
        </w:tc>
      </w:tr>
    </w:tbl>
    <w:p w:rsidR="004C50DC" w:rsidRDefault="004C50DC" w:rsidP="004C50DC">
      <w:pPr>
        <w:spacing w:before="120" w:after="120"/>
        <w:jc w:val="both"/>
      </w:pPr>
    </w:p>
    <w:bookmarkEnd w:id="330"/>
    <w:p w:rsidR="004C50DC" w:rsidRDefault="004C50DC" w:rsidP="004C50DC">
      <w:pPr>
        <w:spacing w:before="120" w:after="120"/>
        <w:jc w:val="both"/>
      </w:pPr>
      <w:r w:rsidRPr="00E8358C">
        <w:t>Tous les 17 octobre, à la date de l’assassinat de l’empereur, les h</w:t>
      </w:r>
      <w:r w:rsidRPr="00E8358C">
        <w:t>a</w:t>
      </w:r>
      <w:r w:rsidRPr="00E8358C">
        <w:t xml:space="preserve">bitants de la ville de Dessalines commémorent sa mémoire. C’est lui qui leur a légué un pays libre et a fait construire ces fortifications. À première vue, les fortifications semblent encore protéger fièrement la ville. Les habitants s’enorgueillissent de s’identifier à Dessalines, le père fondateur de la nation haïtienne. Toutefois, les Dessaliniens se plaignent de l’indifférence des autorités gouvernementales à l’égard de la ville. C’est ce qu’exprime Kercy, 42 ans, animateur culturel, membre d’une association pour la sauvegarde du patrimoine local, originaire de Poste Pierrot, une des trois sections communales de la commune de Dessalines : </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Pou nou, fò yo nan Dessalines senbolize fyète pèp ayisyen. Atravè yo nou wè entelijans vizyon papa Dessalines te genyen pou anpeche retou blan fransè yo epi konsolide endepandans lan. Nou komemore memwa Dessal</w:t>
      </w:r>
      <w:r w:rsidRPr="00E8358C">
        <w:t>i</w:t>
      </w:r>
      <w:r w:rsidRPr="00E8358C">
        <w:t>nes chak 17 oktòb, reprezantan leta yo konn patisipe pafwa men malman. Ispan te komanse reyabilite site la Source la men yo abandone l. Abitan zòn nan toujou ap mande pou yo ta restore tout fò yo men sa pa janm rive fèt. Jounen jodia n ap travay sou yon pwojè mize pou vil la kote memwa Dessalines t ap osant travay sa. Paske jan nou menm Dessalinien toujou repete l se nan vil Dessalines je Leta ayisyen te premye louvri. Miz an valè patrimwan sa yo t ap yon bon desizyon pou transmet memwa esklavaj la nan peyi a. Paske yo espl</w:t>
      </w:r>
      <w:r w:rsidRPr="00E8358C">
        <w:t>i</w:t>
      </w:r>
      <w:r w:rsidRPr="00E8358C">
        <w:t xml:space="preserve">ke istwa Ayiti a mal nan lekòl yo. Notre histoire nous a été contée de travers. Se t ap yon atou tou pou ekonomi touristik la non sèlman pou vil la men pou tout peyi a. </w:t>
      </w:r>
    </w:p>
    <w:p w:rsidR="004C50DC" w:rsidRPr="00E8358C" w:rsidRDefault="004C50DC" w:rsidP="004C50DC">
      <w:pPr>
        <w:pStyle w:val="Citation0"/>
      </w:pPr>
      <w:r w:rsidRPr="00E8358C">
        <w:t>[Pour nous, les fortifications de Dessalines  symbolisent la fierté du peuple haïtien.</w:t>
      </w:r>
      <w:r>
        <w:t xml:space="preserve"> [282]</w:t>
      </w:r>
      <w:r w:rsidRPr="00E8358C">
        <w:t xml:space="preserve"> Elles nous permettent d’apprécier l’intelligence et la vision de papa Dessalines pour prévenir un retour éventuel des Français et cons</w:t>
      </w:r>
      <w:r w:rsidRPr="00E8358C">
        <w:t>o</w:t>
      </w:r>
      <w:r w:rsidRPr="00E8358C">
        <w:t>lider l’indépendance d’Haïti. Tous les 17 octobre, les Desaliniens co</w:t>
      </w:r>
      <w:r w:rsidRPr="00E8358C">
        <w:t>m</w:t>
      </w:r>
      <w:r w:rsidRPr="00E8358C">
        <w:t>mémorent la mémoire de Dessalines. Les autorités étatiques</w:t>
      </w:r>
      <w:r>
        <w:t> </w:t>
      </w:r>
      <w:r w:rsidRPr="00E8358C">
        <w:rPr>
          <w:rStyle w:val="Appelnotedebasdep"/>
          <w:szCs w:val="22"/>
        </w:rPr>
        <w:footnoteReference w:id="761"/>
      </w:r>
      <w:r w:rsidRPr="00E8358C">
        <w:t xml:space="preserve"> y partic</w:t>
      </w:r>
      <w:r w:rsidRPr="00E8358C">
        <w:t>i</w:t>
      </w:r>
      <w:r w:rsidRPr="00E8358C">
        <w:t>pent parfois. Par le passé l’ISPAN avait débuté des travaux de restauration de la fortification « La Source » qui n’ont pas pu être achevés. Les hab</w:t>
      </w:r>
      <w:r w:rsidRPr="00E8358C">
        <w:t>i</w:t>
      </w:r>
      <w:r w:rsidRPr="00E8358C">
        <w:t>tants de la commune de Dessalines espèrent voir en vain tous les forts re</w:t>
      </w:r>
      <w:r w:rsidRPr="00E8358C">
        <w:t>s</w:t>
      </w:r>
      <w:r w:rsidRPr="00E8358C">
        <w:t>taurés. Aujourd’hui, ils ont un projet de construction d’un musée qui sera dédié à la mémoire de l’empereur Jean-Jacques Dessalines. Comme le r</w:t>
      </w:r>
      <w:r w:rsidRPr="00E8358C">
        <w:t>é</w:t>
      </w:r>
      <w:r w:rsidRPr="00E8358C">
        <w:t>pètent les Dessaliniens, c’est dans la ville de Dessalines que les yeux de l’État ha</w:t>
      </w:r>
      <w:r w:rsidRPr="00E8358C">
        <w:t>ï</w:t>
      </w:r>
      <w:r w:rsidRPr="00E8358C">
        <w:t>tien ont été pour la première fois ouverts. La mise en valeur de ces patr</w:t>
      </w:r>
      <w:r w:rsidRPr="00E8358C">
        <w:t>i</w:t>
      </w:r>
      <w:r w:rsidRPr="00E8358C">
        <w:t>moines contribuerait à transmettre la mémoire de l’esclavage en Haïti, car l’histoire d’Haïti est mal enseignée dans les écoles.  Notre histo</w:t>
      </w:r>
      <w:r w:rsidRPr="00E8358C">
        <w:t>i</w:t>
      </w:r>
      <w:r w:rsidRPr="00E8358C">
        <w:t>re nous a été contée de travers. Ce serait aussi un apport à l’économie to</w:t>
      </w:r>
      <w:r w:rsidRPr="00E8358C">
        <w:t>u</w:t>
      </w:r>
      <w:r w:rsidRPr="00E8358C">
        <w:t>ristique de la ville et du pays.]</w:t>
      </w:r>
    </w:p>
    <w:p w:rsidR="004C50DC" w:rsidRDefault="004C50DC" w:rsidP="004C50DC">
      <w:pPr>
        <w:pStyle w:val="Citation0c"/>
      </w:pPr>
      <w:r w:rsidRPr="00E8358C">
        <w:t>(Kercy, entrevue, 8 septembre 2013)</w:t>
      </w:r>
    </w:p>
    <w:p w:rsidR="004C50DC" w:rsidRPr="00E8358C" w:rsidRDefault="004C50DC" w:rsidP="004C50DC">
      <w:pPr>
        <w:pStyle w:val="Citation0c"/>
      </w:pPr>
    </w:p>
    <w:p w:rsidR="004C50DC" w:rsidRPr="00E8358C" w:rsidRDefault="004C50DC" w:rsidP="004C50DC">
      <w:pPr>
        <w:spacing w:before="120" w:after="120"/>
        <w:jc w:val="both"/>
      </w:pPr>
      <w:r w:rsidRPr="00E8358C">
        <w:t>Kercy concluait en s’appuyant sur les recommandations de la commission bicentenaire de l’Indépendance haïtienne qui avait prop</w:t>
      </w:r>
      <w:r w:rsidRPr="00E8358C">
        <w:t>o</w:t>
      </w:r>
      <w:r w:rsidRPr="00E8358C">
        <w:t>sé, devant ses potentialités historiques et patrimoniales, que la ville de Dessalines soit classée « patrimoine national » dans le cadre d’une patrimonialisation des mémoires de l’esclavage en Haïti. Il déclare :</w:t>
      </w:r>
    </w:p>
    <w:p w:rsidR="004C50DC" w:rsidRPr="00E8358C" w:rsidRDefault="004C50DC" w:rsidP="004C50DC">
      <w:pPr>
        <w:pStyle w:val="Citation0i"/>
      </w:pPr>
      <w:r w:rsidRPr="00E8358C">
        <w:t>Te gen yon gwo travay komisyon bisantnè endepandans Ayiti ansyen pr</w:t>
      </w:r>
      <w:r w:rsidRPr="00E8358C">
        <w:t>e</w:t>
      </w:r>
      <w:r w:rsidRPr="00E8358C">
        <w:t xml:space="preserve">zidan Manigat te dirije a, yo te rive idantifye kelke vil tankou Dessalines kòm patrimwan nasyonal. Si leta mete rekomandasyon komisyon sa an aplikasyon li t ap bon pou kesyon patrimonyalizasyon memwa esklavaj w ap pale a, li t ap bon tou pou peyi a anpil. </w:t>
      </w:r>
    </w:p>
    <w:p w:rsidR="004C50DC" w:rsidRPr="00E8358C" w:rsidRDefault="004C50DC" w:rsidP="004C50DC">
      <w:pPr>
        <w:pStyle w:val="Citation0"/>
      </w:pPr>
      <w:r w:rsidRPr="00E8358C">
        <w:t>[Par le passé, la commission de commémoration du bicentenaire de l’Indépendance d’Haïti</w:t>
      </w:r>
      <w:r>
        <w:t> </w:t>
      </w:r>
      <w:r>
        <w:rPr>
          <w:rStyle w:val="Appelnotedebasdep"/>
        </w:rPr>
        <w:footnoteReference w:id="762"/>
      </w:r>
      <w:r w:rsidRPr="00E8358C">
        <w:t xml:space="preserve"> avait identifié un ensemble de villes haïtie</w:t>
      </w:r>
      <w:r w:rsidRPr="00E8358C">
        <w:t>n</w:t>
      </w:r>
      <w:r w:rsidRPr="00E8358C">
        <w:t>nes, notamment Marchand-Dessalines, pour être classée « patrimoine nati</w:t>
      </w:r>
      <w:r w:rsidRPr="00E8358C">
        <w:t>o</w:t>
      </w:r>
      <w:r w:rsidRPr="00E8358C">
        <w:t>nal ». Si les gouvernements d’après avaient mis en pratique les reco</w:t>
      </w:r>
      <w:r w:rsidRPr="00E8358C">
        <w:t>m</w:t>
      </w:r>
      <w:r w:rsidRPr="00E8358C">
        <w:t>mandations de cette commission, ce serait utile à la patrimoni</w:t>
      </w:r>
      <w:r w:rsidRPr="00E8358C">
        <w:t>a</w:t>
      </w:r>
      <w:r w:rsidRPr="00E8358C">
        <w:t>lisation de la mémoire de l’esclavage dont vous parlez. Il serait prof</w:t>
      </w:r>
      <w:r w:rsidRPr="00E8358C">
        <w:t>i</w:t>
      </w:r>
      <w:r w:rsidRPr="00E8358C">
        <w:t>table aussi pour le pays tout entier.]</w:t>
      </w:r>
    </w:p>
    <w:p w:rsidR="004C50DC" w:rsidRDefault="004C50DC" w:rsidP="004C50DC">
      <w:pPr>
        <w:pStyle w:val="Citation0c"/>
      </w:pPr>
      <w:r w:rsidRPr="00E8358C">
        <w:t>(Kercy, entrevue, 8 septembre 2013)</w:t>
      </w:r>
    </w:p>
    <w:p w:rsidR="004C50DC" w:rsidRPr="00E8358C" w:rsidRDefault="004C50DC" w:rsidP="004C50DC">
      <w:pPr>
        <w:pStyle w:val="Citation0c"/>
      </w:pPr>
    </w:p>
    <w:p w:rsidR="004C50DC" w:rsidRPr="00E8358C" w:rsidRDefault="004C50DC" w:rsidP="004C50DC">
      <w:pPr>
        <w:spacing w:before="120" w:after="120"/>
        <w:jc w:val="both"/>
      </w:pPr>
      <w:r w:rsidRPr="00E8358C">
        <w:t xml:space="preserve">Les déclarations de Kercy donnent l’impression que les autorités gouvernementales ne répondent pas à leur mission. En même temps, il les exhorte </w:t>
      </w:r>
      <w:r>
        <w:t>de considérer l’importance de [283] la</w:t>
      </w:r>
      <w:r w:rsidRPr="00E8358C">
        <w:t xml:space="preserve"> sauvegarde des sites indispensables à la patrimonialisation des mémoires de l’esclavage. Devant les critiques formulées contre les élites dirigeantes, Fanfan, avec lequel nous nous sommes déjà entretenu, se montre raisonnable :</w:t>
      </w:r>
    </w:p>
    <w:p w:rsidR="004C50DC" w:rsidRDefault="004C50DC" w:rsidP="004C50DC">
      <w:pPr>
        <w:pStyle w:val="Citation0i"/>
      </w:pPr>
    </w:p>
    <w:p w:rsidR="004C50DC" w:rsidRPr="00E8358C" w:rsidRDefault="004C50DC" w:rsidP="004C50DC">
      <w:pPr>
        <w:pStyle w:val="Citation0i"/>
      </w:pPr>
      <w:r w:rsidRPr="00E8358C">
        <w:t>Jodia, Ayiti dwe fè yon chwa ki pou bay lespwa epi reponn a pw</w:t>
      </w:r>
      <w:r w:rsidRPr="00E8358C">
        <w:t>o</w:t>
      </w:r>
      <w:r w:rsidRPr="00E8358C">
        <w:t>blem ijan yo. Leta a dwe gen atitid sa pafwa.</w:t>
      </w:r>
    </w:p>
    <w:p w:rsidR="004C50DC" w:rsidRPr="00E8358C" w:rsidRDefault="004C50DC" w:rsidP="004C50DC">
      <w:pPr>
        <w:pStyle w:val="Citation0"/>
      </w:pPr>
      <w:r w:rsidRPr="00E8358C">
        <w:t>[Aujourd’hui, Haïti doit faire des choix réfléchis pour résoudre les pr</w:t>
      </w:r>
      <w:r w:rsidRPr="00E8358C">
        <w:t>o</w:t>
      </w:r>
      <w:r w:rsidRPr="00E8358C">
        <w:t>blèmes les plus urgents. C’est l’attitude à adopter dans cette ci</w:t>
      </w:r>
      <w:r w:rsidRPr="00E8358C">
        <w:t>r</w:t>
      </w:r>
      <w:r w:rsidRPr="00E8358C">
        <w:t>constance.]</w:t>
      </w:r>
    </w:p>
    <w:p w:rsidR="004C50DC" w:rsidRDefault="004C50DC" w:rsidP="004C50DC">
      <w:pPr>
        <w:pStyle w:val="Citation0c"/>
      </w:pPr>
      <w:r w:rsidRPr="00E8358C">
        <w:t>(Fanfan, entrevue, 26 mars 2013)</w:t>
      </w:r>
    </w:p>
    <w:p w:rsidR="004C50DC" w:rsidRPr="00E8358C" w:rsidRDefault="004C50DC" w:rsidP="004C50DC">
      <w:pPr>
        <w:spacing w:before="120" w:after="120"/>
        <w:jc w:val="both"/>
        <w:rPr>
          <w:szCs w:val="22"/>
        </w:rPr>
      </w:pPr>
      <w:r>
        <w:rPr>
          <w:szCs w:val="22"/>
        </w:rPr>
        <w:br w:type="page"/>
      </w:r>
    </w:p>
    <w:p w:rsidR="004C50DC" w:rsidRPr="00FF337C" w:rsidRDefault="004C50DC" w:rsidP="004C50DC">
      <w:pPr>
        <w:pStyle w:val="b"/>
      </w:pPr>
      <w:bookmarkStart w:id="333" w:name="_Toc423347336"/>
      <w:bookmarkStart w:id="334" w:name="_Toc442280518"/>
      <w:bookmarkStart w:id="335" w:name="_Toc406489753"/>
      <w:r w:rsidRPr="00FF337C">
        <w:t>Habitation (Camp) Gérard dans la commune des Cayes</w:t>
      </w:r>
      <w:bookmarkEnd w:id="333"/>
      <w:bookmarkEnd w:id="334"/>
    </w:p>
    <w:p w:rsidR="004C50DC" w:rsidRDefault="004C50DC" w:rsidP="004C50DC">
      <w:pPr>
        <w:spacing w:before="120" w:after="120"/>
        <w:jc w:val="both"/>
        <w:rPr>
          <w:bCs/>
        </w:rPr>
      </w:pPr>
    </w:p>
    <w:p w:rsidR="004C50DC" w:rsidRPr="00E8358C" w:rsidRDefault="004C50DC" w:rsidP="004C50DC">
      <w:pPr>
        <w:spacing w:before="120" w:after="120"/>
        <w:jc w:val="both"/>
      </w:pPr>
      <w:r w:rsidRPr="00E8358C">
        <w:rPr>
          <w:bCs/>
        </w:rPr>
        <w:t xml:space="preserve">Jean-Baptiste Gérard, </w:t>
      </w:r>
      <w:r w:rsidRPr="00E8358C">
        <w:t xml:space="preserve">né le 21 novembre </w:t>
      </w:r>
      <w:r w:rsidRPr="00E8358C">
        <w:rPr>
          <w:bCs/>
        </w:rPr>
        <w:t>1735, d’origine bayo</w:t>
      </w:r>
      <w:r w:rsidRPr="00E8358C">
        <w:rPr>
          <w:bCs/>
        </w:rPr>
        <w:t>n</w:t>
      </w:r>
      <w:r w:rsidRPr="00E8358C">
        <w:rPr>
          <w:bCs/>
        </w:rPr>
        <w:t>naise</w:t>
      </w:r>
      <w:r>
        <w:rPr>
          <w:bCs/>
        </w:rPr>
        <w:t> </w:t>
      </w:r>
      <w:r w:rsidRPr="00E8358C">
        <w:rPr>
          <w:rStyle w:val="Appelnotedebasdep"/>
          <w:bCs/>
        </w:rPr>
        <w:footnoteReference w:id="763"/>
      </w:r>
      <w:r w:rsidRPr="00E8358C">
        <w:rPr>
          <w:bCs/>
        </w:rPr>
        <w:t xml:space="preserve">, s’était installé dans la région sud de la colonie de Saint-Domingue. </w:t>
      </w:r>
      <w:r w:rsidRPr="00E8358C">
        <w:t xml:space="preserve">À la suite des événements qui ont abouti à l’indépendance d’Haïti, </w:t>
      </w:r>
      <w:r w:rsidRPr="00E8358C">
        <w:rPr>
          <w:bCs/>
        </w:rPr>
        <w:t>Jean-Baptiste Gérard</w:t>
      </w:r>
      <w:r w:rsidRPr="00E8358C">
        <w:t>, accompagné de son épouse et de son beau-fils, a quitté l’ancienne colonie dominguoise en mars 1804</w:t>
      </w:r>
      <w:r>
        <w:t> </w:t>
      </w:r>
      <w:r>
        <w:rPr>
          <w:rStyle w:val="Appelnotedebasdep"/>
        </w:rPr>
        <w:footnoteReference w:id="764"/>
      </w:r>
      <w:r w:rsidRPr="00E8358C">
        <w:t xml:space="preserve"> pour la </w:t>
      </w:r>
      <w:r w:rsidRPr="00E8358C">
        <w:rPr>
          <w:bCs/>
        </w:rPr>
        <w:t>France</w:t>
      </w:r>
      <w:r w:rsidRPr="00E8358C">
        <w:t xml:space="preserve"> en passant par </w:t>
      </w:r>
      <w:r w:rsidRPr="00E8358C">
        <w:rPr>
          <w:bCs/>
        </w:rPr>
        <w:t>New York</w:t>
      </w:r>
      <w:r w:rsidRPr="00E8358C">
        <w:t xml:space="preserve">. </w:t>
      </w:r>
    </w:p>
    <w:p w:rsidR="004C50DC" w:rsidRPr="00E8358C" w:rsidRDefault="004C50DC" w:rsidP="004C50DC">
      <w:pPr>
        <w:spacing w:before="120" w:after="120"/>
        <w:jc w:val="both"/>
        <w:rPr>
          <w:bCs/>
        </w:rPr>
      </w:pPr>
      <w:r w:rsidRPr="00E8358C">
        <w:rPr>
          <w:bCs/>
        </w:rPr>
        <w:t>Construit au sommet d’un monticule au milieu de l’Habitation G</w:t>
      </w:r>
      <w:r w:rsidRPr="00E8358C">
        <w:rPr>
          <w:bCs/>
        </w:rPr>
        <w:t>é</w:t>
      </w:r>
      <w:r w:rsidRPr="00E8358C">
        <w:rPr>
          <w:bCs/>
        </w:rPr>
        <w:t>rard abandonnée par son propriétaire, le Camp Gérard se trouve dans la 9</w:t>
      </w:r>
      <w:r w:rsidRPr="00E8358C">
        <w:rPr>
          <w:bCs/>
          <w:vertAlign w:val="superscript"/>
        </w:rPr>
        <w:t>e</w:t>
      </w:r>
      <w:r w:rsidRPr="00E8358C">
        <w:rPr>
          <w:bCs/>
        </w:rPr>
        <w:t xml:space="preserve"> section communale de la Mercy située à seize kilomètres de la ville des Cayes par voie terrestre en direction Nord-Ouest</w:t>
      </w:r>
      <w:r>
        <w:rPr>
          <w:bCs/>
        </w:rPr>
        <w:t> </w:t>
      </w:r>
      <w:r>
        <w:rPr>
          <w:rStyle w:val="Appelnotedebasdep"/>
          <w:bCs/>
        </w:rPr>
        <w:footnoteReference w:id="765"/>
      </w:r>
      <w:r w:rsidRPr="00E8358C">
        <w:rPr>
          <w:bCs/>
        </w:rPr>
        <w:t>. Il su</w:t>
      </w:r>
      <w:r w:rsidRPr="00E8358C">
        <w:rPr>
          <w:bCs/>
        </w:rPr>
        <w:t>r</w:t>
      </w:r>
      <w:r w:rsidRPr="00E8358C">
        <w:rPr>
          <w:bCs/>
        </w:rPr>
        <w:t>plombe la plaine des Cayes, notamment toute la rive de la ravine du Sud. Le Camp a servi pendant longtemps de point de planification, de définition de stratégie et de renforts militaires durant la période insu</w:t>
      </w:r>
      <w:r w:rsidRPr="00E8358C">
        <w:rPr>
          <w:bCs/>
        </w:rPr>
        <w:t>r</w:t>
      </w:r>
      <w:r w:rsidRPr="00E8358C">
        <w:rPr>
          <w:bCs/>
        </w:rPr>
        <w:t>rectionnelle des années 1790, lors de la guerre de l’Indépendance et après 1804. Le 10 août 1792, après la piteuse débâcle face aux escl</w:t>
      </w:r>
      <w:r w:rsidRPr="00E8358C">
        <w:rPr>
          <w:bCs/>
        </w:rPr>
        <w:t>a</w:t>
      </w:r>
      <w:r w:rsidRPr="00E8358C">
        <w:rPr>
          <w:bCs/>
        </w:rPr>
        <w:t>ves repositionnés tactiquement dans la montagne des Platons, dans le massif de la Hotte, située à douze kilomètres à l’ouest, le colonel fra</w:t>
      </w:r>
      <w:r w:rsidRPr="00E8358C">
        <w:rPr>
          <w:bCs/>
        </w:rPr>
        <w:t>n</w:t>
      </w:r>
      <w:r w:rsidRPr="00E8358C">
        <w:rPr>
          <w:bCs/>
        </w:rPr>
        <w:t>çais Blanchelande ne put rallier sa troupe qu’au Camp Gérard</w:t>
      </w:r>
      <w:r>
        <w:rPr>
          <w:bCs/>
        </w:rPr>
        <w:t> </w:t>
      </w:r>
      <w:r>
        <w:rPr>
          <w:rStyle w:val="Appelnotedebasdep"/>
          <w:bCs/>
        </w:rPr>
        <w:footnoteReference w:id="766"/>
      </w:r>
      <w:r w:rsidRPr="00E8358C">
        <w:rPr>
          <w:bCs/>
        </w:rPr>
        <w:t xml:space="preserve">. </w:t>
      </w:r>
    </w:p>
    <w:p w:rsidR="004C50DC" w:rsidRDefault="004C50DC" w:rsidP="004C50DC">
      <w:pPr>
        <w:spacing w:before="120" w:after="120"/>
        <w:jc w:val="both"/>
        <w:rPr>
          <w:bCs/>
        </w:rPr>
      </w:pPr>
      <w:r>
        <w:rPr>
          <w:bCs/>
        </w:rPr>
        <w:t>[284]</w:t>
      </w:r>
    </w:p>
    <w:p w:rsidR="004C50DC" w:rsidRDefault="004C50DC" w:rsidP="004C50DC">
      <w:pPr>
        <w:spacing w:before="120" w:after="120"/>
        <w:jc w:val="both"/>
        <w:rPr>
          <w:bCs/>
        </w:rPr>
      </w:pPr>
      <w:r w:rsidRPr="00E8358C">
        <w:rPr>
          <w:bCs/>
        </w:rPr>
        <w:t>En mars 1803, le général Nicolas Geffrard, à la tête de sa troupe, part de Camp Gérard pour attaquer les Français se trouvant à Torbeck. À la même époque, le jeune Boisrond Tonnerre, déguisé, a quitté Les Cayes pour aller offrir ses services à Nicolas Geffrard qui l’adjoint à son équipe</w:t>
      </w:r>
      <w:r>
        <w:rPr>
          <w:bCs/>
        </w:rPr>
        <w:t> </w:t>
      </w:r>
      <w:r>
        <w:rPr>
          <w:rStyle w:val="Appelnotedebasdep"/>
          <w:bCs/>
        </w:rPr>
        <w:footnoteReference w:id="767"/>
      </w:r>
      <w:r w:rsidRPr="00E8358C">
        <w:rPr>
          <w:bCs/>
        </w:rPr>
        <w:t>. De même, du Camp Gérard, le général Nicolas Ge</w:t>
      </w:r>
      <w:r w:rsidRPr="00E8358C">
        <w:rPr>
          <w:bCs/>
        </w:rPr>
        <w:t>f</w:t>
      </w:r>
      <w:r w:rsidRPr="00E8358C">
        <w:rPr>
          <w:bCs/>
        </w:rPr>
        <w:t>frard, une fois de plus, partit pour assaillir le bourg de Corail et mettre en déroute les troupes du général Darbois. Constatant sa défaite, ce dernier abandonna ses troupes au beau milieu de la nuit et se rendit à Jérémie dans une petite embarcation de pêcheur. Sans command</w:t>
      </w:r>
      <w:r w:rsidRPr="00E8358C">
        <w:rPr>
          <w:bCs/>
        </w:rPr>
        <w:t>e</w:t>
      </w:r>
      <w:r w:rsidRPr="00E8358C">
        <w:rPr>
          <w:bCs/>
        </w:rPr>
        <w:t>ment, désemparé et abandonné à lui-même, le bataillon français dép</w:t>
      </w:r>
      <w:r w:rsidRPr="00E8358C">
        <w:rPr>
          <w:bCs/>
        </w:rPr>
        <w:t>o</w:t>
      </w:r>
      <w:r w:rsidRPr="00E8358C">
        <w:rPr>
          <w:bCs/>
        </w:rPr>
        <w:t>sa les armes.</w:t>
      </w:r>
      <w:bookmarkEnd w:id="335"/>
    </w:p>
    <w:p w:rsidR="004C50DC" w:rsidRPr="00E8358C" w:rsidRDefault="004C50DC" w:rsidP="004C50DC">
      <w:pPr>
        <w:spacing w:before="120" w:after="120"/>
        <w:jc w:val="both"/>
        <w:rPr>
          <w:bCs/>
        </w:rPr>
      </w:pPr>
    </w:p>
    <w:p w:rsidR="004C50DC" w:rsidRPr="00E8358C" w:rsidRDefault="009B614B" w:rsidP="004C50DC">
      <w:pPr>
        <w:pStyle w:val="fig1"/>
      </w:pPr>
      <w:r w:rsidRPr="00E8358C">
        <w:rPr>
          <w:b/>
          <w:noProof/>
        </w:rPr>
        <w:drawing>
          <wp:inline distT="0" distB="0" distL="0" distR="0">
            <wp:extent cx="2829560" cy="1764030"/>
            <wp:effectExtent l="25400" t="25400" r="15240" b="13970"/>
            <wp:docPr id="43" name="Image 43" descr="IMG_2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 descr="IMG_212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9560" cy="1764030"/>
                    </a:xfrm>
                    <a:prstGeom prst="rect">
                      <a:avLst/>
                    </a:prstGeom>
                    <a:noFill/>
                    <a:ln w="19050" cmpd="sng">
                      <a:solidFill>
                        <a:srgbClr val="000000"/>
                      </a:solidFill>
                      <a:miter lim="800000"/>
                      <a:headEnd/>
                      <a:tailEnd/>
                    </a:ln>
                    <a:effectLst/>
                  </pic:spPr>
                </pic:pic>
              </a:graphicData>
            </a:graphic>
          </wp:inline>
        </w:drawing>
      </w:r>
      <w:r w:rsidR="004C50DC">
        <w:rPr>
          <w:b/>
        </w:rPr>
        <w:t xml:space="preserve"> </w:t>
      </w:r>
      <w:r w:rsidRPr="00E8358C">
        <w:rPr>
          <w:noProof/>
        </w:rPr>
        <w:drawing>
          <wp:inline distT="0" distB="0" distL="0" distR="0">
            <wp:extent cx="2710815" cy="1699895"/>
            <wp:effectExtent l="25400" t="25400" r="6985" b="14605"/>
            <wp:docPr id="44" name="Image 44" descr="IMG_2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 descr="IMG_2127"/>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10815" cy="169989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36" w:name="_Toc417146079"/>
      <w:bookmarkStart w:id="337" w:name="Memoire_fig_37"/>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37</w:t>
      </w:r>
      <w:r w:rsidRPr="00FF337C">
        <w:fldChar w:fldCharType="end"/>
      </w:r>
      <w:r w:rsidRPr="00FF337C">
        <w:t>. Vestiges du Camp Gérard</w:t>
      </w:r>
      <w:bookmarkEnd w:id="336"/>
      <w:r>
        <w:t>.</w:t>
      </w:r>
      <w:r>
        <w:br/>
      </w:r>
      <w:r w:rsidRPr="00E8358C">
        <w:rPr>
          <w:szCs w:val="18"/>
        </w:rPr>
        <w:t>Photographies J.-R. Augustin, mars 2009</w:t>
      </w:r>
    </w:p>
    <w:bookmarkEnd w:id="337"/>
    <w:p w:rsidR="004C50DC" w:rsidRDefault="004C50DC" w:rsidP="004C50DC">
      <w:pPr>
        <w:spacing w:before="120" w:after="120"/>
        <w:jc w:val="both"/>
      </w:pPr>
    </w:p>
    <w:p w:rsidR="004C50DC" w:rsidRPr="00E8358C" w:rsidRDefault="004C50DC" w:rsidP="004C50DC">
      <w:pPr>
        <w:spacing w:before="120" w:after="120"/>
        <w:jc w:val="both"/>
      </w:pPr>
      <w:r w:rsidRPr="00E8358C">
        <w:t>L’événement le plus mémorable concernant la patrimonialisation de ce site est « l’entrevue de Camp Gérard » des 5 et 6 juillet 1803, qui s’est tenue à l’initiative du général Nicolas Geffrard. Cette re</w:t>
      </w:r>
      <w:r w:rsidRPr="00E8358C">
        <w:t>n</w:t>
      </w:r>
      <w:r w:rsidRPr="00E8358C">
        <w:t>contre a permis au général  Jean-Jacques Dessalines de s’entretenir avec les officiers du Sud déterminés eux aussi à combattre pour l’indépendance. Elle a permis aux ennemis d’hier de discuter sur la guerre du Sud menée par Toussaint Louverture contre Rigaud. Les deux parties ont fait la lumière sur cette question brûlante qui les div</w:t>
      </w:r>
      <w:r w:rsidRPr="00E8358C">
        <w:t>i</w:t>
      </w:r>
      <w:r w:rsidRPr="00E8358C">
        <w:t>se toujours. D’un côté, Dessalines a expliqué sa participation à la r</w:t>
      </w:r>
      <w:r w:rsidRPr="00E8358C">
        <w:t>é</w:t>
      </w:r>
      <w:r w:rsidRPr="00E8358C">
        <w:t>pression après cette guerre et de l’autre Geffrard a retracé les faits qui ont conduit à l’assassinat de Lamour Dérance. De telles initiatives ont permis de créer un climat de confiance et d’abattre les barrières de couleur et sociales qui opposaient les insurgés noirs esclaves aux a</w:t>
      </w:r>
      <w:r w:rsidRPr="00E8358C">
        <w:t>f</w:t>
      </w:r>
      <w:r w:rsidRPr="00E8358C">
        <w:t>franchis mulâtres</w:t>
      </w:r>
      <w:r>
        <w:t> </w:t>
      </w:r>
      <w:r w:rsidRPr="00E8358C">
        <w:rPr>
          <w:rStyle w:val="Appelnotedebasdep"/>
        </w:rPr>
        <w:footnoteReference w:id="768"/>
      </w:r>
      <w:r w:rsidRPr="00E8358C">
        <w:t>. Les ennemis d’hier ont mis de côté leurs diff</w:t>
      </w:r>
      <w:r w:rsidRPr="00E8358C">
        <w:t>é</w:t>
      </w:r>
      <w:r w:rsidRPr="00E8358C">
        <w:t>rends pour unir leurs forces pour</w:t>
      </w:r>
      <w:r>
        <w:t xml:space="preserve"> [285]</w:t>
      </w:r>
      <w:r w:rsidRPr="00E8358C">
        <w:t xml:space="preserve"> la libération de la colonie.</w:t>
      </w:r>
    </w:p>
    <w:p w:rsidR="004C50DC" w:rsidRPr="00E8358C" w:rsidRDefault="004C50DC" w:rsidP="004C50DC">
      <w:pPr>
        <w:spacing w:before="120" w:after="120"/>
        <w:jc w:val="both"/>
      </w:pPr>
      <w:r w:rsidRPr="00E8358C">
        <w:t xml:space="preserve">À l’issue de cette concertation, Dessalines a été désigné à l’unanimité « Général en chef » de l’armée indigène qui a mené la guerre de l’Indépendance haïtienne. Il nomma Nicolas </w:t>
      </w:r>
      <w:r w:rsidRPr="00E8358C">
        <w:rPr>
          <w:bCs/>
        </w:rPr>
        <w:t>Geffrard gén</w:t>
      </w:r>
      <w:r w:rsidRPr="00E8358C">
        <w:rPr>
          <w:bCs/>
        </w:rPr>
        <w:t>é</w:t>
      </w:r>
      <w:r w:rsidRPr="00E8358C">
        <w:rPr>
          <w:bCs/>
        </w:rPr>
        <w:t xml:space="preserve">ral de division. Une seule force a été créée pour conduire la bataille sous un commandement </w:t>
      </w:r>
      <w:r w:rsidRPr="00E8358C">
        <w:t>unique. Louis Boisrond Tonnerre</w:t>
      </w:r>
      <w:r>
        <w:t> </w:t>
      </w:r>
      <w:r w:rsidRPr="00E8358C">
        <w:rPr>
          <w:rStyle w:val="Appelnotedebasdep"/>
        </w:rPr>
        <w:footnoteReference w:id="769"/>
      </w:r>
      <w:r w:rsidRPr="00E8358C">
        <w:t>, lors de cette rencontre, a fait montre d’une fougue révolutionnaire et d’un p</w:t>
      </w:r>
      <w:r w:rsidRPr="00E8358C">
        <w:t>a</w:t>
      </w:r>
      <w:r w:rsidRPr="00E8358C">
        <w:t>triotisme incomparable. Il a été intégré à l’état-major et désigné co</w:t>
      </w:r>
      <w:r w:rsidRPr="00E8358C">
        <w:t>m</w:t>
      </w:r>
      <w:r w:rsidRPr="00E8358C">
        <w:t xml:space="preserve">me secrétaire particulier de Dessalines. </w:t>
      </w:r>
    </w:p>
    <w:p w:rsidR="004C50DC" w:rsidRDefault="004C50DC" w:rsidP="004C50DC">
      <w:pPr>
        <w:spacing w:before="120" w:after="120"/>
        <w:jc w:val="both"/>
      </w:pPr>
      <w:r w:rsidRPr="00E8358C">
        <w:rPr>
          <w:bCs/>
        </w:rPr>
        <w:t>Aujourd’hui, l’habitation Gérard, ou Camp Gérard, garde ses liens avec la mémoire de l’esclavage. Les vestiges, bien qu’ils soient mal conservés, constituent des lieux de mémoire déterminants dans la construction identitaire du peuple haïtien, car la mémoire est inhérente à la continuité d’un peuple. En 2006, une plaque commémorative a été déposée pour marquer le bicentenaire de l’Indépendance (figure 38).</w:t>
      </w:r>
      <w:r w:rsidRPr="00E8358C">
        <w:t>Le Camp Gérard est classé, depuis 2006, « patrimoine national par acte de donation des héritiers », Madame Alice Pierre et Monsieur Edmond Pierre</w:t>
      </w:r>
      <w:r>
        <w:t> </w:t>
      </w:r>
      <w:r>
        <w:rPr>
          <w:rStyle w:val="Appelnotedebasdep"/>
        </w:rPr>
        <w:footnoteReference w:id="770"/>
      </w:r>
      <w:r w:rsidRPr="00E8358C">
        <w:t>. Selon Michel Hector, le geste caractérise « un b</w:t>
      </w:r>
      <w:r w:rsidRPr="00E8358C">
        <w:t>e</w:t>
      </w:r>
      <w:r w:rsidRPr="00E8358C">
        <w:t>soin partagé de préserver la mémoire des événements héroïques qui se sont déroulés dans ces lieux »</w:t>
      </w:r>
      <w:r>
        <w:t> </w:t>
      </w:r>
      <w:r>
        <w:rPr>
          <w:rStyle w:val="Appelnotedebasdep"/>
        </w:rPr>
        <w:footnoteReference w:id="771"/>
      </w:r>
      <w:r w:rsidRPr="00E8358C">
        <w:t>. Le site est géré conjointement par les m</w:t>
      </w:r>
      <w:r w:rsidRPr="00E8358C">
        <w:t>u</w:t>
      </w:r>
      <w:r w:rsidRPr="00E8358C">
        <w:t>nicipalités de la ville des Cayes et de celle de Camp Perrin.</w:t>
      </w:r>
    </w:p>
    <w:p w:rsidR="004C50DC" w:rsidRDefault="004C50DC" w:rsidP="004C50DC">
      <w:pPr>
        <w:pStyle w:val="p"/>
      </w:pPr>
      <w:r>
        <w:br w:type="page"/>
        <w:t>[286]</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442335" cy="2237740"/>
            <wp:effectExtent l="25400" t="25400" r="12065" b="10160"/>
            <wp:docPr id="45" name="Image 45" descr="IMG_2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IMG_2125"/>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2335" cy="223774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38" w:name="_Toc417146080"/>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bookmarkStart w:id="339" w:name="Memoire_fig_38"/>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38</w:t>
      </w:r>
      <w:r w:rsidRPr="00FF337C">
        <w:fldChar w:fldCharType="end"/>
      </w:r>
      <w:r w:rsidRPr="00FF337C">
        <w:t>. Plaque commémorative déposée au Camp Gérard</w:t>
      </w:r>
      <w:bookmarkEnd w:id="338"/>
      <w:r>
        <w:t>.</w:t>
      </w:r>
      <w:r>
        <w:br/>
      </w:r>
      <w:r w:rsidRPr="00E8358C">
        <w:rPr>
          <w:szCs w:val="18"/>
        </w:rPr>
        <w:t>Photographie J.-R. Augustin, mars 2009</w:t>
      </w:r>
    </w:p>
    <w:bookmarkEnd w:id="339"/>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Le site rappelle aussi le triomphe de l’unité haïtienne. Les vestiges forment incontestablement, avec ceux des habitations avoisinantes, un patrimoine architectural. T</w:t>
      </w:r>
      <w:r w:rsidRPr="00E8358C">
        <w:t>out un univers social (esclaves, anciens e</w:t>
      </w:r>
      <w:r w:rsidRPr="00E8358C">
        <w:t>s</w:t>
      </w:r>
      <w:r w:rsidRPr="00E8358C">
        <w:t>claves, affranchis, soldats et généraux) occupait en bonne harmonie le Camp Gérard pour lutter contre le retour de l’esclavage dans la pr</w:t>
      </w:r>
      <w:r w:rsidRPr="00E8358C">
        <w:t>o</w:t>
      </w:r>
      <w:r w:rsidRPr="00E8358C">
        <w:t xml:space="preserve">vince du Sud. </w:t>
      </w:r>
    </w:p>
    <w:p w:rsidR="004C50DC" w:rsidRDefault="004C50DC" w:rsidP="004C50DC">
      <w:pPr>
        <w:spacing w:before="120" w:after="120"/>
        <w:jc w:val="both"/>
      </w:pPr>
      <w:r w:rsidRPr="00E8358C">
        <w:t>Toute étude sur le passé colonial esclavagiste en Haïti doit intégrer les mémoires véhiculées au sein de la société. Ce sont des canaux qui assurent la communication entre le passé et le présent et nourrissent la conscience collective. Justement, l</w:t>
      </w:r>
      <w:r w:rsidRPr="00E8358C">
        <w:rPr>
          <w:rFonts w:eastAsia="Calibri"/>
        </w:rPr>
        <w:t>es vestiges des habitations coloni</w:t>
      </w:r>
      <w:r w:rsidRPr="00E8358C">
        <w:rPr>
          <w:rFonts w:eastAsia="Calibri"/>
        </w:rPr>
        <w:t>a</w:t>
      </w:r>
      <w:r w:rsidRPr="00E8358C">
        <w:rPr>
          <w:rFonts w:eastAsia="Calibri"/>
        </w:rPr>
        <w:t>les ou des fortifications établissent les rapports entre le passé et le pr</w:t>
      </w:r>
      <w:r w:rsidRPr="00E8358C">
        <w:rPr>
          <w:rFonts w:eastAsia="Calibri"/>
        </w:rPr>
        <w:t>é</w:t>
      </w:r>
      <w:r w:rsidRPr="00E8358C">
        <w:rPr>
          <w:rFonts w:eastAsia="Calibri"/>
        </w:rPr>
        <w:t xml:space="preserve">sent. Quelques participants-informateurs, originaires de la ville des Cayes, nous livrent leurs impressions sur le Camp-Gérard. </w:t>
      </w:r>
      <w:r w:rsidRPr="00E8358C">
        <w:t>Pour Hor</w:t>
      </w:r>
      <w:r w:rsidRPr="00E8358C">
        <w:t>a</w:t>
      </w:r>
      <w:r w:rsidRPr="00E8358C">
        <w:t xml:space="preserve">ce, 38 ans, étudiant au programme de maîtrise « Histoire, mémoire et patrimoine » de l’Université d’État d’Haïti, ce lieu peut revêtir deux sens : </w:t>
      </w:r>
    </w:p>
    <w:p w:rsidR="004C50DC" w:rsidRPr="00E8358C" w:rsidRDefault="004C50DC" w:rsidP="004C50DC">
      <w:pPr>
        <w:spacing w:before="120" w:after="120"/>
        <w:jc w:val="both"/>
      </w:pPr>
      <w:r>
        <w:br w:type="page"/>
      </w:r>
    </w:p>
    <w:p w:rsidR="004C50DC" w:rsidRPr="00E8358C" w:rsidRDefault="004C50DC" w:rsidP="004C50DC">
      <w:pPr>
        <w:pStyle w:val="Citation0"/>
      </w:pPr>
      <w:r w:rsidRPr="00E8358C">
        <w:t>D’une part, il recouvre une valeur d’ancienneté parce que les vestiges r</w:t>
      </w:r>
      <w:r w:rsidRPr="00E8358C">
        <w:t>e</w:t>
      </w:r>
      <w:r w:rsidRPr="00E8358C">
        <w:t>montent à l’époque coloniale ; et il montre aussi un aspect de la grande propriété comme signe de richesse des anciens et actuels propriétaires (la famille Pierre). D’autre part, le Camp peut avoir une approche historique et patrimoniale.Ce sens m’est surtout inspiré par la formation que j’ai r</w:t>
      </w:r>
      <w:r w:rsidRPr="00E8358C">
        <w:t>e</w:t>
      </w:r>
      <w:r w:rsidRPr="00E8358C">
        <w:t>çue durant ces deux dernières années en « histoire, mémoire et patrimo</w:t>
      </w:r>
      <w:r w:rsidRPr="00E8358C">
        <w:t>i</w:t>
      </w:r>
      <w:r w:rsidRPr="00E8358C">
        <w:t>ne ». Dans mon enfance, j’avais l’habitude de venir au Camp Gérard en excursion touristique. Je n’avais pas la capacité de saisir le symbolisme du site. Mes ense</w:t>
      </w:r>
      <w:r w:rsidRPr="00E8358C">
        <w:t>i</w:t>
      </w:r>
      <w:r w:rsidRPr="00E8358C">
        <w:t>gnants ne m’avaient pas sensibilisé non plus. En revisitant aujourd’hui Camp Gérard, j’ai le sentiment d’avoir foulé les pas des héros présents à cet entretien déclencheur des luttes pour l’indépendance nati</w:t>
      </w:r>
      <w:r w:rsidRPr="00E8358C">
        <w:t>o</w:t>
      </w:r>
      <w:r w:rsidRPr="00E8358C">
        <w:t>nale. C’est un véritable</w:t>
      </w:r>
      <w:r>
        <w:t xml:space="preserve"> [287]</w:t>
      </w:r>
      <w:r w:rsidRPr="00E8358C">
        <w:t xml:space="preserve"> sanctuaire. Et la plaque interprétative insta</w:t>
      </w:r>
      <w:r w:rsidRPr="00E8358C">
        <w:t>l</w:t>
      </w:r>
      <w:r w:rsidRPr="00E8358C">
        <w:t>lée là-bas alimente encore cette approche</w:t>
      </w:r>
      <w:r>
        <w:t> </w:t>
      </w:r>
      <w:r>
        <w:rPr>
          <w:rStyle w:val="Appelnotedebasdep"/>
        </w:rPr>
        <w:footnoteReference w:id="772"/>
      </w:r>
      <w:r w:rsidRPr="00E8358C">
        <w:t>.</w:t>
      </w:r>
    </w:p>
    <w:p w:rsidR="004C50DC" w:rsidRDefault="004C50DC" w:rsidP="004C50DC">
      <w:pPr>
        <w:pStyle w:val="Citation0c"/>
      </w:pPr>
      <w:r w:rsidRPr="00E8358C">
        <w:t>(Horace, entrevue, 22 août 2009)</w:t>
      </w:r>
    </w:p>
    <w:p w:rsidR="004C50DC" w:rsidRPr="00E8358C" w:rsidRDefault="004C50DC" w:rsidP="004C50DC">
      <w:pPr>
        <w:pStyle w:val="Citation0c"/>
      </w:pPr>
    </w:p>
    <w:p w:rsidR="004C50DC" w:rsidRPr="00E8358C" w:rsidRDefault="004C50DC" w:rsidP="004C50DC">
      <w:pPr>
        <w:spacing w:before="120" w:after="120"/>
        <w:jc w:val="both"/>
      </w:pPr>
      <w:r w:rsidRPr="00E8358C">
        <w:t>Lors de notre enquête aux Cayes, nous avons rencontré Carline, 28 ans, habitant à Camp Perrin, qui a établi le rapport entre son enfance et le site  de camp Gérard.</w:t>
      </w:r>
    </w:p>
    <w:p w:rsidR="004C50DC" w:rsidRDefault="004C50DC" w:rsidP="004C50DC">
      <w:pPr>
        <w:pStyle w:val="Citation0"/>
      </w:pPr>
    </w:p>
    <w:p w:rsidR="004C50DC" w:rsidRPr="00E8358C" w:rsidRDefault="004C50DC" w:rsidP="004C50DC">
      <w:pPr>
        <w:pStyle w:val="Citation0"/>
      </w:pPr>
      <w:r w:rsidRPr="00E8358C">
        <w:t>Tout Haïtien devrait visiter ce site historique. C’est un lieu de m</w:t>
      </w:r>
      <w:r w:rsidRPr="00E8358C">
        <w:t>é</w:t>
      </w:r>
      <w:r w:rsidRPr="00E8358C">
        <w:t>moire qui a contribué à l’existence de la Nation haïtienne et a façonné, en que</w:t>
      </w:r>
      <w:r w:rsidRPr="00E8358C">
        <w:t>l</w:t>
      </w:r>
      <w:r w:rsidRPr="00E8358C">
        <w:t>que sorte, sa destinée. Quand j’étais petite, les frères du collège de Maz</w:t>
      </w:r>
      <w:r w:rsidRPr="00E8358C">
        <w:t>e</w:t>
      </w:r>
      <w:r w:rsidRPr="00E8358C">
        <w:t>nod nous emmenaient visiter cette habitation. Mais la tran</w:t>
      </w:r>
      <w:r w:rsidRPr="00E8358C">
        <w:t>s</w:t>
      </w:r>
      <w:r w:rsidRPr="00E8358C">
        <w:t>mission de sa valeur patrimoniale n’a jamais été faite. Le site est mal conservé. Son état de préservation d’aujourd’hui est le même qu’il y a trente ans. Les pr</w:t>
      </w:r>
      <w:r w:rsidRPr="00E8358C">
        <w:t>o</w:t>
      </w:r>
      <w:r w:rsidRPr="00E8358C">
        <w:t>priétaires (famille Pierre), jusqu’à ce qu’ils le cèdent aux autorités état</w:t>
      </w:r>
      <w:r w:rsidRPr="00E8358C">
        <w:t>i</w:t>
      </w:r>
      <w:r w:rsidRPr="00E8358C">
        <w:t>ques pour être classé patrimoine national, n’arrivaient pas à lui conserver cette dimension mémorielle et histor</w:t>
      </w:r>
      <w:r w:rsidRPr="00E8358C">
        <w:t>i</w:t>
      </w:r>
      <w:r w:rsidRPr="00E8358C">
        <w:t xml:space="preserve">que qu’il revêt. </w:t>
      </w:r>
    </w:p>
    <w:p w:rsidR="004C50DC" w:rsidRDefault="004C50DC" w:rsidP="004C50DC">
      <w:pPr>
        <w:pStyle w:val="Citation0c"/>
      </w:pPr>
      <w:r w:rsidRPr="00E8358C">
        <w:t>(Carline, entrevue, 17 juin 2014)</w:t>
      </w:r>
    </w:p>
    <w:p w:rsidR="004C50DC" w:rsidRPr="00E8358C" w:rsidRDefault="004C50DC" w:rsidP="004C50DC">
      <w:pPr>
        <w:pStyle w:val="Citation0c"/>
      </w:pPr>
    </w:p>
    <w:p w:rsidR="004C50DC" w:rsidRPr="00E8358C" w:rsidRDefault="004C50DC" w:rsidP="004C50DC">
      <w:pPr>
        <w:spacing w:before="120" w:after="120"/>
        <w:jc w:val="both"/>
      </w:pPr>
      <w:r w:rsidRPr="00E8358C">
        <w:t>L’état de conservation du site Camp Gérard invite-t-il à compre</w:t>
      </w:r>
      <w:r w:rsidRPr="00E8358C">
        <w:t>n</w:t>
      </w:r>
      <w:r w:rsidRPr="00E8358C">
        <w:t>dre qu’il est un lieu de mémoire ? Il est abandonné, utilisé depuis des années pour l’élevage des chèvres, des bœufs et des chevaux. Péniel, 44 ans, gardien d’une des habitations limitrophes, nous avait décrit ce qu’il en savait, dans un entretien enregistré dans le cadre de notre pr</w:t>
      </w:r>
      <w:r w:rsidRPr="00E8358C">
        <w:t>é</w:t>
      </w:r>
      <w:r w:rsidRPr="00E8358C">
        <w:t>cédente recherche.</w:t>
      </w:r>
    </w:p>
    <w:p w:rsidR="004C50DC" w:rsidRDefault="004C50DC" w:rsidP="004C50DC">
      <w:pPr>
        <w:pStyle w:val="Citation0"/>
      </w:pPr>
    </w:p>
    <w:p w:rsidR="004C50DC" w:rsidRPr="00E8358C" w:rsidRDefault="004C50DC" w:rsidP="004C50DC">
      <w:pPr>
        <w:pStyle w:val="Citation0"/>
      </w:pPr>
      <w:r w:rsidRPr="00E8358C">
        <w:t>Je me rappelle avoir 8 ou 10 ans, quand mon père raconte toujours que sur l’habitation Gérard, il y avait une rencontre entre les généraux mulâtres se trouvant surtout dans le Sud du pays et papa Dessalines pour former l’armée de libération nationale. Mais cette histoire r</w:t>
      </w:r>
      <w:r w:rsidRPr="00E8358C">
        <w:t>a</w:t>
      </w:r>
      <w:r w:rsidRPr="00E8358C">
        <w:t>contée, je la prenais pour un conte, parce que si effectivement le camp était un site historique de si grande importance, les autorités gouvernementales et locales, la s</w:t>
      </w:r>
      <w:r w:rsidRPr="00E8358C">
        <w:t>o</w:t>
      </w:r>
      <w:r w:rsidRPr="00E8358C">
        <w:t>ciété civile cayenne auraient déjà pensé à le conserver et le mettre en v</w:t>
      </w:r>
      <w:r w:rsidRPr="00E8358C">
        <w:t>a</w:t>
      </w:r>
      <w:r w:rsidRPr="00E8358C">
        <w:t xml:space="preserve">leur. </w:t>
      </w:r>
    </w:p>
    <w:p w:rsidR="004C50DC" w:rsidRDefault="004C50DC" w:rsidP="004C50DC">
      <w:pPr>
        <w:pStyle w:val="Citation0c"/>
      </w:pPr>
      <w:r w:rsidRPr="00E8358C">
        <w:t>(Péniel, entrevue, 22 août 2009)</w:t>
      </w:r>
    </w:p>
    <w:p w:rsidR="004C50DC" w:rsidRPr="00E8358C" w:rsidRDefault="004C50DC" w:rsidP="004C50DC">
      <w:pPr>
        <w:spacing w:before="120" w:after="120"/>
        <w:jc w:val="both"/>
        <w:rPr>
          <w:szCs w:val="22"/>
        </w:rPr>
      </w:pPr>
    </w:p>
    <w:p w:rsidR="004C50DC" w:rsidRPr="00FF337C" w:rsidRDefault="004C50DC" w:rsidP="004C50DC">
      <w:pPr>
        <w:pStyle w:val="b"/>
      </w:pPr>
      <w:bookmarkStart w:id="340" w:name="_Toc423347337"/>
      <w:bookmarkStart w:id="341" w:name="_Toc442280519"/>
      <w:r w:rsidRPr="00FF337C">
        <w:t>Habitation Pemerle aux Cayes</w:t>
      </w:r>
      <w:bookmarkEnd w:id="340"/>
      <w:bookmarkEnd w:id="341"/>
    </w:p>
    <w:p w:rsidR="004C50DC" w:rsidRDefault="004C50DC" w:rsidP="004C50DC">
      <w:pPr>
        <w:spacing w:before="120" w:after="120"/>
        <w:jc w:val="both"/>
      </w:pPr>
    </w:p>
    <w:p w:rsidR="004C50DC" w:rsidRDefault="004C50DC" w:rsidP="004C50DC">
      <w:pPr>
        <w:spacing w:before="120" w:after="120"/>
        <w:jc w:val="both"/>
      </w:pPr>
      <w:r w:rsidRPr="00E8358C">
        <w:t>Martial, de l’habitation Pemerle, fut l’un des premiers captifs à s’enfuir dans les mornes des Platons vers 1792 après une tentative de soulèvement au début de 1791. Il a été l’un des artisans, avec Armand de l’habitation Bérault, des protestations qui ont marqué</w:t>
      </w:r>
      <w:r>
        <w:t xml:space="preserve"> [288]</w:t>
      </w:r>
      <w:r w:rsidRPr="00E8358C">
        <w:t xml:space="preserve"> l’histoire sociale du Sud durant une bonne partie du XIX</w:t>
      </w:r>
      <w:r w:rsidRPr="00E8358C">
        <w:rPr>
          <w:vertAlign w:val="superscript"/>
        </w:rPr>
        <w:t>e</w:t>
      </w:r>
      <w:r w:rsidRPr="00E8358C">
        <w:t xml:space="preserve"> siècle</w:t>
      </w:r>
      <w:r>
        <w:t> </w:t>
      </w:r>
      <w:r>
        <w:rPr>
          <w:rStyle w:val="Appelnotedebasdep"/>
        </w:rPr>
        <w:footnoteReference w:id="773"/>
      </w:r>
      <w:r w:rsidRPr="00E8358C">
        <w:t>. De cette habitation limitrophe à celle de Gérard, il reste quelques pans de murs qui donnent une idée de sa splendide architecture, ainsi qu’une chaudière masquée par les arbustes. Nanas, 35 ans, un habitant de la zone, explique que « le moulin a été récemment enlevé et tran</w:t>
      </w:r>
      <w:r w:rsidRPr="00E8358C">
        <w:t>s</w:t>
      </w:r>
      <w:r w:rsidRPr="00E8358C">
        <w:t>porté ailleurs par les nouveaux propriétair</w:t>
      </w:r>
      <w:r>
        <w:t>es du site ».</w:t>
      </w:r>
    </w:p>
    <w:p w:rsidR="004C50DC" w:rsidRPr="00E8358C" w:rsidRDefault="004C50DC" w:rsidP="004C50DC">
      <w:pPr>
        <w:spacing w:before="120" w:after="120"/>
        <w:jc w:val="both"/>
      </w:pPr>
      <w:r>
        <w:br w:type="page"/>
      </w:r>
    </w:p>
    <w:p w:rsidR="004C50DC" w:rsidRPr="00E8358C" w:rsidRDefault="009B614B" w:rsidP="004C50DC">
      <w:pPr>
        <w:pStyle w:val="fig1"/>
      </w:pPr>
      <w:r w:rsidRPr="00E8358C">
        <w:rPr>
          <w:noProof/>
        </w:rPr>
        <w:drawing>
          <wp:inline distT="0" distB="0" distL="0" distR="0">
            <wp:extent cx="2839720" cy="2129790"/>
            <wp:effectExtent l="25400" t="25400" r="17780" b="16510"/>
            <wp:docPr id="46" name="Image 4" descr="C:\Users\INDIRA\Desktop\these photos selectionnees\IMG_2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C:\Users\INDIRA\Desktop\these photos selectionnees\IMG_2122.JPG"/>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9720" cy="2129790"/>
                    </a:xfrm>
                    <a:prstGeom prst="rect">
                      <a:avLst/>
                    </a:prstGeom>
                    <a:noFill/>
                    <a:ln w="19050" cmpd="sng">
                      <a:solidFill>
                        <a:srgbClr val="000000"/>
                      </a:solidFill>
                      <a:miter lim="800000"/>
                      <a:headEnd/>
                      <a:tailEnd/>
                    </a:ln>
                    <a:effectLst/>
                  </pic:spPr>
                </pic:pic>
              </a:graphicData>
            </a:graphic>
          </wp:inline>
        </w:drawing>
      </w:r>
      <w:r w:rsidR="004C50DC">
        <w:t xml:space="preserve"> </w:t>
      </w:r>
      <w:r w:rsidRPr="00E8358C">
        <w:rPr>
          <w:noProof/>
        </w:rPr>
        <w:drawing>
          <wp:inline distT="0" distB="0" distL="0" distR="0">
            <wp:extent cx="2732405" cy="2108200"/>
            <wp:effectExtent l="25400" t="25400" r="10795" b="12700"/>
            <wp:docPr id="47" name="Image 2" descr="C:\Users\INDIRA\Desktop\these photos selectionnees\IMG_2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C:\Users\INDIRA\Desktop\these photos selectionnees\IMG_2107.JPG"/>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2405" cy="21082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42" w:name="_Toc417146081"/>
      <w:bookmarkStart w:id="343" w:name="Memoire_fig_39"/>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39</w:t>
      </w:r>
      <w:r w:rsidRPr="00FF337C">
        <w:fldChar w:fldCharType="end"/>
      </w:r>
      <w:r w:rsidRPr="00FF337C">
        <w:t>. Plaque commémorative et vestiges de l’Habitation P</w:t>
      </w:r>
      <w:r w:rsidRPr="00FF337C">
        <w:t>e</w:t>
      </w:r>
      <w:r w:rsidRPr="00FF337C">
        <w:t>merle</w:t>
      </w:r>
      <w:bookmarkEnd w:id="342"/>
      <w:r>
        <w:t>.</w:t>
      </w:r>
      <w:r>
        <w:br/>
      </w:r>
      <w:r w:rsidRPr="00E8358C">
        <w:rPr>
          <w:szCs w:val="18"/>
        </w:rPr>
        <w:t>Photographie J.-R. Augustin, mars 2009</w:t>
      </w:r>
      <w:r>
        <w:rPr>
          <w:szCs w:val="18"/>
        </w:rPr>
        <w:t>.</w:t>
      </w:r>
    </w:p>
    <w:bookmarkEnd w:id="343"/>
    <w:p w:rsidR="004C50DC" w:rsidRDefault="004C50DC" w:rsidP="004C50DC">
      <w:pPr>
        <w:spacing w:before="120" w:after="120"/>
        <w:jc w:val="both"/>
      </w:pPr>
    </w:p>
    <w:p w:rsidR="004C50DC" w:rsidRPr="00E8358C" w:rsidRDefault="004C50DC" w:rsidP="004C50DC">
      <w:pPr>
        <w:spacing w:before="120" w:after="120"/>
        <w:jc w:val="both"/>
      </w:pPr>
      <w:r w:rsidRPr="00E8358C">
        <w:t>L’idée de fierté ne cesse de traverser la mémoire des Haïtiens à chaque fois qu’il faut parler des vestiges des sites des combattants de la liberté. Utilisant des termes emphatiques et patriotiques, Ansy, 45 ans, professeur de mathématiques dans la ville des Cayes, évoque avec émotion ses sentiments pour le site. </w:t>
      </w:r>
    </w:p>
    <w:p w:rsidR="004C50DC" w:rsidRDefault="004C50DC" w:rsidP="004C50DC">
      <w:pPr>
        <w:pStyle w:val="Citation0"/>
      </w:pPr>
    </w:p>
    <w:p w:rsidR="004C50DC" w:rsidRPr="00E8358C" w:rsidRDefault="004C50DC" w:rsidP="004C50DC">
      <w:pPr>
        <w:pStyle w:val="Citation0"/>
      </w:pPr>
      <w:r w:rsidRPr="00E8358C">
        <w:t>Je suis né et j’ai grandi dans la localité. C’est le plus grand bien que mes parents ne m’ont jamais fait. Chaque jour, je vis la prouesse de cet ho</w:t>
      </w:r>
      <w:r w:rsidRPr="00E8358C">
        <w:t>m</w:t>
      </w:r>
      <w:r w:rsidRPr="00E8358C">
        <w:t>me. Le Camp Gérard à côté complète l’esprit révolutio</w:t>
      </w:r>
      <w:r w:rsidRPr="00E8358C">
        <w:t>n</w:t>
      </w:r>
      <w:r w:rsidRPr="00E8358C">
        <w:t>naire que soutient ce lieu. C’est un exemple de détermination et de fougue que doivent cult</w:t>
      </w:r>
      <w:r w:rsidRPr="00E8358C">
        <w:t>i</w:t>
      </w:r>
      <w:r w:rsidRPr="00E8358C">
        <w:t>ver les jeunes d’aujourd’hui. Les écoles doivent emmener leurs élèves v</w:t>
      </w:r>
      <w:r w:rsidRPr="00E8358C">
        <w:t>i</w:t>
      </w:r>
      <w:r w:rsidRPr="00E8358C">
        <w:t>siter les deux sites. Ils peuvent être des sources de renouvellement des c</w:t>
      </w:r>
      <w:r w:rsidRPr="00E8358C">
        <w:t>i</w:t>
      </w:r>
      <w:r w:rsidRPr="00E8358C">
        <w:t>toyens pour la Nation. Cette mémoire mérite d’être appropriée et transm</w:t>
      </w:r>
      <w:r w:rsidRPr="00E8358C">
        <w:t>i</w:t>
      </w:r>
      <w:r w:rsidRPr="00E8358C">
        <w:t xml:space="preserve">se. </w:t>
      </w:r>
    </w:p>
    <w:p w:rsidR="004C50DC" w:rsidRDefault="004C50DC" w:rsidP="004C50DC">
      <w:pPr>
        <w:pStyle w:val="Citation0c"/>
      </w:pPr>
      <w:r w:rsidRPr="00E8358C">
        <w:t>(Ansy, entrevue, 18 juin 2014)</w:t>
      </w:r>
    </w:p>
    <w:p w:rsidR="004C50DC" w:rsidRPr="00E8358C" w:rsidRDefault="004C50DC" w:rsidP="004C50DC">
      <w:pPr>
        <w:pStyle w:val="Citation0c"/>
      </w:pPr>
    </w:p>
    <w:p w:rsidR="004C50DC" w:rsidRDefault="004C50DC" w:rsidP="004C50DC">
      <w:pPr>
        <w:spacing w:before="120" w:after="120"/>
        <w:jc w:val="both"/>
      </w:pPr>
      <w:r w:rsidRPr="00E8358C">
        <w:t>Dans la même veine, nous avons recueilli le même jour les mots d’Émilienne, 46 ans, professeure d’histoire au collège Mazenod, au Camp Perrin.</w:t>
      </w:r>
    </w:p>
    <w:p w:rsidR="004C50DC" w:rsidRPr="00E8358C" w:rsidRDefault="004C50DC" w:rsidP="004C50DC">
      <w:pPr>
        <w:spacing w:before="120" w:after="120"/>
        <w:jc w:val="both"/>
      </w:pPr>
      <w:r>
        <w:br w:type="page"/>
        <w:t>[289]</w:t>
      </w:r>
    </w:p>
    <w:p w:rsidR="004C50DC" w:rsidRDefault="004C50DC" w:rsidP="004C50DC">
      <w:pPr>
        <w:pStyle w:val="Citation0"/>
      </w:pPr>
    </w:p>
    <w:p w:rsidR="004C50DC" w:rsidRPr="00E8358C" w:rsidRDefault="004C50DC" w:rsidP="004C50DC">
      <w:pPr>
        <w:pStyle w:val="Citation0"/>
      </w:pPr>
      <w:r w:rsidRPr="00E8358C">
        <w:t>J’ai visité le Camp Gérard plusieurs fois. Je n’ai jamais porté atte</w:t>
      </w:r>
      <w:r w:rsidRPr="00E8358C">
        <w:t>n</w:t>
      </w:r>
      <w:r w:rsidRPr="00E8358C">
        <w:t>tion aux vestiges de l’habitation Pemerle. Son histoire est peu connue et enseignée. Il a fallu la commémoration de « la rencontre du Camp Gérard » et l’apposition de la plaque commémorative par la Commission présidentie</w:t>
      </w:r>
      <w:r w:rsidRPr="00E8358C">
        <w:t>l</w:t>
      </w:r>
      <w:r w:rsidRPr="00E8358C">
        <w:t>le en 2006 pour découvrir son importance dans l’histoire d’Haïti et sa contribution dans les luttes pour libérer la zone des Platons. L’habitation forme avec les autres forts une ligne de d</w:t>
      </w:r>
      <w:r w:rsidRPr="00E8358C">
        <w:t>é</w:t>
      </w:r>
      <w:r w:rsidRPr="00E8358C">
        <w:t>fense. Depuis, j’encourage mes élèves à visiter le site. Pour moi, c’est aussi un haut lieu de la mémoire haïtienne. On peut toujours être fier de se l’approprier pour tirer la sub</w:t>
      </w:r>
      <w:r w:rsidRPr="00E8358C">
        <w:t>s</w:t>
      </w:r>
      <w:r w:rsidRPr="00E8358C">
        <w:t>tance du sentiment de sacrifice qui guidait les gens de l’époque et qui d</w:t>
      </w:r>
      <w:r w:rsidRPr="00E8358C">
        <w:t>e</w:t>
      </w:r>
      <w:r w:rsidRPr="00E8358C">
        <w:t xml:space="preserve">vrait animer les Haïtiens d’aujourd’hui pour sauver Haïti. </w:t>
      </w:r>
    </w:p>
    <w:p w:rsidR="004C50DC" w:rsidRDefault="004C50DC" w:rsidP="004C50DC">
      <w:pPr>
        <w:pStyle w:val="Citation0c"/>
      </w:pPr>
      <w:r w:rsidRPr="00E8358C">
        <w:t>(Émilienne, entrevue, 18 juin 2014)</w:t>
      </w:r>
    </w:p>
    <w:p w:rsidR="004C50DC" w:rsidRPr="00E8358C" w:rsidRDefault="004C50DC" w:rsidP="004C50DC">
      <w:pPr>
        <w:pStyle w:val="Citation0c"/>
      </w:pPr>
    </w:p>
    <w:p w:rsidR="004C50DC" w:rsidRDefault="004C50DC" w:rsidP="004C50DC">
      <w:pPr>
        <w:spacing w:before="120" w:after="120"/>
        <w:jc w:val="both"/>
      </w:pPr>
      <w:r w:rsidRPr="00E8358C">
        <w:t>Les mots d’Ansy et d’Émilienne résument l’importance du travail de mémoire indispensable à la patrimonialisation et à la construction identitaire du citoyen haïtien qui devrait être entrepris. Car les peuples cherchent toujours des repères identitaires. L’histoire, la mémoire et le patrimoine doivent pouvoir les aider à se retrouver et à se reconstruire.</w:t>
      </w:r>
    </w:p>
    <w:p w:rsidR="004C50DC" w:rsidRPr="00E8358C" w:rsidRDefault="004C50DC" w:rsidP="004C50DC">
      <w:pPr>
        <w:spacing w:before="120" w:after="120"/>
        <w:jc w:val="both"/>
      </w:pPr>
    </w:p>
    <w:p w:rsidR="004C50DC" w:rsidRPr="00FF337C" w:rsidRDefault="004C50DC" w:rsidP="004C50DC">
      <w:pPr>
        <w:pStyle w:val="b"/>
      </w:pPr>
      <w:bookmarkStart w:id="344" w:name="_Toc423347338"/>
      <w:bookmarkStart w:id="345" w:name="_Toc442280520"/>
      <w:r w:rsidRPr="00FF337C">
        <w:t>Habitation Caradeux à Tabarre</w:t>
      </w:r>
      <w:bookmarkEnd w:id="344"/>
      <w:bookmarkEnd w:id="345"/>
    </w:p>
    <w:p w:rsidR="004C50DC" w:rsidRDefault="004C50DC" w:rsidP="004C50DC">
      <w:pPr>
        <w:spacing w:before="120" w:after="120"/>
        <w:jc w:val="both"/>
      </w:pPr>
    </w:p>
    <w:p w:rsidR="004C50DC" w:rsidRPr="00E8358C" w:rsidRDefault="004C50DC" w:rsidP="004C50DC">
      <w:pPr>
        <w:spacing w:before="120" w:after="120"/>
        <w:jc w:val="both"/>
      </w:pPr>
      <w:r w:rsidRPr="00E8358C">
        <w:t>Jean-Baptiste Caradeux est né à la Croix-des-Bouquets. Il a trist</w:t>
      </w:r>
      <w:r w:rsidRPr="00E8358C">
        <w:t>e</w:t>
      </w:r>
      <w:r w:rsidRPr="00E8358C">
        <w:t>ment marqué l’histoire de la colonie de Saint-Domingue par la cruauté qu’il exerçait sur ses 500 esclaves. Il était propriétaire de l’une des plus grandes et des plus riches habitations dans la Plaine du Cul-de-Sac et dans la colonie. Aujourd’hui, seuls l’aqueduc et une étuve re</w:t>
      </w:r>
      <w:r w:rsidRPr="00E8358C">
        <w:t>s</w:t>
      </w:r>
      <w:r w:rsidRPr="00E8358C">
        <w:t>tent encore debout</w:t>
      </w:r>
      <w:r>
        <w:t> </w:t>
      </w:r>
      <w:r>
        <w:rPr>
          <w:rStyle w:val="Appelnotedebasdep"/>
        </w:rPr>
        <w:footnoteReference w:id="774"/>
      </w:r>
      <w:r w:rsidRPr="00E8358C">
        <w:t xml:space="preserve">, malgré les menaces de destruction. </w:t>
      </w:r>
    </w:p>
    <w:p w:rsidR="004C50DC" w:rsidRDefault="004C50DC" w:rsidP="004C50DC">
      <w:pPr>
        <w:spacing w:before="120" w:after="120"/>
        <w:jc w:val="both"/>
      </w:pPr>
      <w:r>
        <w:br w:type="page"/>
        <w:t>[290]</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4217035" cy="2237740"/>
            <wp:effectExtent l="25400" t="25400" r="12065" b="10160"/>
            <wp:docPr id="48" name="Image 1" descr="Image agrandie numéro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Image agrandie numéro 10"/>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7035" cy="223774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46" w:name="_Toc417146082"/>
      <w:bookmarkStart w:id="347" w:name="Memoire_fig_40"/>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40</w:t>
      </w:r>
      <w:r w:rsidRPr="00FF337C">
        <w:fldChar w:fldCharType="end"/>
      </w:r>
      <w:r w:rsidRPr="00FF337C">
        <w:t>. Aqueduc de l’habitation-sucrerie Caradeux, milieu du XVIII</w:t>
      </w:r>
      <w:r w:rsidRPr="00FF337C">
        <w:rPr>
          <w:vertAlign w:val="superscript"/>
        </w:rPr>
        <w:t>e</w:t>
      </w:r>
      <w:r w:rsidRPr="00FF337C">
        <w:t xml:space="preserve"> si</w:t>
      </w:r>
      <w:r w:rsidRPr="00FF337C">
        <w:t>è</w:t>
      </w:r>
      <w:r w:rsidRPr="00FF337C">
        <w:t>cle</w:t>
      </w:r>
      <w:bookmarkEnd w:id="346"/>
      <w:r>
        <w:t xml:space="preserve">. </w:t>
      </w:r>
      <w:r w:rsidRPr="00E8358C">
        <w:rPr>
          <w:szCs w:val="18"/>
        </w:rPr>
        <w:t>Tabarre, plaine du Cul-de-sac.</w:t>
      </w:r>
      <w:r>
        <w:rPr>
          <w:szCs w:val="18"/>
        </w:rPr>
        <w:t xml:space="preserve"> </w:t>
      </w:r>
      <w:r w:rsidRPr="00E8358C">
        <w:rPr>
          <w:szCs w:val="18"/>
        </w:rPr>
        <w:t>Photographie H. Maheux, Inventaire général, ADAGP, 2001</w:t>
      </w:r>
      <w:r>
        <w:rPr>
          <w:i w:val="0"/>
          <w:szCs w:val="18"/>
        </w:rPr>
        <w:t> </w:t>
      </w:r>
      <w:r>
        <w:rPr>
          <w:rStyle w:val="Appelnotedebasdep"/>
          <w:i w:val="0"/>
          <w:szCs w:val="18"/>
        </w:rPr>
        <w:footnoteReference w:id="775"/>
      </w:r>
    </w:p>
    <w:bookmarkEnd w:id="347"/>
    <w:p w:rsidR="004C50DC" w:rsidRPr="00E8358C" w:rsidRDefault="004C50DC" w:rsidP="004C50DC">
      <w:pPr>
        <w:spacing w:before="120" w:after="120"/>
        <w:jc w:val="both"/>
        <w:rPr>
          <w:i/>
          <w:szCs w:val="18"/>
        </w:rPr>
      </w:pPr>
      <w:r>
        <w:rPr>
          <w:i/>
          <w:szCs w:val="18"/>
        </w:rPr>
        <w:br w:type="page"/>
      </w:r>
    </w:p>
    <w:p w:rsidR="004C50DC" w:rsidRPr="00E8358C" w:rsidRDefault="009B614B" w:rsidP="004C50DC">
      <w:pPr>
        <w:pStyle w:val="fig"/>
      </w:pPr>
      <w:r w:rsidRPr="00E8358C">
        <w:rPr>
          <w:noProof/>
          <w:lang w:eastAsia="fr-FR"/>
        </w:rPr>
        <w:drawing>
          <wp:inline distT="0" distB="0" distL="0" distR="0">
            <wp:extent cx="4389120" cy="2463800"/>
            <wp:effectExtent l="25400" t="25400" r="17780" b="12700"/>
            <wp:docPr id="49" name="Image 66" descr="C:\Users\INDIRA\Desktop\photo fort\20150602_1342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 descr="C:\Users\INDIRA\Desktop\photo fort\20150602_134204.jpg"/>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89120" cy="24638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48" w:name="_Toc417146083"/>
      <w:bookmarkStart w:id="349" w:name="Memoire_fig_41"/>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rPr>
          <w:szCs w:val="18"/>
        </w:rPr>
      </w:pPr>
      <w:r w:rsidRPr="00FF337C">
        <w:t xml:space="preserve">Figure </w:t>
      </w:r>
      <w:r w:rsidRPr="00FF337C">
        <w:fldChar w:fldCharType="begin"/>
      </w:r>
      <w:r w:rsidR="00EF1554">
        <w:instrText>SEQ</w:instrText>
      </w:r>
      <w:r w:rsidRPr="00FF337C">
        <w:instrText xml:space="preserve"> Figure \* ARABIC </w:instrText>
      </w:r>
      <w:r w:rsidRPr="00FF337C">
        <w:fldChar w:fldCharType="separate"/>
      </w:r>
      <w:r>
        <w:rPr>
          <w:noProof/>
        </w:rPr>
        <w:t>41</w:t>
      </w:r>
      <w:r w:rsidRPr="00FF337C">
        <w:fldChar w:fldCharType="end"/>
      </w:r>
      <w:r w:rsidRPr="00FF337C">
        <w:t>. Aqueduc de l’habitation-sucrerie Caradeux, milieu du XVIII</w:t>
      </w:r>
      <w:r w:rsidRPr="00FF337C">
        <w:rPr>
          <w:vertAlign w:val="superscript"/>
        </w:rPr>
        <w:t>e</w:t>
      </w:r>
      <w:r w:rsidRPr="00FF337C">
        <w:t xml:space="preserve"> siècle (2015)</w:t>
      </w:r>
      <w:bookmarkEnd w:id="348"/>
      <w:r>
        <w:t xml:space="preserve">. </w:t>
      </w:r>
      <w:r w:rsidRPr="00E8358C">
        <w:rPr>
          <w:szCs w:val="18"/>
        </w:rPr>
        <w:t>Photographie J.-R. Augustin, mai2015</w:t>
      </w:r>
      <w:r>
        <w:rPr>
          <w:i w:val="0"/>
          <w:szCs w:val="18"/>
        </w:rPr>
        <w:t> </w:t>
      </w:r>
      <w:r>
        <w:rPr>
          <w:rStyle w:val="Appelnotedebasdep"/>
          <w:i w:val="0"/>
          <w:szCs w:val="18"/>
        </w:rPr>
        <w:footnoteReference w:id="776"/>
      </w:r>
      <w:r w:rsidRPr="00E8358C">
        <w:rPr>
          <w:szCs w:val="18"/>
        </w:rPr>
        <w:t>.</w:t>
      </w:r>
    </w:p>
    <w:bookmarkEnd w:id="349"/>
    <w:p w:rsidR="004C50DC" w:rsidRPr="00E8358C" w:rsidRDefault="004C50DC" w:rsidP="004C50DC">
      <w:pPr>
        <w:spacing w:before="120" w:after="120"/>
        <w:jc w:val="both"/>
        <w:rPr>
          <w:i/>
          <w:szCs w:val="18"/>
        </w:rPr>
      </w:pPr>
    </w:p>
    <w:p w:rsidR="004C50DC" w:rsidRPr="00E8358C" w:rsidRDefault="004C50DC" w:rsidP="004C50DC">
      <w:pPr>
        <w:spacing w:before="120" w:after="120"/>
        <w:jc w:val="both"/>
      </w:pPr>
      <w:r w:rsidRPr="00E8358C">
        <w:t xml:space="preserve">Cette habitation a attiré notre attention lors de notre terrain. Nous nous sommes entretenu avec des habitants de la zone. C’est Christa, 31 ans, une animatrice culturelle qui, en premier, nous a parlé de sa compréhension des vestiges de l’habitation Caradeux. Ce site ne peut que susciter la douleur. </w:t>
      </w:r>
    </w:p>
    <w:p w:rsidR="004C50DC" w:rsidRDefault="004C50DC" w:rsidP="004C50DC">
      <w:pPr>
        <w:pStyle w:val="Citation0"/>
      </w:pPr>
    </w:p>
    <w:p w:rsidR="004C50DC" w:rsidRPr="00E8358C" w:rsidRDefault="004C50DC" w:rsidP="004C50DC">
      <w:pPr>
        <w:pStyle w:val="Citation0"/>
      </w:pPr>
      <w:r w:rsidRPr="00E8358C">
        <w:t>Les esclaves attendaient trop longtemps pour se révolter contre le système colonial.</w:t>
      </w:r>
      <w:r>
        <w:t xml:space="preserve"> [291]</w:t>
      </w:r>
      <w:r w:rsidRPr="00E8358C">
        <w:t xml:space="preserve"> Bien entendu les contraintes étaient consid</w:t>
      </w:r>
      <w:r w:rsidRPr="00E8358C">
        <w:t>é</w:t>
      </w:r>
      <w:r w:rsidRPr="00E8358C">
        <w:t xml:space="preserve">rables. Je me demande comment les esclaves arrivaient à passer une seule semaine dans cet enfer. À leur place, je mourais dès la première journée. Par exemple, Caradeux est reconnu dans l’histoire pour être l’un des plus sanguinaires des colons. En côtoyant quotidiennement ce lieu, je vis avec la souffrance de mes aïeux et en même temps avec le sentiment de fierté qu’ils avaient vaincu l’esclavage. </w:t>
      </w:r>
    </w:p>
    <w:p w:rsidR="004C50DC" w:rsidRDefault="004C50DC" w:rsidP="004C50DC">
      <w:pPr>
        <w:pStyle w:val="Citation0c"/>
      </w:pPr>
      <w:r w:rsidRPr="00E8358C">
        <w:t>(Christa, entrevue, Tabarre, 29 septembre 2013)</w:t>
      </w:r>
    </w:p>
    <w:p w:rsidR="004C50DC" w:rsidRPr="00E8358C" w:rsidRDefault="004C50DC" w:rsidP="004C50DC">
      <w:pPr>
        <w:pStyle w:val="Citation0c"/>
      </w:pPr>
    </w:p>
    <w:p w:rsidR="004C50DC" w:rsidRPr="00E8358C" w:rsidRDefault="004C50DC" w:rsidP="004C50DC">
      <w:pPr>
        <w:spacing w:before="120" w:after="120"/>
        <w:jc w:val="both"/>
      </w:pPr>
      <w:r w:rsidRPr="00E8358C">
        <w:t>La posture de Christa n’est pas si différente de celle des autres i</w:t>
      </w:r>
      <w:r w:rsidRPr="00E8358C">
        <w:t>n</w:t>
      </w:r>
      <w:r w:rsidRPr="00E8358C">
        <w:t>terlocuteurs. Pierre, 23 ans, étudiant en médecine à l’Université de la Paix à Tabarre, partage l’émotion que lui inspirent quotidiennement les vestiges de l’habitation Caradeux.</w:t>
      </w:r>
    </w:p>
    <w:p w:rsidR="004C50DC" w:rsidRDefault="004C50DC" w:rsidP="004C50DC">
      <w:pPr>
        <w:pStyle w:val="Citation0"/>
      </w:pPr>
    </w:p>
    <w:p w:rsidR="004C50DC" w:rsidRPr="00E8358C" w:rsidRDefault="004C50DC" w:rsidP="004C50DC">
      <w:pPr>
        <w:pStyle w:val="Citation0"/>
      </w:pPr>
      <w:r w:rsidRPr="00E8358C">
        <w:t>C’est un lieu qui rappelle les souffrances des esclaves. Il faut transmettre cette tranche de notre mémoire historique pour une meilleure conscientis</w:t>
      </w:r>
      <w:r w:rsidRPr="00E8358C">
        <w:t>a</w:t>
      </w:r>
      <w:r w:rsidRPr="00E8358C">
        <w:t>tion des Haïtiens. C’est un exemple d’habitation c</w:t>
      </w:r>
      <w:r w:rsidRPr="00E8358C">
        <w:t>o</w:t>
      </w:r>
      <w:r w:rsidRPr="00E8358C">
        <w:t xml:space="preserve">loniale que tout Haïtien devrait visiter. Le passé douloureux qu’il charrie devrait servir comme un ciment pour rassembler les Haïtiens qui doivent jurer de ne plus vivre ces moments. </w:t>
      </w:r>
    </w:p>
    <w:p w:rsidR="004C50DC" w:rsidRDefault="004C50DC" w:rsidP="004C50DC">
      <w:pPr>
        <w:pStyle w:val="Citation0c"/>
      </w:pPr>
      <w:r w:rsidRPr="00E8358C">
        <w:t>(Pierre, entrevue, Tabarre, 29 septembre 2013)</w:t>
      </w:r>
    </w:p>
    <w:p w:rsidR="004C50DC" w:rsidRPr="00E8358C" w:rsidRDefault="004C50DC" w:rsidP="004C50DC">
      <w:pPr>
        <w:pStyle w:val="Citation0c"/>
      </w:pPr>
    </w:p>
    <w:p w:rsidR="004C50DC" w:rsidRPr="00E8358C" w:rsidRDefault="004C50DC" w:rsidP="004C50DC">
      <w:pPr>
        <w:spacing w:before="120" w:after="120"/>
        <w:jc w:val="both"/>
      </w:pPr>
      <w:r w:rsidRPr="00E8358C">
        <w:t>Pierre revient sur l’idée de l’éducation par le patrimoine et du rôle des vestiges des habitations coloniales dans une telle démarche. Sa réflexion touche un point important des enjeux de la patrimonialis</w:t>
      </w:r>
      <w:r w:rsidRPr="00E8358C">
        <w:t>a</w:t>
      </w:r>
      <w:r w:rsidRPr="00E8358C">
        <w:t>tion, à savoir, comment faire et pourquoi ? Le tourisme de masse ne saurait aider à atteindre un tel objectif. Un projet touristique pédag</w:t>
      </w:r>
      <w:r w:rsidRPr="00E8358C">
        <w:t>o</w:t>
      </w:r>
      <w:r w:rsidRPr="00E8358C">
        <w:t>gique serait plus approprié pour transmettre le message. Le visiteur serait plus disponible pour être à l’écoute du guide, plus apte à rec</w:t>
      </w:r>
      <w:r w:rsidRPr="00E8358C">
        <w:t>e</w:t>
      </w:r>
      <w:r w:rsidRPr="00E8358C">
        <w:t>voir et à comprendre le message. Car le patrimoine doit être au service de l’éducation du peuple haïtien qui se perd dans les troubles polit</w:t>
      </w:r>
      <w:r w:rsidRPr="00E8358C">
        <w:t>i</w:t>
      </w:r>
      <w:r w:rsidRPr="00E8358C">
        <w:t>ques et les problèmes économiques. Certainement, aucun peuple n’aimerait qu’on patrimonialise la douleur, mais on peut s’en servir pour conscientiser. Clément, déjà entendu au chapitre III, attire notre attention sur ce que peut faire ressortir une patrimonialisation.</w:t>
      </w:r>
    </w:p>
    <w:p w:rsidR="004C50DC" w:rsidRDefault="004C50DC" w:rsidP="004C50DC">
      <w:pPr>
        <w:pStyle w:val="Citation0"/>
      </w:pPr>
    </w:p>
    <w:p w:rsidR="004C50DC" w:rsidRPr="00E8358C" w:rsidRDefault="004C50DC" w:rsidP="004C50DC">
      <w:pPr>
        <w:pStyle w:val="Citation0"/>
      </w:pPr>
      <w:r w:rsidRPr="00E8358C">
        <w:t>Il faut faire attention dans une démarche de patrimonialisation de la m</w:t>
      </w:r>
      <w:r w:rsidRPr="00E8358C">
        <w:t>é</w:t>
      </w:r>
      <w:r w:rsidRPr="00E8358C">
        <w:t>moire de l’esclavage à ne pas donner l’impression qu’on fait l’éloge du système esclavagiste longuement et vaillamment combattu par le peuple haïtien. C’est un aspect qu’on oublie souvent dans les démarches mém</w:t>
      </w:r>
      <w:r w:rsidRPr="00E8358C">
        <w:t>o</w:t>
      </w:r>
      <w:r w:rsidRPr="00E8358C">
        <w:t xml:space="preserve">rielles. Les termes : </w:t>
      </w:r>
      <w:r w:rsidRPr="00E8358C">
        <w:rPr>
          <w:i/>
        </w:rPr>
        <w:t>mise en valeur</w:t>
      </w:r>
      <w:r w:rsidRPr="00E8358C">
        <w:t xml:space="preserve">, </w:t>
      </w:r>
      <w:r w:rsidRPr="00E8358C">
        <w:rPr>
          <w:i/>
        </w:rPr>
        <w:t>patrimoine</w:t>
      </w:r>
      <w:r w:rsidRPr="00E8358C">
        <w:t xml:space="preserve"> pe</w:t>
      </w:r>
      <w:r w:rsidRPr="00E8358C">
        <w:t>u</w:t>
      </w:r>
      <w:r w:rsidRPr="00E8358C">
        <w:t>vent tout aussi envoyer à l’idée du beau et bon. Dans le cadre de l’esclavage, il n’y avait rien de beau. Donc, il faut sensibiliser les c</w:t>
      </w:r>
      <w:r w:rsidRPr="00E8358C">
        <w:t>i</w:t>
      </w:r>
      <w:r w:rsidRPr="00E8358C">
        <w:t xml:space="preserve">toyens sur les initiatives et bien définir les objectifs afin d’éviter les controverses. </w:t>
      </w:r>
    </w:p>
    <w:p w:rsidR="004C50DC" w:rsidRDefault="004C50DC" w:rsidP="004C50DC">
      <w:pPr>
        <w:pStyle w:val="Citation0c"/>
      </w:pPr>
      <w:r w:rsidRPr="00E8358C">
        <w:t>(Clément, entrevue, 11 novembre 2013)</w:t>
      </w:r>
    </w:p>
    <w:p w:rsidR="004C50DC" w:rsidRPr="00E8358C" w:rsidRDefault="004C50DC" w:rsidP="004C50DC">
      <w:pPr>
        <w:pStyle w:val="Citation0c"/>
      </w:pPr>
    </w:p>
    <w:p w:rsidR="004C50DC" w:rsidRPr="00FF337C" w:rsidRDefault="004C50DC" w:rsidP="004C50DC">
      <w:pPr>
        <w:spacing w:before="120" w:after="120"/>
        <w:jc w:val="both"/>
      </w:pPr>
      <w:bookmarkStart w:id="350" w:name="_Toc421022287"/>
      <w:bookmarkStart w:id="351" w:name="_Toc423346000"/>
      <w:bookmarkStart w:id="352" w:name="_Toc423347339"/>
      <w:bookmarkStart w:id="353" w:name="_Toc423348272"/>
      <w:bookmarkStart w:id="354" w:name="_Toc442280521"/>
      <w:r w:rsidRPr="00FF337C">
        <w:t>Le consensus mémoriel est à déterminer pour pallier les préocc</w:t>
      </w:r>
      <w:r w:rsidRPr="00FF337C">
        <w:t>u</w:t>
      </w:r>
      <w:r w:rsidRPr="00FF337C">
        <w:t>pations de Clément. De nombreux citoyens sont aussi réticents à l’entrée en patrimoine des mémoires de</w:t>
      </w:r>
      <w:r>
        <w:t xml:space="preserve"> [292]</w:t>
      </w:r>
      <w:r w:rsidRPr="00FF337C">
        <w:t xml:space="preserve"> l’esclavage en Haïti. Nous rapportons ici les mots de Joseph, 26 ans, étudiant à la faculté d’ethnologie.</w:t>
      </w:r>
      <w:bookmarkEnd w:id="350"/>
      <w:bookmarkEnd w:id="351"/>
      <w:bookmarkEnd w:id="352"/>
      <w:bookmarkEnd w:id="353"/>
      <w:bookmarkEnd w:id="354"/>
    </w:p>
    <w:p w:rsidR="004C50DC" w:rsidRDefault="004C50DC" w:rsidP="004C50DC">
      <w:pPr>
        <w:pStyle w:val="Citation0"/>
      </w:pPr>
    </w:p>
    <w:p w:rsidR="004C50DC" w:rsidRPr="00E8358C" w:rsidRDefault="004C50DC" w:rsidP="004C50DC">
      <w:pPr>
        <w:pStyle w:val="Citation0"/>
      </w:pPr>
      <w:r w:rsidRPr="00E8358C">
        <w:t>Je remarque depuis un certain temps une tendance à mettre en v</w:t>
      </w:r>
      <w:r w:rsidRPr="00E8358C">
        <w:t>a</w:t>
      </w:r>
      <w:r w:rsidRPr="00E8358C">
        <w:t>leur l’esclavage. On se cache derrière une question de patrimoine et de touri</w:t>
      </w:r>
      <w:r w:rsidRPr="00E8358C">
        <w:t>s</w:t>
      </w:r>
      <w:r w:rsidRPr="00E8358C">
        <w:t>me culturel pour porter les peuples anciennement colonisés à accepter leur état de fait. Pour leur rappeler qu’ils sont des descendants d’esclaves. Ce</w:t>
      </w:r>
      <w:r w:rsidRPr="00E8358C">
        <w:t>t</w:t>
      </w:r>
      <w:r w:rsidRPr="00E8358C">
        <w:t>te étiquette est devenue une explication de l’état de sous-développement des anciennes colonies. C’est une barrière pour leur ascension économique et sociale. Moi, je suis contre toute idée de patrimonialisation de la m</w:t>
      </w:r>
      <w:r w:rsidRPr="00E8358C">
        <w:t>é</w:t>
      </w:r>
      <w:r w:rsidRPr="00E8358C">
        <w:t>moire de l’esclavage en Haïti. D’ailleurs, les habitations coloniales ne ra</w:t>
      </w:r>
      <w:r w:rsidRPr="00E8358C">
        <w:t>p</w:t>
      </w:r>
      <w:r w:rsidRPr="00E8358C">
        <w:t>pellent que de la souffra</w:t>
      </w:r>
      <w:r w:rsidRPr="00E8358C">
        <w:t>n</w:t>
      </w:r>
      <w:r w:rsidRPr="00E8358C">
        <w:t>ce. Certes, d’autres mémoires pourraient être étudiées, mais toute a</w:t>
      </w:r>
      <w:r w:rsidRPr="00E8358C">
        <w:t>s</w:t>
      </w:r>
      <w:r w:rsidRPr="00E8358C">
        <w:t xml:space="preserve">sociation à l’esclavage est équivoque. </w:t>
      </w:r>
    </w:p>
    <w:p w:rsidR="004C50DC" w:rsidRDefault="004C50DC" w:rsidP="004C50DC">
      <w:pPr>
        <w:pStyle w:val="Citation0c"/>
      </w:pPr>
      <w:r w:rsidRPr="00E8358C">
        <w:t>(Joseph, entrevue, 18 janvier 2014)</w:t>
      </w:r>
    </w:p>
    <w:p w:rsidR="004C50DC" w:rsidRPr="00E8358C" w:rsidRDefault="004C50DC" w:rsidP="004C50DC">
      <w:pPr>
        <w:pStyle w:val="Citation0c"/>
      </w:pPr>
    </w:p>
    <w:p w:rsidR="004C50DC" w:rsidRPr="00E8358C" w:rsidRDefault="004C50DC" w:rsidP="004C50DC">
      <w:pPr>
        <w:spacing w:before="120" w:after="120"/>
        <w:jc w:val="both"/>
      </w:pPr>
      <w:r w:rsidRPr="00E8358C">
        <w:t>C’est une crainte légitime qu’a exprimée Clément. Derrière les commémorations et la construction des musées, il faut être prudent. À force de développer tout un marketing touristique autour de l’esclavage et de sa mémoire, on risque de banaliser les vrais probl</w:t>
      </w:r>
      <w:r w:rsidRPr="00E8358C">
        <w:t>è</w:t>
      </w:r>
      <w:r w:rsidRPr="00E8358C">
        <w:t>mes en rapport avec le passé colonial comme la question des répar</w:t>
      </w:r>
      <w:r w:rsidRPr="00E8358C">
        <w:t>a</w:t>
      </w:r>
      <w:r w:rsidRPr="00E8358C">
        <w:t xml:space="preserve">tions des crimes de l’esclavage. Cette question inquiète les puissances occidentales. La multiplication de la mise en valeur des sites pourrait aussi étouffer les revendications sociales des descendants d’esclaves et passer sous silence les conséquences de l’esclavage dans le monde, notamment le racisme anti-noir dans les pays d’Europe, aux États-Unis, au Brésil, dans la Caraïbe (Saint-Domingue, Porto-Rico…). Les commentaires de Sonson, éducateur physique, 28 ans, avec qui nous nous sommes entretenu aux Cayes, ne sont pas si différents. Il s’oppose à l’idée de mise en valeur des mémoires de l’esclavage qui selon lui rappellent la souffrance et peuvent porter les visiteurs à faire le lien avec la situation misérable des Haïtiens.  </w:t>
      </w:r>
    </w:p>
    <w:p w:rsidR="004C50DC" w:rsidRDefault="004C50DC" w:rsidP="004C50DC">
      <w:pPr>
        <w:pStyle w:val="Citation0i"/>
      </w:pPr>
    </w:p>
    <w:p w:rsidR="004C50DC" w:rsidRPr="00E8358C" w:rsidRDefault="004C50DC" w:rsidP="004C50DC">
      <w:pPr>
        <w:pStyle w:val="Citation0i"/>
      </w:pPr>
      <w:r w:rsidRPr="00E8358C">
        <w:t>Poukisa nou vle mete memwa lesklavaj an valè a menm? M pa wè enp</w:t>
      </w:r>
      <w:r w:rsidRPr="00E8358C">
        <w:t>o</w:t>
      </w:r>
      <w:r w:rsidRPr="00E8358C">
        <w:t xml:space="preserve">tans li senèke soufrans li raple m. Lè vizitè a vini se rapid li pra l fè lyen ak mizè nou jodia.  M pa vle nou ofri imaj sa de peyi nou. </w:t>
      </w:r>
    </w:p>
    <w:p w:rsidR="004C50DC" w:rsidRPr="00E8358C" w:rsidRDefault="004C50DC" w:rsidP="004C50DC">
      <w:pPr>
        <w:pStyle w:val="Citation0"/>
      </w:pPr>
    </w:p>
    <w:p w:rsidR="004C50DC" w:rsidRPr="00E8358C" w:rsidRDefault="004C50DC" w:rsidP="004C50DC">
      <w:pPr>
        <w:pStyle w:val="Citation0"/>
      </w:pPr>
      <w:r w:rsidRPr="00E8358C">
        <w:t>[Pourquoi voulez-vous mettre en valeur la mémoire de l’esclavage ? Je ne vois pas l’importance d’une telle démarche. Cette mémoire ne rappelle que la douleur ? Le visiteur pourra facilement faire le lien avec la réalité sociale et économique du pays aujourd’hui. Je ne veux pas qu’on offre ce</w:t>
      </w:r>
      <w:r w:rsidRPr="00E8358C">
        <w:t>t</w:t>
      </w:r>
      <w:r w:rsidRPr="00E8358C">
        <w:t>te image du pays à l’étranger.]</w:t>
      </w:r>
    </w:p>
    <w:p w:rsidR="004C50DC" w:rsidRDefault="004C50DC" w:rsidP="004C50DC">
      <w:pPr>
        <w:pStyle w:val="Citation0c"/>
      </w:pPr>
      <w:r w:rsidRPr="00E8358C">
        <w:t>(Sonson, entrevue, 19 juin 2014)</w:t>
      </w:r>
    </w:p>
    <w:p w:rsidR="004C50DC" w:rsidRPr="00E8358C" w:rsidRDefault="004C50DC" w:rsidP="004C50DC">
      <w:pPr>
        <w:pStyle w:val="Citation0c"/>
      </w:pPr>
    </w:p>
    <w:p w:rsidR="004C50DC" w:rsidRPr="00E8358C" w:rsidRDefault="004C50DC" w:rsidP="004C50DC">
      <w:pPr>
        <w:spacing w:before="120" w:after="120"/>
        <w:jc w:val="both"/>
      </w:pPr>
      <w:r w:rsidRPr="00E8358C">
        <w:t xml:space="preserve">Il faudrait préciser que cette vision négative des habitations résulte aussi des manuels d’histoire et de l’enseignement haïtien portant sur les héros et les faits d’armes. Un peuple ne saurait fuir son histoire. Les enjeux sont à l’aune de la perception qu’ont les gens de leur </w:t>
      </w:r>
      <w:r>
        <w:t xml:space="preserve">[293] </w:t>
      </w:r>
      <w:r w:rsidRPr="00E8358C">
        <w:t>patrimoine. L’histoire d’Haïti, ce n’est pas seulement la douleur et la souffrance qui la caractérisent. Les habitations ne renvoient pas se</w:t>
      </w:r>
      <w:r w:rsidRPr="00E8358C">
        <w:t>u</w:t>
      </w:r>
      <w:r w:rsidRPr="00E8358C">
        <w:t>lement aux mémoires « victimaires ». Elles sont aussi des espaces de gloire et de résistance. Les idées de la douleur et des atrocités n’influencent-elles pas l’état de conservation des sites d’habitations coloniales en Haïti ? Michel Philippe Lerebours présente une situation alarmante de l’état des vestiges des habitations coloniales dans la zone métropolitaine de Port-au-Prince : les purgeries, les étuves, les cases des esclaves, les maisons des maîtres ont presque disparu sans laisser de traces</w:t>
      </w:r>
      <w:r>
        <w:t> </w:t>
      </w:r>
      <w:r>
        <w:rPr>
          <w:rStyle w:val="Appelnotedebasdep"/>
        </w:rPr>
        <w:footnoteReference w:id="777"/>
      </w:r>
      <w:r w:rsidRPr="00E8358C">
        <w:t>. La situation n’est pas si différente dans les autres villes et zones rurales d’Haïti. Le constat est pareil pour les forts. Les forts et les habitations coloniales sont vandalisés et pillés. Certains objets (chaudières, canons, cloches, roues) sont vendus et placés dans les cours des villas et des hôtels du pays. Ils servent de pièces décoratives et sont des marques visibles de la richesse de leurs propriétaires. Il faut donc conjuguer les efforts pour prévenir les actes de vandalisme sur les sites mémoriels haïtiens. La conscience patrimoniale et c</w:t>
      </w:r>
      <w:r w:rsidRPr="00E8358C">
        <w:t>i</w:t>
      </w:r>
      <w:r w:rsidRPr="00E8358C">
        <w:t xml:space="preserve">toyenne doit soutenir toute démarche visant à sauvegarder les lieux de mémoire en lien avec le passé colonial.  </w:t>
      </w:r>
    </w:p>
    <w:p w:rsidR="004C50DC" w:rsidRPr="00E8358C" w:rsidRDefault="004C50DC" w:rsidP="004C50DC">
      <w:pPr>
        <w:spacing w:before="120" w:after="120"/>
        <w:jc w:val="both"/>
      </w:pPr>
      <w:r w:rsidRPr="00E8358C">
        <w:t>Plusieurs hauts lieux de l’esprit révolutionnaire haïtien suscitent un intérêt patrimonial. Les mémoires qui les accompagnent se cristall</w:t>
      </w:r>
      <w:r w:rsidRPr="00E8358C">
        <w:t>i</w:t>
      </w:r>
      <w:r w:rsidRPr="00E8358C">
        <w:t>sent encore dans le quotidien de la population locale qui les côtoie. Il faut éviter de trop se perdre dans une volonté de satisfaire les dema</w:t>
      </w:r>
      <w:r w:rsidRPr="00E8358C">
        <w:t>n</w:t>
      </w:r>
      <w:r w:rsidRPr="00E8358C">
        <w:t>des touristiques de masse. La patrimonialisation est avant tout co</w:t>
      </w:r>
      <w:r w:rsidRPr="00E8358C">
        <w:t>m</w:t>
      </w:r>
      <w:r w:rsidRPr="00E8358C">
        <w:t>munautaire. Toute valorisation des mémoires de l’esclavage en Haïti se doit d’abord de chercher à créer un espace public de « vivre e</w:t>
      </w:r>
      <w:r w:rsidRPr="00E8358C">
        <w:t>n</w:t>
      </w:r>
      <w:r w:rsidRPr="00E8358C">
        <w:t>semble ». Le patrimoine doit être un support pédagogique par exce</w:t>
      </w:r>
      <w:r w:rsidRPr="00E8358C">
        <w:t>l</w:t>
      </w:r>
      <w:r w:rsidRPr="00E8358C">
        <w:t xml:space="preserve">lence pour une éducation assimilée des Haïtiens. </w:t>
      </w:r>
    </w:p>
    <w:p w:rsidR="004C50DC" w:rsidRPr="00E8358C" w:rsidRDefault="004C50DC" w:rsidP="004C50DC">
      <w:pPr>
        <w:spacing w:before="120" w:after="120"/>
        <w:jc w:val="both"/>
      </w:pPr>
      <w:r w:rsidRPr="00E8358C">
        <w:t xml:space="preserve">Il faut étudier le passé dans son propre temps. La citadelle, c’est après l’esclavage. La Crête-à-Pierrot, c’est encore pendant l’esclavage dans la mesure où Napoléon avait l’intention de rétablir l’esclavage. Et il l’a fait en Martinique et en Guadeloupe. Les combattants haïtiens luttaient encore contre l’esclavage. Après l’indépendance, il n’y a plus d’esclavage. Donc la citadelle n’est pas directement reliée à l’esclavage, mais bien </w:t>
      </w:r>
      <w:r>
        <w:t xml:space="preserve">[294] </w:t>
      </w:r>
      <w:r w:rsidRPr="00E8358C">
        <w:t xml:space="preserve">sûr, elle sert à prévenir le retour des Français. Il faut nuancer le type de rapports qu’on veut faire avec l’esclavage. </w:t>
      </w:r>
    </w:p>
    <w:p w:rsidR="004C50DC" w:rsidRPr="00E8358C" w:rsidRDefault="004C50DC" w:rsidP="004C50DC">
      <w:pPr>
        <w:spacing w:before="120" w:after="120"/>
        <w:jc w:val="both"/>
      </w:pPr>
      <w:r w:rsidRPr="00E8358C">
        <w:t>Dans le cas de la Crête-à-Pierrot, nous ne savons pas ce qu’un Français esclavagiste, raciste dans sa mentalité, pourrait dire. Les Ha</w:t>
      </w:r>
      <w:r w:rsidRPr="00E8358C">
        <w:t>ï</w:t>
      </w:r>
      <w:r w:rsidRPr="00E8358C">
        <w:t>tiens eux-mêmes se focalisent sur le courage, sur ce qui a été fait et ce qui est reconnu. Les Français ne reconnaissent pas cet aspect. Tandis que la citadelle, c’est universellement reconnu par tous les Haïtiens, mais aussi en dehors d’Haïti, puisque c’est un patrimoine universel de l’UNESCO. Nous voulons qu’il y ait une distinction à propos de l’esclavage comme souffrance de tous les esclaves et comme victoire de tous les Haïtiens. Par conséquent, nous sommes un peu réticent à l’idée d’utiliser la mémoire de l’esclavage dans le cadre du tourisme de masse. Dans le cas de la citadelle, c’est le post-esclavagisme, le triomphe sur l’esclavage, les Haïtiens peuvent en être fiers et les to</w:t>
      </w:r>
      <w:r w:rsidRPr="00E8358C">
        <w:t>u</w:t>
      </w:r>
      <w:r w:rsidRPr="00E8358C">
        <w:t xml:space="preserve">ristes peuvent venir reconnaître cette création extraordinaire. </w:t>
      </w:r>
    </w:p>
    <w:p w:rsidR="004C50DC" w:rsidRPr="00E8358C" w:rsidRDefault="004C50DC" w:rsidP="004C50DC">
      <w:pPr>
        <w:pStyle w:val="p"/>
      </w:pPr>
      <w:r w:rsidRPr="00E8358C">
        <w:br w:type="page"/>
      </w:r>
      <w:bookmarkStart w:id="355" w:name="_Toc406486085"/>
      <w:bookmarkStart w:id="356" w:name="_Toc406489705"/>
      <w:bookmarkStart w:id="357" w:name="_Toc423347340"/>
      <w:bookmarkStart w:id="358" w:name="_Toc442280522"/>
      <w:r w:rsidRPr="00E8358C">
        <w:t>[295]</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359" w:name="Memoire_chap_VI"/>
      <w:r w:rsidRPr="00EF76C4">
        <w:rPr>
          <w:b/>
          <w:sz w:val="24"/>
        </w:rPr>
        <w:t>Mémoire de l’esclavage en Haïti.</w:t>
      </w:r>
    </w:p>
    <w:p w:rsidR="004C50DC" w:rsidRDefault="004C50DC" w:rsidP="004C50DC">
      <w:pPr>
        <w:pStyle w:val="Titreniveau1"/>
        <w:rPr>
          <w:szCs w:val="36"/>
        </w:rPr>
      </w:pPr>
      <w:r>
        <w:rPr>
          <w:szCs w:val="36"/>
        </w:rPr>
        <w:t>Chapitre VI</w:t>
      </w:r>
    </w:p>
    <w:p w:rsidR="004C50DC" w:rsidRPr="001F21A7" w:rsidRDefault="004C50DC" w:rsidP="004C50DC">
      <w:pPr>
        <w:pStyle w:val="Titreniveau2"/>
      </w:pPr>
      <w:r w:rsidRPr="000A1CB5">
        <w:t>Pratiques et formes d’expressions</w:t>
      </w:r>
      <w:r>
        <w:br/>
      </w:r>
      <w:r w:rsidRPr="000A1CB5">
        <w:t>liées aux mémoires de l’esclavage :</w:t>
      </w:r>
      <w:r>
        <w:br/>
      </w:r>
      <w:r w:rsidRPr="000A1CB5">
        <w:t>él</w:t>
      </w:r>
      <w:r w:rsidRPr="000A1CB5">
        <w:t>é</w:t>
      </w:r>
      <w:r w:rsidRPr="000A1CB5">
        <w:t>ments d’une identité</w:t>
      </w:r>
    </w:p>
    <w:bookmarkEnd w:id="359"/>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355"/>
    <w:bookmarkEnd w:id="356"/>
    <w:bookmarkEnd w:id="357"/>
    <w:bookmarkEnd w:id="358"/>
    <w:p w:rsidR="004C50DC" w:rsidRPr="00E8358C" w:rsidRDefault="004C50DC" w:rsidP="004C50DC">
      <w:pPr>
        <w:spacing w:before="120" w:after="120"/>
        <w:jc w:val="both"/>
      </w:pPr>
      <w:r w:rsidRPr="00E8358C">
        <w:t>Les pratiques culturelles ont un rôle important de transmission de la mémoire, car elles ne s’arrêtent pas seulement « à léguer un cont</w:t>
      </w:r>
      <w:r w:rsidRPr="00E8358C">
        <w:t>e</w:t>
      </w:r>
      <w:r w:rsidRPr="00E8358C">
        <w:t>nu, mais une manière d’être au monde » comme le souligne Joël Ca</w:t>
      </w:r>
      <w:r w:rsidRPr="00E8358C">
        <w:t>n</w:t>
      </w:r>
      <w:r w:rsidRPr="00E8358C">
        <w:t>dau</w:t>
      </w:r>
      <w:r>
        <w:t> </w:t>
      </w:r>
      <w:r w:rsidRPr="00E8358C">
        <w:rPr>
          <w:rStyle w:val="Appelnotedebasdep"/>
        </w:rPr>
        <w:footnoteReference w:id="778"/>
      </w:r>
      <w:r w:rsidRPr="00E8358C">
        <w:t>. Cette « manière d’être » du citoyen haïtien dans sa société est au centre de notre préoccupation dans ce chapitre. Dans le contexte de l’étude des mémoires de l’esclavage dans la société haïtienne, les concepts de « pratique culturelle » et de « pratique sociale » renvoient à ce qui est vécu aujourd’hui, l’expérience, ce que l’on fait ici et maintenant. La « mémoire », elle, est plus abstraite, parfois incon</w:t>
      </w:r>
      <w:r w:rsidRPr="00E8358C">
        <w:t>s</w:t>
      </w:r>
      <w:r w:rsidRPr="00E8358C">
        <w:t>ciente. Elle nous vient du passé, un passé profond, transmis par des habitus et par la langue. Comme l’a écrit Paul Ricœur, « la fonction principale de la mémoire est celle de la récupération »</w:t>
      </w:r>
      <w:r>
        <w:t> </w:t>
      </w:r>
      <w:r w:rsidRPr="00E8358C">
        <w:rPr>
          <w:rStyle w:val="Appelnotedebasdep"/>
        </w:rPr>
        <w:footnoteReference w:id="779"/>
      </w:r>
      <w:r w:rsidRPr="00E8358C">
        <w:t>. Les prat</w:t>
      </w:r>
      <w:r w:rsidRPr="00E8358C">
        <w:t>i</w:t>
      </w:r>
      <w:r w:rsidRPr="00E8358C">
        <w:t>ques culturelles peuvent faciliter la remémoration ; elles permettent de révéler les mémoires enfouies de la colonisation dans la société ha</w:t>
      </w:r>
      <w:r w:rsidRPr="00E8358C">
        <w:t>ï</w:t>
      </w:r>
      <w:r w:rsidRPr="00E8358C">
        <w:t>tie</w:t>
      </w:r>
      <w:r w:rsidRPr="00E8358C">
        <w:t>n</w:t>
      </w:r>
      <w:r w:rsidRPr="00E8358C">
        <w:t>ne tandis que, inversement, les « mémoires de l’esclavage et de la c</w:t>
      </w:r>
      <w:r w:rsidRPr="00E8358C">
        <w:t>o</w:t>
      </w:r>
      <w:r w:rsidRPr="00E8358C">
        <w:t xml:space="preserve">lonisation », encore présentes, continuent à façonner, à conditionner subrepticement, les pratiques culturelles aujourd’hui, d’où l’intérêt de les ressusciter, de les mettre à nu pour mieux composer avec elles, plutôt que de les occulter.  </w:t>
      </w:r>
    </w:p>
    <w:p w:rsidR="004C50DC" w:rsidRPr="00E8358C" w:rsidRDefault="004C50DC" w:rsidP="004C50DC">
      <w:pPr>
        <w:spacing w:before="120" w:after="120"/>
        <w:jc w:val="both"/>
      </w:pPr>
      <w:r w:rsidRPr="00E8358C">
        <w:t>Dans quelle mesure certaines pratiques culturelles et expressions toujours actuelles dans la société haïtienne peuvent-elles être liées au passé colonial esclavagiste ? C’est ce que ce chapitre examine en s’appuyant, dans un premier temps, sur des déclarations de quelques participants à l’enquête. Une analyse critique des pratiques, comme la domesticité et la figure de la femme haïtienne, est aussi faite pour d</w:t>
      </w:r>
      <w:r w:rsidRPr="00E8358C">
        <w:t>é</w:t>
      </w:r>
      <w:r w:rsidRPr="00E8358C">
        <w:t>terminer leurs liens avec le passé colonial esclavagiste. La langue créole et certains proverbes, suivis des expressions artistiques, sont aussi étudiés comme des éléments qui participent à l’affirmation de la mémoire haïtienne. Le vodou, dans ses pratiques, dans son dévelo</w:t>
      </w:r>
      <w:r w:rsidRPr="00E8358C">
        <w:t>p</w:t>
      </w:r>
      <w:r w:rsidRPr="00E8358C">
        <w:t>pement aux côtés du catholicisme, n’échappe pas à notre regard. E</w:t>
      </w:r>
      <w:r w:rsidRPr="00E8358C">
        <w:t>n</w:t>
      </w:r>
      <w:r w:rsidRPr="00E8358C">
        <w:t>fin, nous présentons certaines pratiques alimentaires pour voir co</w:t>
      </w:r>
      <w:r w:rsidRPr="00E8358C">
        <w:t>m</w:t>
      </w:r>
      <w:r w:rsidRPr="00E8358C">
        <w:t xml:space="preserve">ment le problème de l’insuffisance alimentaire s’inscrit dans </w:t>
      </w:r>
      <w:r>
        <w:t xml:space="preserve">[296] </w:t>
      </w:r>
      <w:r w:rsidRPr="00E8358C">
        <w:t>une continuité coloniale en Haïti. Une telle démarche permet de mo</w:t>
      </w:r>
      <w:r w:rsidRPr="00E8358C">
        <w:t>n</w:t>
      </w:r>
      <w:r w:rsidRPr="00E8358C">
        <w:t>trer comment consciemment ou inconsciemment les Haïtiens cont</w:t>
      </w:r>
      <w:r w:rsidRPr="00E8358C">
        <w:t>i</w:t>
      </w:r>
      <w:r w:rsidRPr="00E8358C">
        <w:t>nuent à vivre le passé colonial esclavagiste. Les mémoires sont rée</w:t>
      </w:r>
      <w:r w:rsidRPr="00E8358C">
        <w:t>l</w:t>
      </w:r>
      <w:r w:rsidRPr="00E8358C">
        <w:t>lement présentes et sont exprimées de diverses manières. La déclar</w:t>
      </w:r>
      <w:r w:rsidRPr="00E8358C">
        <w:t>a</w:t>
      </w:r>
      <w:r w:rsidRPr="00E8358C">
        <w:t>tion suivante de Vénite résume bien les avis de la plupart des interv</w:t>
      </w:r>
      <w:r w:rsidRPr="00E8358C">
        <w:t>e</w:t>
      </w:r>
      <w:r w:rsidRPr="00E8358C">
        <w:t>nants à l’enquête.</w:t>
      </w:r>
    </w:p>
    <w:p w:rsidR="004C50DC" w:rsidRDefault="004C50DC" w:rsidP="004C50DC">
      <w:pPr>
        <w:pStyle w:val="Citation0"/>
      </w:pPr>
    </w:p>
    <w:p w:rsidR="004C50DC" w:rsidRPr="00E8358C" w:rsidRDefault="004C50DC" w:rsidP="004C50DC">
      <w:pPr>
        <w:pStyle w:val="Citation0"/>
      </w:pPr>
      <w:r w:rsidRPr="00E8358C">
        <w:t xml:space="preserve">Éléments mnémoniques : le découpage de la société (urbains </w:t>
      </w:r>
      <w:r w:rsidRPr="00E8358C">
        <w:rPr>
          <w:i/>
        </w:rPr>
        <w:t>contre</w:t>
      </w:r>
      <w:r w:rsidRPr="00E8358C">
        <w:t xml:space="preserve"> r</w:t>
      </w:r>
      <w:r w:rsidRPr="00E8358C">
        <w:t>u</w:t>
      </w:r>
      <w:r w:rsidRPr="00E8358C">
        <w:t xml:space="preserve">raux, bossales </w:t>
      </w:r>
      <w:r w:rsidRPr="00E8358C">
        <w:rPr>
          <w:i/>
        </w:rPr>
        <w:t>contre</w:t>
      </w:r>
      <w:r w:rsidRPr="00E8358C">
        <w:t xml:space="preserve"> créoles, etc.) ; la manière de nommer les groupes s</w:t>
      </w:r>
      <w:r w:rsidRPr="00E8358C">
        <w:t>o</w:t>
      </w:r>
      <w:r w:rsidRPr="00E8358C">
        <w:t>ciaux ; les rapports sociaux rappelant les rapports entre castes ; les conflits entre factions prenant souvent l’aspect de conflits ethniques comme les v</w:t>
      </w:r>
      <w:r w:rsidRPr="00E8358C">
        <w:t>i</w:t>
      </w:r>
      <w:r w:rsidRPr="00E8358C">
        <w:t>vent des sociétés africaines ; les appellations selon les nuances de la peau ; le rapport ambigu et contradictoire à une Afrique mythique.</w:t>
      </w:r>
    </w:p>
    <w:p w:rsidR="004C50DC" w:rsidRPr="00E8358C" w:rsidRDefault="004C50DC" w:rsidP="004C50DC">
      <w:pPr>
        <w:pStyle w:val="Citation0c"/>
      </w:pPr>
      <w:r w:rsidRPr="00E8358C">
        <w:t>(Vénite, entrevue, 12 avril 2014)</w:t>
      </w:r>
    </w:p>
    <w:p w:rsidR="004C50DC" w:rsidRDefault="004C50DC" w:rsidP="004C50DC">
      <w:pPr>
        <w:spacing w:before="120" w:after="120"/>
        <w:jc w:val="both"/>
      </w:pPr>
    </w:p>
    <w:p w:rsidR="004C50DC" w:rsidRDefault="004C50DC" w:rsidP="004C50DC">
      <w:pPr>
        <w:spacing w:before="120" w:after="120"/>
        <w:jc w:val="both"/>
        <w:rPr>
          <w:rStyle w:val="apple-converted-space"/>
          <w:shd w:val="clear" w:color="auto" w:fill="FFFFFF"/>
        </w:rPr>
      </w:pPr>
      <w:r w:rsidRPr="00E8358C">
        <w:t>Ce témoignage met l’accent sur les racines et le mécanisme de fonctionnement de la société haïtienne. Vénite cherche à ne pas rel</w:t>
      </w:r>
      <w:r w:rsidRPr="00E8358C">
        <w:t>é</w:t>
      </w:r>
      <w:r w:rsidRPr="00E8358C">
        <w:t>guer au second plan des préoccupations sociales actuelles. Il s’agit de les apprécier dans leurs conditions d’opérationnalisation. Les rapports sociaux de domination, les différences de la peau, les conflits entre les groupes sociaux, sont des pratiques bien ancrées dans la société ha</w:t>
      </w:r>
      <w:r w:rsidRPr="00E8358C">
        <w:t>ï</w:t>
      </w:r>
      <w:r w:rsidRPr="00E8358C">
        <w:t>tienne en lien avec le passé colonial. Ces pratiques sociales et culture</w:t>
      </w:r>
      <w:r w:rsidRPr="00E8358C">
        <w:t>l</w:t>
      </w:r>
      <w:r w:rsidRPr="00E8358C">
        <w:t>les parviennent avec le temps à prendre beaucoup plus d’ampleur en s’étendant aux problèmes politiques. Cette situation a toujours de gr</w:t>
      </w:r>
      <w:r w:rsidRPr="00E8358C">
        <w:t>a</w:t>
      </w:r>
      <w:r w:rsidRPr="00E8358C">
        <w:t>ves répercussions par rapport à la stabilité politique, au « vivre e</w:t>
      </w:r>
      <w:r w:rsidRPr="00E8358C">
        <w:t>n</w:t>
      </w:r>
      <w:r w:rsidRPr="00E8358C">
        <w:t>semble » entre les citoyens et au développement économique d’Haïti.</w:t>
      </w:r>
    </w:p>
    <w:p w:rsidR="004C50DC" w:rsidRPr="00E8358C" w:rsidRDefault="004C50DC" w:rsidP="004C50DC">
      <w:pPr>
        <w:spacing w:before="120" w:after="120"/>
        <w:jc w:val="both"/>
      </w:pPr>
    </w:p>
    <w:p w:rsidR="004C50DC" w:rsidRPr="00E8358C" w:rsidRDefault="004C50DC" w:rsidP="004C50DC">
      <w:pPr>
        <w:pStyle w:val="planche"/>
      </w:pPr>
      <w:bookmarkStart w:id="360" w:name="_Toc406489702"/>
      <w:bookmarkStart w:id="361" w:name="_Toc423347342"/>
      <w:bookmarkStart w:id="362" w:name="_Toc442280524"/>
      <w:bookmarkStart w:id="363" w:name="Memoire_chap_VI_1"/>
      <w:r w:rsidRPr="00E8358C">
        <w:t xml:space="preserve">6.1. Mémoires </w:t>
      </w:r>
      <w:r>
        <w:t>et expériences de l’esclavage :</w:t>
      </w:r>
      <w:r>
        <w:br/>
      </w:r>
      <w:r w:rsidRPr="00E8358C">
        <w:t>accommodement d’une fierté et d’une gêne</w:t>
      </w:r>
      <w:bookmarkEnd w:id="360"/>
      <w:bookmarkEnd w:id="361"/>
      <w:bookmarkEnd w:id="362"/>
    </w:p>
    <w:bookmarkEnd w:id="363"/>
    <w:p w:rsidR="004C50DC" w:rsidRDefault="004C50DC" w:rsidP="004C50DC">
      <w:pPr>
        <w:spacing w:before="120" w:after="120"/>
        <w:jc w:val="both"/>
        <w:rPr>
          <w:lang w:eastAsia="ja-JP"/>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rPr>
          <w:lang w:eastAsia="ja-JP"/>
        </w:rPr>
        <w:t>La nation haïtienne a payé le prix des luttes et des résistances pour exister. Pour construire son identité, il a fallu  choisir en tout premier lieu des faits positifs. En général, c’est  difficile pour un peuple de construire son identité sur des passés traumatisants et honteux. L’expérience de l’esclavage est réelle dans le quotidien des Haïtiens. Ils s’approprient publiquement la fierté au-delà des souvenirs dégr</w:t>
      </w:r>
      <w:r w:rsidRPr="00E8358C">
        <w:rPr>
          <w:lang w:eastAsia="ja-JP"/>
        </w:rPr>
        <w:t>a</w:t>
      </w:r>
      <w:r w:rsidRPr="00E8358C">
        <w:rPr>
          <w:lang w:eastAsia="ja-JP"/>
        </w:rPr>
        <w:t>dants qu’ils essayent d’intérioriser pour se construire une vie. Ils sont de plus en plus nombreux à ne pas s’identifier aux descendants d’esclaves, car cette appellation ne rime pas avec la fierté qu’ils cult</w:t>
      </w:r>
      <w:r w:rsidRPr="00E8358C">
        <w:rPr>
          <w:lang w:eastAsia="ja-JP"/>
        </w:rPr>
        <w:t>i</w:t>
      </w:r>
      <w:r w:rsidRPr="00E8358C">
        <w:rPr>
          <w:lang w:eastAsia="ja-JP"/>
        </w:rPr>
        <w:t xml:space="preserve">vent. L’appropriation de la figure héroïque des pères fondateurs de la nation soutient cette position. Sur ce sujet, </w:t>
      </w:r>
      <w:r w:rsidRPr="00E8358C">
        <w:t>Élifète revient pour situer son point de vue.</w:t>
      </w:r>
    </w:p>
    <w:p w:rsidR="004C50DC" w:rsidRDefault="004C50DC" w:rsidP="004C50DC">
      <w:pPr>
        <w:spacing w:before="120" w:after="120"/>
        <w:jc w:val="both"/>
      </w:pPr>
      <w:r>
        <w:t>[297]</w:t>
      </w:r>
    </w:p>
    <w:p w:rsidR="004C50DC" w:rsidRDefault="004C50DC" w:rsidP="004C50DC">
      <w:pPr>
        <w:pStyle w:val="Citation0"/>
      </w:pPr>
    </w:p>
    <w:p w:rsidR="004C50DC" w:rsidRPr="00E8358C" w:rsidRDefault="004C50DC" w:rsidP="004C50DC">
      <w:pPr>
        <w:pStyle w:val="Citation0"/>
      </w:pPr>
      <w:r w:rsidRPr="00E8358C">
        <w:t>Je pense que la plupart des Haïtiens, et j’en fais partie, ne s’identifient pas comme descendants d’esclaves. Souvent l’Haïtien dit : « Mwen se pitit Dessalines » (Je suis fils de Dessalines). Il se retrouve dans le père fond</w:t>
      </w:r>
      <w:r w:rsidRPr="00E8358C">
        <w:t>a</w:t>
      </w:r>
      <w:r w:rsidRPr="00E8358C">
        <w:t>teur de la Nation pour justifier sa fierté. D’autres s’appellent fils de Tou</w:t>
      </w:r>
      <w:r w:rsidRPr="00E8358C">
        <w:t>s</w:t>
      </w:r>
      <w:r w:rsidRPr="00E8358C">
        <w:t xml:space="preserve">saint Louverture, fils d’Alexandre Pétion, fils d’Henri Christophe, fils de Capois. En s’appelant ainsi, ils se considèrent comme des descendants d’hommes libres. Ils ne sont pas des descendants d’esclaves. </w:t>
      </w:r>
    </w:p>
    <w:p w:rsidR="004C50DC" w:rsidRDefault="004C50DC" w:rsidP="004C50DC">
      <w:pPr>
        <w:pStyle w:val="Citation0c"/>
      </w:pPr>
      <w:r w:rsidRPr="00E8358C">
        <w:t>(Élifète, entrevue, 22 août 2013)</w:t>
      </w:r>
    </w:p>
    <w:p w:rsidR="004C50DC" w:rsidRPr="00E8358C" w:rsidRDefault="004C50DC" w:rsidP="004C50DC">
      <w:pPr>
        <w:pStyle w:val="Citation0c"/>
      </w:pPr>
    </w:p>
    <w:p w:rsidR="004C50DC" w:rsidRPr="00E8358C" w:rsidRDefault="004C50DC" w:rsidP="004C50DC">
      <w:pPr>
        <w:spacing w:before="120" w:after="120"/>
        <w:jc w:val="both"/>
      </w:pPr>
      <w:r w:rsidRPr="00E8358C">
        <w:t>Toutefois, face à certaines difficultés du quotidien, sans hésitation ils comparent leurs conditions de vie à celles des esclaves et veulent lutter contre ceux qu’ils jugent responsables, de par leur volonté de conserver leur position de domination : les élites dirigeantes. C’est-ce qu’Élifète essaie de nous expliquer plus loin :</w:t>
      </w:r>
    </w:p>
    <w:p w:rsidR="004C50DC" w:rsidRDefault="004C50DC" w:rsidP="004C50DC">
      <w:pPr>
        <w:pStyle w:val="Citation0"/>
      </w:pPr>
    </w:p>
    <w:p w:rsidR="004C50DC" w:rsidRPr="00E8358C" w:rsidRDefault="004C50DC" w:rsidP="004C50DC">
      <w:pPr>
        <w:pStyle w:val="Citation0"/>
        <w:rPr>
          <w:lang w:eastAsia="ja-JP"/>
        </w:rPr>
      </w:pPr>
      <w:r w:rsidRPr="00E8358C">
        <w:t>Je crois que c’est quelque chose qui est enraciné dans notre mémoire co</w:t>
      </w:r>
      <w:r w:rsidRPr="00E8358C">
        <w:t>l</w:t>
      </w:r>
      <w:r w:rsidRPr="00E8358C">
        <w:t>lective. Cette mémoire a sédiment</w:t>
      </w:r>
      <w:r w:rsidRPr="00E8358C">
        <w:rPr>
          <w:lang w:eastAsia="ja-JP"/>
        </w:rPr>
        <w:t>é pendant plusieurs gén</w:t>
      </w:r>
      <w:r w:rsidRPr="00E8358C">
        <w:rPr>
          <w:lang w:eastAsia="ja-JP"/>
        </w:rPr>
        <w:t>é</w:t>
      </w:r>
      <w:r w:rsidRPr="00E8358C">
        <w:rPr>
          <w:lang w:eastAsia="ja-JP"/>
        </w:rPr>
        <w:t>rations. Certes dans des circonstances particulièrement douloureuses, l’Haïtien peut év</w:t>
      </w:r>
      <w:r w:rsidRPr="00E8358C">
        <w:rPr>
          <w:lang w:eastAsia="ja-JP"/>
        </w:rPr>
        <w:t>o</w:t>
      </w:r>
      <w:r w:rsidRPr="00E8358C">
        <w:rPr>
          <w:lang w:eastAsia="ja-JP"/>
        </w:rPr>
        <w:t>quer son origine d’esclave. Mais, une fois le pr</w:t>
      </w:r>
      <w:r w:rsidRPr="00E8358C">
        <w:rPr>
          <w:lang w:eastAsia="ja-JP"/>
        </w:rPr>
        <w:t>o</w:t>
      </w:r>
      <w:r w:rsidRPr="00E8358C">
        <w:rPr>
          <w:lang w:eastAsia="ja-JP"/>
        </w:rPr>
        <w:t>blème résolu, il revient à sa fierté d’homme libre. La fierté a cond</w:t>
      </w:r>
      <w:r w:rsidRPr="00E8358C">
        <w:rPr>
          <w:lang w:eastAsia="ja-JP"/>
        </w:rPr>
        <w:t>i</w:t>
      </w:r>
      <w:r w:rsidRPr="00E8358C">
        <w:rPr>
          <w:lang w:eastAsia="ja-JP"/>
        </w:rPr>
        <w:t>tionné le disque dur de l’Haïtien. Si tu me permets d’utiliser cette f</w:t>
      </w:r>
      <w:r w:rsidRPr="00E8358C">
        <w:rPr>
          <w:lang w:eastAsia="ja-JP"/>
        </w:rPr>
        <w:t>i</w:t>
      </w:r>
      <w:r w:rsidRPr="00E8358C">
        <w:rPr>
          <w:lang w:eastAsia="ja-JP"/>
        </w:rPr>
        <w:t xml:space="preserve">gure informatique. Cette remémoration nous empêche généralement de nous définir comme descendants d’esclaves. C’est une gêne. « Mwen se yon pitit Dessalines tou » (Je suis un fils de Dessalines aussi). </w:t>
      </w:r>
    </w:p>
    <w:p w:rsidR="004C50DC" w:rsidRDefault="004C50DC" w:rsidP="004C50DC">
      <w:pPr>
        <w:pStyle w:val="Citation0c"/>
      </w:pPr>
      <w:r w:rsidRPr="00E8358C">
        <w:t>(Élifète, entrevue, 22 août 2013)</w:t>
      </w:r>
    </w:p>
    <w:p w:rsidR="004C50DC" w:rsidRPr="00E8358C" w:rsidRDefault="004C50DC" w:rsidP="004C50DC">
      <w:pPr>
        <w:pStyle w:val="Citation0c"/>
      </w:pPr>
    </w:p>
    <w:p w:rsidR="004C50DC" w:rsidRPr="00E8358C" w:rsidRDefault="004C50DC" w:rsidP="004C50DC">
      <w:pPr>
        <w:spacing w:before="120" w:after="120"/>
        <w:jc w:val="both"/>
        <w:rPr>
          <w:lang w:eastAsia="ja-JP"/>
        </w:rPr>
      </w:pPr>
      <w:r w:rsidRPr="00E8358C">
        <w:rPr>
          <w:lang w:eastAsia="ja-JP"/>
        </w:rPr>
        <w:t>Le citoyen haïtien s’apprête toujours à rappeler que l’esclavage est fini en Haïti. Cette mémoire est importante pour déterminer la place de la liberté dans le comportement social des Haïtiens. Ils ne veulent plus revivre le passé esclavagiste pour ne pas causer une entorse à la valeur des sacrifices de leurs aïeux. Interrogeant Estimable, 76 ans, un paysan de Dessalines participant à notre enquête : « de quelle manière peux-tu t’identifier à un descendant d’esclave ? » Il répond en ces termes :</w:t>
      </w:r>
    </w:p>
    <w:p w:rsidR="004C50DC" w:rsidRDefault="004C50DC" w:rsidP="004C50DC">
      <w:pPr>
        <w:pStyle w:val="Citation0"/>
        <w:rPr>
          <w:lang w:eastAsia="ja-JP"/>
        </w:rPr>
      </w:pPr>
    </w:p>
    <w:p w:rsidR="004C50DC" w:rsidRPr="00E8358C" w:rsidRDefault="004C50DC" w:rsidP="004C50DC">
      <w:pPr>
        <w:pStyle w:val="Citation0"/>
        <w:rPr>
          <w:lang w:eastAsia="ja-JP"/>
        </w:rPr>
      </w:pPr>
      <w:r w:rsidRPr="00E8358C">
        <w:rPr>
          <w:lang w:eastAsia="ja-JP"/>
        </w:rPr>
        <w:t>Pou mwen, lesklavaj fini. Jodia m pa ka idantifye m a yon pitit pitit e</w:t>
      </w:r>
      <w:r w:rsidRPr="00E8358C">
        <w:rPr>
          <w:lang w:eastAsia="ja-JP"/>
        </w:rPr>
        <w:t>s</w:t>
      </w:r>
      <w:r w:rsidRPr="00E8358C">
        <w:rPr>
          <w:lang w:eastAsia="ja-JP"/>
        </w:rPr>
        <w:t>klav, se ta pa respekte memwa zanzèt nou yo, se komsi m ta vle bliye s</w:t>
      </w:r>
      <w:r w:rsidRPr="00E8358C">
        <w:rPr>
          <w:lang w:eastAsia="ja-JP"/>
        </w:rPr>
        <w:t>a</w:t>
      </w:r>
      <w:r w:rsidRPr="00E8358C">
        <w:rPr>
          <w:lang w:eastAsia="ja-JP"/>
        </w:rPr>
        <w:t xml:space="preserve">krifis yo te fè pou ba nou nasyon sa. Epi se t ap pase anba pye memwa tout ansyen esklav, vayan solda ki te bay lavi yo pou kite peyi sa pou nou. </w:t>
      </w:r>
    </w:p>
    <w:p w:rsidR="004C50DC" w:rsidRPr="00E8358C" w:rsidRDefault="004C50DC" w:rsidP="004C50DC">
      <w:pPr>
        <w:pStyle w:val="Citation0"/>
        <w:rPr>
          <w:lang w:eastAsia="ja-JP"/>
        </w:rPr>
      </w:pPr>
      <w:r w:rsidRPr="00E8358C">
        <w:t>[</w:t>
      </w:r>
      <w:r w:rsidRPr="00E8358C">
        <w:rPr>
          <w:lang w:eastAsia="ja-JP"/>
        </w:rPr>
        <w:t>Pour moi l’esclavage a été éradiqué. M’identifier à un descendant d’esclave aujourd’hui, c’est souiller la mémoire de nos aïeux. C’est vo</w:t>
      </w:r>
      <w:r w:rsidRPr="00E8358C">
        <w:rPr>
          <w:lang w:eastAsia="ja-JP"/>
        </w:rPr>
        <w:t>u</w:t>
      </w:r>
      <w:r w:rsidRPr="00E8358C">
        <w:rPr>
          <w:lang w:eastAsia="ja-JP"/>
        </w:rPr>
        <w:t>loir sous-estimer leur sacrifice pour nous construire une nation. Enfin, c’est profaner aussi les mémoires des anciens esclaves, ces valeureux  so</w:t>
      </w:r>
      <w:r w:rsidRPr="00E8358C">
        <w:rPr>
          <w:lang w:eastAsia="ja-JP"/>
        </w:rPr>
        <w:t>l</w:t>
      </w:r>
      <w:r w:rsidRPr="00E8358C">
        <w:rPr>
          <w:lang w:eastAsia="ja-JP"/>
        </w:rPr>
        <w:t>dats qui, au prix de leur vie, nous ont légué ce pays.</w:t>
      </w:r>
      <w:r w:rsidRPr="00E8358C">
        <w:t>]</w:t>
      </w:r>
    </w:p>
    <w:p w:rsidR="004C50DC" w:rsidRPr="00E8358C" w:rsidRDefault="004C50DC" w:rsidP="004C50DC">
      <w:pPr>
        <w:pStyle w:val="Citation0c"/>
      </w:pPr>
      <w:r w:rsidRPr="00E8358C">
        <w:t>(Estimable, entrevue, 24 mars 2013)</w:t>
      </w:r>
    </w:p>
    <w:p w:rsidR="004C50DC" w:rsidRDefault="004C50DC" w:rsidP="004C50DC">
      <w:pPr>
        <w:spacing w:before="120" w:after="120"/>
        <w:jc w:val="both"/>
      </w:pPr>
    </w:p>
    <w:p w:rsidR="004C50DC" w:rsidRDefault="004C50DC" w:rsidP="004C50DC">
      <w:pPr>
        <w:spacing w:before="120" w:after="120"/>
        <w:jc w:val="both"/>
      </w:pPr>
      <w:r>
        <w:t>[298]</w:t>
      </w:r>
    </w:p>
    <w:p w:rsidR="004C50DC" w:rsidRPr="00E8358C" w:rsidRDefault="004C50DC" w:rsidP="004C50DC">
      <w:pPr>
        <w:spacing w:before="120" w:after="120"/>
        <w:jc w:val="both"/>
      </w:pPr>
      <w:r w:rsidRPr="00E8358C">
        <w:t xml:space="preserve">La révolte des esclaves de 1791 semble être le point de départ de cette fierté qui aboutit à 1804. C’est l’époque des grandes batailles (Crête-à-Pierrot, la Butte Charrier, Vertières…). Vénite puise donc ses commentaires dans l’histoire du pays pour expliquer les origines de la fierté chez les Haïtiens. </w:t>
      </w:r>
    </w:p>
    <w:p w:rsidR="004C50DC" w:rsidRDefault="004C50DC" w:rsidP="004C50DC">
      <w:pPr>
        <w:pStyle w:val="Citation0"/>
      </w:pPr>
    </w:p>
    <w:p w:rsidR="004C50DC" w:rsidRPr="00E8358C" w:rsidRDefault="004C50DC" w:rsidP="004C50DC">
      <w:pPr>
        <w:pStyle w:val="Citation0"/>
      </w:pPr>
      <w:r w:rsidRPr="00E8358C">
        <w:t>Notre source de fierté se résume avec 1791, 1793, 1803 et 1804. Entre 1511 et 1790, à peu près, on dirait que la mémoire esclave s’est endormie – même si, par ailleurs,  elle se manifeste de manière inta</w:t>
      </w:r>
      <w:r w:rsidRPr="00E8358C">
        <w:t>n</w:t>
      </w:r>
      <w:r w:rsidRPr="00E8358C">
        <w:t>gible. Une quinzaine d’années… Le Bois Caïman… Les trois grandes batailles, la dernière surtout : Vertières. Tout ce qui a mené à l’indépendance fait e</w:t>
      </w:r>
      <w:r w:rsidRPr="00E8358C">
        <w:t>n</w:t>
      </w:r>
      <w:r w:rsidRPr="00E8358C">
        <w:t xml:space="preserve">core rêver. </w:t>
      </w:r>
    </w:p>
    <w:p w:rsidR="004C50DC" w:rsidRDefault="004C50DC" w:rsidP="004C50DC">
      <w:pPr>
        <w:pStyle w:val="Citation0c"/>
      </w:pPr>
      <w:r w:rsidRPr="00E8358C">
        <w:t xml:space="preserve">(Vénite, entrevue, 12 avril 2014) </w:t>
      </w:r>
    </w:p>
    <w:p w:rsidR="004C50DC" w:rsidRPr="00E8358C" w:rsidRDefault="004C50DC" w:rsidP="004C50DC">
      <w:pPr>
        <w:pStyle w:val="Citation0c"/>
      </w:pPr>
    </w:p>
    <w:p w:rsidR="004C50DC" w:rsidRPr="00E8358C" w:rsidRDefault="004C50DC" w:rsidP="004C50DC">
      <w:pPr>
        <w:spacing w:before="120" w:after="120"/>
        <w:jc w:val="both"/>
      </w:pPr>
      <w:r w:rsidRPr="00E8358C">
        <w:rPr>
          <w:lang w:eastAsia="ja-JP"/>
        </w:rPr>
        <w:t>Des historiens estiment la population des esclaves africains aux alentours de l’année 1789 – qui marque déjà le début des insurrections dans la colonie de Saint-Domingue – à plus de cinq cent mille escl</w:t>
      </w:r>
      <w:r w:rsidRPr="00E8358C">
        <w:rPr>
          <w:lang w:eastAsia="ja-JP"/>
        </w:rPr>
        <w:t>a</w:t>
      </w:r>
      <w:r w:rsidRPr="00E8358C">
        <w:rPr>
          <w:lang w:eastAsia="ja-JP"/>
        </w:rPr>
        <w:t>ves</w:t>
      </w:r>
      <w:r>
        <w:rPr>
          <w:lang w:eastAsia="ja-JP"/>
        </w:rPr>
        <w:t> </w:t>
      </w:r>
      <w:r>
        <w:rPr>
          <w:rStyle w:val="Appelnotedebasdep"/>
          <w:lang w:eastAsia="ja-JP"/>
        </w:rPr>
        <w:footnoteReference w:id="780"/>
      </w:r>
      <w:r w:rsidRPr="00E8358C">
        <w:rPr>
          <w:lang w:eastAsia="ja-JP"/>
        </w:rPr>
        <w:t>. Approximativement, la moitié de cette population avait disparu durant la guerre de l’Indépendance d’Haïti. Les chiffres démontrent que c’est l’un des rares pays du monde qui a vu la moitié de sa pop</w:t>
      </w:r>
      <w:r w:rsidRPr="00E8358C">
        <w:rPr>
          <w:lang w:eastAsia="ja-JP"/>
        </w:rPr>
        <w:t>u</w:t>
      </w:r>
      <w:r w:rsidRPr="00E8358C">
        <w:rPr>
          <w:lang w:eastAsia="ja-JP"/>
        </w:rPr>
        <w:t>lation disparaître au cours d’une guerre</w:t>
      </w:r>
      <w:r>
        <w:rPr>
          <w:lang w:eastAsia="ja-JP"/>
        </w:rPr>
        <w:t> </w:t>
      </w:r>
      <w:r>
        <w:rPr>
          <w:rStyle w:val="Appelnotedebasdep"/>
          <w:lang w:eastAsia="ja-JP"/>
        </w:rPr>
        <w:footnoteReference w:id="781"/>
      </w:r>
      <w:r w:rsidRPr="00E8358C">
        <w:rPr>
          <w:lang w:eastAsia="ja-JP"/>
        </w:rPr>
        <w:t>. Le prix du sang des comba</w:t>
      </w:r>
      <w:r w:rsidRPr="00E8358C">
        <w:rPr>
          <w:lang w:eastAsia="ja-JP"/>
        </w:rPr>
        <w:t>t</w:t>
      </w:r>
      <w:r w:rsidRPr="00E8358C">
        <w:rPr>
          <w:lang w:eastAsia="ja-JP"/>
        </w:rPr>
        <w:t>tants haïtiens a été considérable pour se débarrasser de l’image de l’esclave, de la vie de l’esclave et de la condition de l’esclave. Cette fière attitude du citoyen haïtien n’est pas tellement différente de celle de nombreux peuples qui interrogent leur passé historique. Le citoyen haïtien veut interroger l’époque de l’esclavage, se renseigner sur ses survivances sociales comme le font des historiens, des anthropologues et des chercheurs, mais rejette toute idée de s’identifier à un desce</w:t>
      </w:r>
      <w:r w:rsidRPr="00E8358C">
        <w:rPr>
          <w:lang w:eastAsia="ja-JP"/>
        </w:rPr>
        <w:t>n</w:t>
      </w:r>
      <w:r w:rsidRPr="00E8358C">
        <w:rPr>
          <w:lang w:eastAsia="ja-JP"/>
        </w:rPr>
        <w:t xml:space="preserve">dant d’esclave. </w:t>
      </w:r>
      <w:r w:rsidRPr="00E8358C">
        <w:t>Quelles sont les traces vivantes qui inspirent la m</w:t>
      </w:r>
      <w:r w:rsidRPr="00E8358C">
        <w:t>é</w:t>
      </w:r>
      <w:r w:rsidRPr="00E8358C">
        <w:t>moire de l’esclavage en Haïti ? Vénite, la professionnelle de la cult</w:t>
      </w:r>
      <w:r w:rsidRPr="00E8358C">
        <w:t>u</w:t>
      </w:r>
      <w:r w:rsidRPr="00E8358C">
        <w:t>re, décrit un ensemble de survivances qu’elle qualifie de patrimoine intangible qui continue à façonner la structure sociale haïtienne.</w:t>
      </w:r>
    </w:p>
    <w:p w:rsidR="004C50DC" w:rsidRDefault="004C50DC" w:rsidP="004C50DC">
      <w:pPr>
        <w:pStyle w:val="Citation0"/>
      </w:pPr>
    </w:p>
    <w:p w:rsidR="004C50DC" w:rsidRPr="00E8358C" w:rsidRDefault="004C50DC" w:rsidP="004C50DC">
      <w:pPr>
        <w:pStyle w:val="Citation0"/>
      </w:pPr>
      <w:r w:rsidRPr="00E8358C">
        <w:t>Patrimoine intangible (immatériel), le passé esclavagiste a laissé des s</w:t>
      </w:r>
      <w:r w:rsidRPr="00E8358C">
        <w:t>é</w:t>
      </w:r>
      <w:r w:rsidRPr="00E8358C">
        <w:t>quelles dans les rapports sociaux (homme-femme, adulte-enfant, petit-bourgeois-prolétaire, riche-pauvre, etc.). Des recherches sociol</w:t>
      </w:r>
      <w:r w:rsidRPr="00E8358C">
        <w:t>o</w:t>
      </w:r>
      <w:r w:rsidRPr="00E8358C">
        <w:t>giques sont nécessaires pour identifier tout cela. Il y a aussi l’important aspect a</w:t>
      </w:r>
      <w:r w:rsidRPr="00E8358C">
        <w:t>n</w:t>
      </w:r>
      <w:r w:rsidRPr="00E8358C">
        <w:t xml:space="preserve">tiesclavagiste, car en Haïti, le </w:t>
      </w:r>
      <w:r w:rsidRPr="00E8358C">
        <w:rPr>
          <w:i/>
        </w:rPr>
        <w:t>marronnage</w:t>
      </w:r>
      <w:r w:rsidRPr="00E8358C">
        <w:t xml:space="preserve"> a lai</w:t>
      </w:r>
      <w:r w:rsidRPr="00E8358C">
        <w:t>s</w:t>
      </w:r>
      <w:r w:rsidRPr="00E8358C">
        <w:t xml:space="preserve">sé autant de traces, sinon plus, dans la mémoire collective. Le rejet violent de l’esclavage est une particularité de notre société qui en est restée fortement marquée, de </w:t>
      </w:r>
      <w:r w:rsidRPr="00E8358C">
        <w:rPr>
          <w:i/>
        </w:rPr>
        <w:t>m</w:t>
      </w:r>
      <w:r w:rsidRPr="00E8358C">
        <w:rPr>
          <w:i/>
        </w:rPr>
        <w:t>a</w:t>
      </w:r>
      <w:r w:rsidRPr="00E8358C">
        <w:rPr>
          <w:i/>
        </w:rPr>
        <w:t>nière intangible</w:t>
      </w:r>
      <w:r w:rsidRPr="00E8358C">
        <w:t xml:space="preserve">. </w:t>
      </w:r>
    </w:p>
    <w:p w:rsidR="004C50DC" w:rsidRPr="00E8358C" w:rsidRDefault="004C50DC" w:rsidP="004C50DC">
      <w:pPr>
        <w:pStyle w:val="Citation0c"/>
      </w:pPr>
      <w:r w:rsidRPr="00E8358C">
        <w:t>(Vénite, entrevue, 12 avril 2014)</w:t>
      </w:r>
    </w:p>
    <w:p w:rsidR="004C50DC" w:rsidRDefault="004C50DC" w:rsidP="004C50DC">
      <w:pPr>
        <w:spacing w:before="120" w:after="120"/>
        <w:jc w:val="both"/>
        <w:rPr>
          <w:lang w:eastAsia="ja-JP"/>
        </w:rPr>
      </w:pPr>
    </w:p>
    <w:p w:rsidR="004C50DC" w:rsidRDefault="004C50DC" w:rsidP="004C50DC">
      <w:pPr>
        <w:spacing w:before="120" w:after="120"/>
        <w:jc w:val="both"/>
        <w:rPr>
          <w:lang w:eastAsia="ja-JP"/>
        </w:rPr>
      </w:pPr>
      <w:r>
        <w:rPr>
          <w:lang w:eastAsia="ja-JP"/>
        </w:rPr>
        <w:t>[299]</w:t>
      </w:r>
    </w:p>
    <w:p w:rsidR="004C50DC" w:rsidRDefault="004C50DC" w:rsidP="004C50DC">
      <w:pPr>
        <w:spacing w:before="120" w:after="120"/>
        <w:jc w:val="both"/>
        <w:rPr>
          <w:lang w:eastAsia="ja-JP"/>
        </w:rPr>
      </w:pPr>
      <w:r w:rsidRPr="00E8358C">
        <w:rPr>
          <w:lang w:eastAsia="ja-JP"/>
        </w:rPr>
        <w:t>On apprend de ces perceptions inspirées du réel haïtien d’aujourd’hui que les mémoires multiples de l’esclavage sont des composantes essentielles de la société. Le rejet et la non-identification à l’esclavage traduisent la volonté de toujours s’accrocher à l’idéal de la révolution haïtienne, à une mémoire épique qui ne permet pas de réfléchir aux problèmes du pays dans le présent. Le peuple haïtien semble vivre au passé. Son réflexe passéiste paralyse ses efforts pour continuer à faire d’autres révolutions aujourd’hui, politiques, écon</w:t>
      </w:r>
      <w:r w:rsidRPr="00E8358C">
        <w:rPr>
          <w:lang w:eastAsia="ja-JP"/>
        </w:rPr>
        <w:t>o</w:t>
      </w:r>
      <w:r w:rsidRPr="00E8358C">
        <w:rPr>
          <w:lang w:eastAsia="ja-JP"/>
        </w:rPr>
        <w:t>miques, cult</w:t>
      </w:r>
      <w:r>
        <w:rPr>
          <w:lang w:eastAsia="ja-JP"/>
        </w:rPr>
        <w:t>urelles et sociales celles-là.</w:t>
      </w:r>
    </w:p>
    <w:p w:rsidR="004C50DC" w:rsidRPr="00E8358C" w:rsidRDefault="004C50DC" w:rsidP="004C50DC">
      <w:pPr>
        <w:spacing w:before="120" w:after="120"/>
        <w:jc w:val="both"/>
        <w:rPr>
          <w:lang w:eastAsia="ja-JP"/>
        </w:rPr>
      </w:pPr>
    </w:p>
    <w:p w:rsidR="004C50DC" w:rsidRPr="003B38C0" w:rsidRDefault="004C50DC" w:rsidP="004C50DC">
      <w:pPr>
        <w:pStyle w:val="b"/>
      </w:pPr>
      <w:bookmarkStart w:id="364" w:name="_Toc406489703"/>
      <w:bookmarkStart w:id="365" w:name="_Toc423347343"/>
      <w:bookmarkStart w:id="366" w:name="_Toc442280525"/>
      <w:r w:rsidRPr="003B38C0">
        <w:t>L’évidence paysanne haïtienne</w:t>
      </w:r>
      <w:bookmarkEnd w:id="364"/>
      <w:bookmarkEnd w:id="365"/>
      <w:bookmarkEnd w:id="366"/>
    </w:p>
    <w:p w:rsidR="004C50DC" w:rsidRDefault="004C50DC" w:rsidP="004C50DC">
      <w:pPr>
        <w:spacing w:before="120" w:after="120"/>
        <w:jc w:val="both"/>
      </w:pPr>
    </w:p>
    <w:p w:rsidR="004C50DC" w:rsidRPr="00E8358C" w:rsidRDefault="004C50DC" w:rsidP="004C50DC">
      <w:pPr>
        <w:spacing w:before="120" w:after="120"/>
        <w:jc w:val="both"/>
      </w:pPr>
      <w:r w:rsidRPr="00E8358C">
        <w:t>L’affranchissement général des esclaves proclamé le 29 août 1793 à Saint-Domingue n’a pas permis aux anciens esclaves de se libérer totalement du système plantationnaire, esclavagiste. Les « Règlements de culture » adoptés successivement le 12 octobre 1800 et le 25 n</w:t>
      </w:r>
      <w:r w:rsidRPr="00E8358C">
        <w:t>o</w:t>
      </w:r>
      <w:r w:rsidRPr="00E8358C">
        <w:t>vembre 1801 accordent aux commandants militaires la gestion des terres et des cultures, et le plein pouvoir de punir les cultivateurs p</w:t>
      </w:r>
      <w:r w:rsidRPr="00E8358C">
        <w:t>a</w:t>
      </w:r>
      <w:r w:rsidRPr="00E8358C">
        <w:t>resseux. Vertus Saint-Louis relate en ce sens que :</w:t>
      </w:r>
    </w:p>
    <w:p w:rsidR="004C50DC" w:rsidRDefault="004C50DC" w:rsidP="004C50DC">
      <w:pPr>
        <w:pStyle w:val="Citation0"/>
      </w:pPr>
    </w:p>
    <w:p w:rsidR="004C50DC" w:rsidRDefault="004C50DC" w:rsidP="004C50DC">
      <w:pPr>
        <w:pStyle w:val="Citation0"/>
      </w:pPr>
      <w:r w:rsidRPr="00E8358C">
        <w:t>Les règlements font du commandant militaire un maître tout-puissant ; il surveille l’habitation, les grandes routes, les voies s</w:t>
      </w:r>
      <w:r w:rsidRPr="00E8358C">
        <w:t>e</w:t>
      </w:r>
      <w:r w:rsidRPr="00E8358C">
        <w:t>condaires, les gérants, les conducteurs, les cultivateurs ; il prête l’oreille pour détecter les moi</w:t>
      </w:r>
      <w:r w:rsidRPr="00E8358C">
        <w:t>n</w:t>
      </w:r>
      <w:r w:rsidRPr="00E8358C">
        <w:t>dres propos séditieux. Rien ne doit échapper à son œil vigilant de sentine</w:t>
      </w:r>
      <w:r w:rsidRPr="00E8358C">
        <w:t>l</w:t>
      </w:r>
      <w:r w:rsidRPr="00E8358C">
        <w:t>le en permanence d’un État omnipotent et omniscient. […] Il établit et d</w:t>
      </w:r>
      <w:r w:rsidRPr="00E8358C">
        <w:t>é</w:t>
      </w:r>
      <w:r w:rsidRPr="00E8358C">
        <w:t>termine la faute et se prononce sur le châtiment que lui-même exécute</w:t>
      </w:r>
      <w:r>
        <w:t> </w:t>
      </w:r>
      <w:r w:rsidRPr="00E8358C">
        <w:rPr>
          <w:rStyle w:val="Appelnotedebasdep"/>
          <w:szCs w:val="22"/>
        </w:rPr>
        <w:footnoteReference w:id="782"/>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Ces dispositions contraignantes et abusives avaient conduit les cultivateurs à se soulever contre Toussaint Louverture qui employait la manière forte pour contenir leur  mouvement</w:t>
      </w:r>
      <w:r w:rsidRPr="00E8358C">
        <w:rPr>
          <w:rStyle w:val="Appelnotedebasdep"/>
        </w:rPr>
        <w:footnoteReference w:id="783"/>
      </w:r>
      <w:r w:rsidRPr="00E8358C">
        <w:t>. Après l’Indépendance d’Haïti, les autorités se doivent de construire les i</w:t>
      </w:r>
      <w:r w:rsidRPr="00E8358C">
        <w:t>n</w:t>
      </w:r>
      <w:r w:rsidRPr="00E8358C">
        <w:t>frastructures de défense, de continuer à organiser les troupes militaires et de jeter les bases de l’économie nationale. Y avait-il un ordre autre que militaire ? La Constitution de 1805 en son article 9 dit : « Nul n’est digne d’être Haïtien, s’il n’est bon père, bon fils, bon époux, et surtout bon soldat ». Dans ce contexte, le tout nouveau paysan cont</w:t>
      </w:r>
      <w:r w:rsidRPr="00E8358C">
        <w:t>i</w:t>
      </w:r>
      <w:r w:rsidRPr="00E8358C">
        <w:t>nue à être</w:t>
      </w:r>
      <w:r>
        <w:t xml:space="preserve"> [300]</w:t>
      </w:r>
      <w:r w:rsidRPr="00E8358C">
        <w:t xml:space="preserve"> soldat et à construire des fortifications</w:t>
      </w:r>
      <w:r>
        <w:t> </w:t>
      </w:r>
      <w:r w:rsidRPr="00E8358C">
        <w:rPr>
          <w:rStyle w:val="Appelnotedebasdep"/>
        </w:rPr>
        <w:footnoteReference w:id="784"/>
      </w:r>
      <w:r w:rsidRPr="00E8358C">
        <w:t xml:space="preserve">. Faudrait-il, aujourd’hui, être bon militaire pour être bon Haïtien ? </w:t>
      </w:r>
    </w:p>
    <w:p w:rsidR="004C50DC" w:rsidRPr="00E8358C" w:rsidRDefault="004C50DC" w:rsidP="004C50DC">
      <w:pPr>
        <w:spacing w:before="120" w:after="120"/>
        <w:jc w:val="both"/>
      </w:pPr>
      <w:r w:rsidRPr="00E8358C">
        <w:t>Toutefois, le paysan haïtien est toujours astreint à travailler les te</w:t>
      </w:r>
      <w:r w:rsidRPr="00E8358C">
        <w:t>r</w:t>
      </w:r>
      <w:r w:rsidRPr="00E8358C">
        <w:t>res devenues propriétés du nouvel État, comme le précise Laënnec Hurbon.</w:t>
      </w:r>
    </w:p>
    <w:p w:rsidR="004C50DC" w:rsidRDefault="004C50DC" w:rsidP="004C50DC">
      <w:pPr>
        <w:pStyle w:val="Citation0"/>
      </w:pPr>
    </w:p>
    <w:p w:rsidR="004C50DC" w:rsidRDefault="004C50DC" w:rsidP="004C50DC">
      <w:pPr>
        <w:pStyle w:val="Citation0"/>
      </w:pPr>
      <w:r w:rsidRPr="00E8358C">
        <w:t>C’est depuis l’ancien esclave bossale, depuis la paysannerie, que le princ</w:t>
      </w:r>
      <w:r w:rsidRPr="00E8358C">
        <w:t>i</w:t>
      </w:r>
      <w:r w:rsidRPr="00E8358C">
        <w:t>pe fondateur de la société haïtienne, à savoir le refus de l’esclavage, trouve application et consistance. L’État haïtien, en r</w:t>
      </w:r>
      <w:r w:rsidRPr="00E8358C">
        <w:t>e</w:t>
      </w:r>
      <w:r w:rsidRPr="00E8358C">
        <w:t>vanche, aurait été d’abord la force de dissolution de ce principe, le retour même du hiérarchique qui a présidé aux structures de la société esclavagiste</w:t>
      </w:r>
      <w:r>
        <w:t> </w:t>
      </w:r>
      <w:r w:rsidRPr="00E8358C">
        <w:rPr>
          <w:rStyle w:val="Appelnotedebasdep"/>
          <w:szCs w:val="22"/>
        </w:rPr>
        <w:footnoteReference w:id="785"/>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Dès la création de la Nation, des dispositions ont été prises pour contraindre les paysans à rester dans les campagnes. Sous le règne de l’empereur Jean-Jacques Dessalines, nous rapporte Paul Moral, « la main-d’œuvre rurale est soumise à une discipline militaire impitoy</w:t>
      </w:r>
      <w:r w:rsidRPr="00E8358C">
        <w:t>a</w:t>
      </w:r>
      <w:r w:rsidRPr="00E8358C">
        <w:t>ble. Le marronnage des cultivateurs s’amplifie »</w:t>
      </w:r>
      <w:r>
        <w:t> </w:t>
      </w:r>
      <w:r w:rsidRPr="00E8358C">
        <w:rPr>
          <w:rStyle w:val="Appelnotedebasdep"/>
        </w:rPr>
        <w:footnoteReference w:id="786"/>
      </w:r>
      <w:r w:rsidRPr="00E8358C">
        <w:t>. Le recensement du 25 octobre 1804 constituait l’un des moyens d’identifier les hab</w:t>
      </w:r>
      <w:r w:rsidRPr="00E8358C">
        <w:t>i</w:t>
      </w:r>
      <w:r w:rsidRPr="00E8358C">
        <w:t>tants qui abandonnaient les campagnes pour venir vagabonder, disait-on, dans les villes. Le roi Henri Christophe avait instauré un régime féodal dans le nord d’Haïti après l’assassinat de Jean-Jacques Dessal</w:t>
      </w:r>
      <w:r w:rsidRPr="00E8358C">
        <w:t>i</w:t>
      </w:r>
      <w:r w:rsidRPr="00E8358C">
        <w:t xml:space="preserve">nes. Paul Moral commente la situation des paysans du royaume du Nord en ces termes :   </w:t>
      </w:r>
    </w:p>
    <w:p w:rsidR="004C50DC" w:rsidRDefault="004C50DC" w:rsidP="004C50DC">
      <w:pPr>
        <w:pStyle w:val="Citation0"/>
      </w:pPr>
    </w:p>
    <w:p w:rsidR="004C50DC" w:rsidRDefault="004C50DC" w:rsidP="004C50DC">
      <w:pPr>
        <w:pStyle w:val="Citation0"/>
      </w:pPr>
      <w:r w:rsidRPr="00E8358C">
        <w:t>La masse rurale qui a édifié la Citadelle Laferrière et le Palais Sans-souci est quasiment asservie, les principes d’habitations coloniales ont été r</w:t>
      </w:r>
      <w:r w:rsidRPr="00E8358C">
        <w:t>e</w:t>
      </w:r>
      <w:r w:rsidRPr="00E8358C">
        <w:t>constitués sous la direction de quelques feudataires, dignitaires du roya</w:t>
      </w:r>
      <w:r w:rsidRPr="00E8358C">
        <w:t>u</w:t>
      </w:r>
      <w:r w:rsidRPr="00E8358C">
        <w:t>me… Le caporalisme sévit dans les campagnes sous la surveillance de la cavalerie [du Royal Dahomey], formée de Noirs nouvellement introduits d’Afrique. La cloche, comme autrefois, ryt</w:t>
      </w:r>
      <w:r w:rsidRPr="00E8358C">
        <w:t>h</w:t>
      </w:r>
      <w:r w:rsidRPr="00E8358C">
        <w:t>me les travaux des ateliers… Les châtiments corporels et même la peine de mort punissent les réfracta</w:t>
      </w:r>
      <w:r w:rsidRPr="00E8358C">
        <w:t>i</w:t>
      </w:r>
      <w:r w:rsidRPr="00E8358C">
        <w:t>res et les marrons</w:t>
      </w:r>
      <w:r>
        <w:t> </w:t>
      </w:r>
      <w:r w:rsidRPr="00E8358C">
        <w:rPr>
          <w:rStyle w:val="Appelnotedebasdep"/>
          <w:szCs w:val="22"/>
        </w:rPr>
        <w:footnoteReference w:id="787"/>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Peut-on dire que les paysans n’ont jamais revendiqué ou défendu leurs droits et libertés ? À  première vue, il est difficile de comprendre certaines choses. Mais à la lumière des études réalisées sur les paysans, comme celles de Michel Hector, on se rend compte qu’il y a effectivement eu des mouvements de revendication, mais que ceux-ci n’ont pas eu les</w:t>
      </w:r>
      <w:r>
        <w:t xml:space="preserve"> [301]</w:t>
      </w:r>
      <w:r w:rsidRPr="00E8358C">
        <w:t xml:space="preserve"> résultats escomptés pour avoir été amorcés en collusion avec des politiciens qui les ont récupérés à leur profit.  </w:t>
      </w:r>
    </w:p>
    <w:p w:rsidR="004C50DC" w:rsidRPr="00E8358C" w:rsidRDefault="004C50DC" w:rsidP="004C50DC">
      <w:pPr>
        <w:spacing w:before="120" w:after="120"/>
        <w:jc w:val="both"/>
      </w:pPr>
      <w:r w:rsidRPr="00E8358C">
        <w:t>Thomas Madiou rapporte que les paysans du royaume du nord d’Haïti acceptaient les mauvais traitements du roi Henri Christophe parce qu’ils savaient, au moins, que le pays leur appartenait. Ils n’étaient plus à l’époque esclavagiste et un jour, ils pourraient renve</w:t>
      </w:r>
      <w:r w:rsidRPr="00E8358C">
        <w:t>r</w:t>
      </w:r>
      <w:r w:rsidRPr="00E8358C">
        <w:t>ser le souverain despotique. Les paysans se créaient alors des dime</w:t>
      </w:r>
      <w:r w:rsidRPr="00E8358C">
        <w:t>n</w:t>
      </w:r>
      <w:r w:rsidRPr="00E8358C">
        <w:t>sions mémorielles pour s’adapter aux contraintes du régime de Chri</w:t>
      </w:r>
      <w:r w:rsidRPr="00E8358C">
        <w:t>s</w:t>
      </w:r>
      <w:r w:rsidRPr="00E8358C">
        <w:t>tophe. Le manque d’études spécifiques sur les paysans haïtiens au XIX</w:t>
      </w:r>
      <w:r w:rsidRPr="00E8358C">
        <w:rPr>
          <w:vertAlign w:val="superscript"/>
        </w:rPr>
        <w:t>e</w:t>
      </w:r>
      <w:r w:rsidRPr="00E8358C">
        <w:t xml:space="preserve"> siècle laisse un vide dans la compréhension de leur monde, de leurs actions et de leurs pensées. Les recherches existantes sont ég</w:t>
      </w:r>
      <w:r w:rsidRPr="00E8358C">
        <w:t>a</w:t>
      </w:r>
      <w:r w:rsidRPr="00E8358C">
        <w:t>lement insuffisantes pour avancer que les paysans acceptaient ave</w:t>
      </w:r>
      <w:r w:rsidRPr="00E8358C">
        <w:t>u</w:t>
      </w:r>
      <w:r w:rsidRPr="00E8358C">
        <w:t xml:space="preserve">glément leur situation d’exploitation perpétuelle tout en subissant le mépris social. </w:t>
      </w:r>
    </w:p>
    <w:p w:rsidR="004C50DC" w:rsidRPr="00E8358C" w:rsidRDefault="004C50DC" w:rsidP="004C50DC">
      <w:pPr>
        <w:spacing w:before="120" w:after="120"/>
        <w:jc w:val="both"/>
      </w:pPr>
      <w:r w:rsidRPr="00E8358C">
        <w:t>Les paysans montrent qu’ils étaient dans une espèce de dynamique de sacrifice. Ils préféraient ces conditions à l’esclavage. Ils n’envisagèrent à aucun moment de remettre en question l’indépendance d’Haïti. C’est une autre forme de marronnage. Effe</w:t>
      </w:r>
      <w:r w:rsidRPr="00E8358C">
        <w:t>c</w:t>
      </w:r>
      <w:r w:rsidRPr="00E8358C">
        <w:t>tivement, la résistance revêt plusieurs figures et peut être mal ident</w:t>
      </w:r>
      <w:r w:rsidRPr="00E8358C">
        <w:t>i</w:t>
      </w:r>
      <w:r w:rsidRPr="00E8358C">
        <w:t>fiée dans les analyses. Il ne faut pas confondre les deux types de rési</w:t>
      </w:r>
      <w:r w:rsidRPr="00E8358C">
        <w:t>s</w:t>
      </w:r>
      <w:r w:rsidRPr="00E8358C">
        <w:t>tance, celle d’avant et celle d’après l’Indépendance, et pour l’aborder, il faut établir les faits dans leur temps.</w:t>
      </w:r>
    </w:p>
    <w:p w:rsidR="004C50DC" w:rsidRPr="00E8358C" w:rsidRDefault="004C50DC" w:rsidP="004C50DC">
      <w:pPr>
        <w:spacing w:before="120" w:after="120"/>
        <w:jc w:val="both"/>
      </w:pPr>
      <w:r w:rsidRPr="00E8358C">
        <w:t>Chez les paysans haïtiens, on dénote aussi une volonté de se con</w:t>
      </w:r>
      <w:r w:rsidRPr="00E8358C">
        <w:t>s</w:t>
      </w:r>
      <w:r w:rsidRPr="00E8358C">
        <w:t xml:space="preserve">truire un espace social. Ils ont su rétablir le système patriarcal que la migration forcée s’efforçait de contrecarrer à l’arrivée des esclaves à Saint-Domingue. La figure du père, chef suprême de la famille, est sauvegardée. On la voit dans le système de </w:t>
      </w:r>
      <w:r w:rsidRPr="00E8358C">
        <w:rPr>
          <w:i/>
        </w:rPr>
        <w:t xml:space="preserve">lakou, bitasyon </w:t>
      </w:r>
      <w:r w:rsidRPr="00E8358C">
        <w:t>(la cour, habitation) qui est le regroupement et l’occupation d’un même terrain par des membres d’une famille élargie. Après l’Indépendance, la r</w:t>
      </w:r>
      <w:r w:rsidRPr="00E8358C">
        <w:t>é</w:t>
      </w:r>
      <w:r w:rsidRPr="00E8358C">
        <w:t xml:space="preserve">sistance a eu son poids dans le développement de la solidarité et de l’entraide chez les individus. </w:t>
      </w:r>
    </w:p>
    <w:p w:rsidR="004C50DC" w:rsidRPr="00E8358C" w:rsidRDefault="004C50DC" w:rsidP="004C50DC">
      <w:pPr>
        <w:spacing w:before="120" w:after="120"/>
        <w:jc w:val="both"/>
      </w:pPr>
      <w:r w:rsidRPr="00E8358C">
        <w:t>La révolte d’Acaau en 1844, ce paysan qui réclamait des terres pour les siens, avait marqué le début d’une suite de luttes agraires. Bien que cette tentative de mouvement révolutionnaire n’ait pas abo</w:t>
      </w:r>
      <w:r w:rsidRPr="00E8358C">
        <w:t>u</w:t>
      </w:r>
      <w:r w:rsidRPr="00E8358C">
        <w:t>ti, elle reste très significative dans l’histoire de la lutte</w:t>
      </w:r>
      <w:r>
        <w:t xml:space="preserve"> [302]</w:t>
      </w:r>
      <w:r w:rsidRPr="00E8358C">
        <w:t xml:space="preserve"> paysanne haïtienne car, selon Rémy Bastien, « l’obstination des masses rurales sauva Haïti de la menace que représentait la grande propriété »</w:t>
      </w:r>
      <w:r>
        <w:t> </w:t>
      </w:r>
      <w:r w:rsidRPr="00E8358C">
        <w:rPr>
          <w:rStyle w:val="Appelnotedebasdep"/>
        </w:rPr>
        <w:footnoteReference w:id="788"/>
      </w:r>
      <w:r w:rsidRPr="00E8358C">
        <w:t>. Pour Elvius, 56 ans, professeur d’Université avec lequel nous nous sommes entretenu par Skype :</w:t>
      </w:r>
    </w:p>
    <w:p w:rsidR="004C50DC" w:rsidRDefault="004C50DC" w:rsidP="004C50DC">
      <w:pPr>
        <w:pStyle w:val="Citation0"/>
      </w:pPr>
    </w:p>
    <w:p w:rsidR="004C50DC" w:rsidRPr="00E8358C" w:rsidRDefault="004C50DC" w:rsidP="004C50DC">
      <w:pPr>
        <w:pStyle w:val="Citation0"/>
      </w:pPr>
      <w:r w:rsidRPr="00E8358C">
        <w:t>La transmission au niveau de la paysannerie peut s’expliquer dans son choix de conservation de certaines mémoires, pratiques ou objets en lien avec le passé colonial esclavagiste et de refus d’autres. C’est une situation qui est pareille dans toute société humaine. C’est impo</w:t>
      </w:r>
      <w:r w:rsidRPr="00E8358C">
        <w:t>r</w:t>
      </w:r>
      <w:r w:rsidRPr="00E8358C">
        <w:t>tant de mentionner que si les paysans ne gardent pas certains éléments mémoriels, rien ne donne non plus l’occasion de prêter le flanc à des critiques acerbes, ou e</w:t>
      </w:r>
      <w:r w:rsidRPr="00E8358C">
        <w:t>n</w:t>
      </w:r>
      <w:r w:rsidRPr="00E8358C">
        <w:t>core de dire qu’ils n’ont aucun sens du patr</w:t>
      </w:r>
      <w:r w:rsidRPr="00E8358C">
        <w:t>i</w:t>
      </w:r>
      <w:r w:rsidRPr="00E8358C">
        <w:t>moine. Durant les campagnes antisuperstitieuses, les paysans conse</w:t>
      </w:r>
      <w:r w:rsidRPr="00E8358C">
        <w:t>r</w:t>
      </w:r>
      <w:r w:rsidRPr="00E8358C">
        <w:t>vent une série d’objets de pratiques du vodou.Certains objets améri</w:t>
      </w:r>
      <w:r w:rsidRPr="00E8358C">
        <w:t>n</w:t>
      </w:r>
      <w:r w:rsidRPr="00E8358C">
        <w:t>diens taïnos ont été aussi conservés par les paysans. Le choix est conditionné selon le lieu ou la préférence utilita</w:t>
      </w:r>
      <w:r w:rsidRPr="00E8358C">
        <w:t>i</w:t>
      </w:r>
      <w:r w:rsidRPr="00E8358C">
        <w:t xml:space="preserve">re. </w:t>
      </w:r>
    </w:p>
    <w:p w:rsidR="004C50DC" w:rsidRDefault="004C50DC" w:rsidP="004C50DC">
      <w:pPr>
        <w:pStyle w:val="Citation0c"/>
      </w:pPr>
      <w:r w:rsidRPr="00E8358C">
        <w:t>(Elvius, entrevue, 11 novembre 2012)</w:t>
      </w:r>
    </w:p>
    <w:p w:rsidR="004C50DC" w:rsidRPr="00E8358C" w:rsidRDefault="004C50DC" w:rsidP="004C50DC">
      <w:pPr>
        <w:pStyle w:val="Citation0c"/>
      </w:pPr>
    </w:p>
    <w:p w:rsidR="004C50DC" w:rsidRPr="00E8358C" w:rsidRDefault="004C50DC" w:rsidP="004C50DC">
      <w:pPr>
        <w:spacing w:before="120" w:after="120"/>
        <w:jc w:val="both"/>
      </w:pPr>
      <w:r w:rsidRPr="00E8358C">
        <w:t>Rémy Bastien indique que les paysans haïtiens « conservent aussi certaines coutumes coloniales, notamment celles qui concernent la politesse »</w:t>
      </w:r>
      <w:r>
        <w:t> </w:t>
      </w:r>
      <w:r w:rsidRPr="00E8358C">
        <w:rPr>
          <w:rStyle w:val="Appelnotedebasdep"/>
        </w:rPr>
        <w:footnoteReference w:id="789"/>
      </w:r>
      <w:r w:rsidRPr="00E8358C">
        <w:t>. Dans toute société, il y a toujours des modes d’appropriation en fonction du passé. Le paysan haïtien s’est génér</w:t>
      </w:r>
      <w:r w:rsidRPr="00E8358C">
        <w:t>a</w:t>
      </w:r>
      <w:r w:rsidRPr="00E8358C">
        <w:t>lement inféodé au propriétaire des terres. On retrouve énormément de traces de structure agraire dans le créole haïtien. Par exemple, pour dire à quelqu’un qu’il est trop à l’aise quelque part, on lui demande : « eske se nan jaden mayi w ou vini ? » (pensez-vous être dans votre champ de maïs ?)  Ou bien « se pa nan jaden mayi w ou ye bò isit la » (ici, vous n’êtes pas dans votre champ de maïs). De nombreuses e</w:t>
      </w:r>
      <w:r w:rsidRPr="00E8358C">
        <w:t>x</w:t>
      </w:r>
      <w:r w:rsidRPr="00E8358C">
        <w:t>pressions en rapport avec la terre sont prononcées chaque jour en m</w:t>
      </w:r>
      <w:r w:rsidRPr="00E8358C">
        <w:t>i</w:t>
      </w:r>
      <w:r w:rsidRPr="00E8358C">
        <w:t xml:space="preserve">lieu paysan. L’espace des plantations et des jardins dans la conscience paysanne n’est toujours pas un espace environnemental libre. </w:t>
      </w:r>
    </w:p>
    <w:p w:rsidR="004C50DC" w:rsidRPr="00E8358C" w:rsidRDefault="004C50DC" w:rsidP="004C50DC">
      <w:pPr>
        <w:spacing w:before="120" w:after="120"/>
        <w:jc w:val="both"/>
        <w:rPr>
          <w:rStyle w:val="lev"/>
          <w:bCs/>
          <w:bdr w:val="none" w:sz="0" w:space="0" w:color="auto" w:frame="1"/>
        </w:rPr>
      </w:pPr>
      <w:r w:rsidRPr="00E8358C">
        <w:rPr>
          <w:lang w:eastAsia="ja-JP"/>
        </w:rPr>
        <w:t>La masse paysanne est confinée dans les mornes. Cette population est généralement appelée « moun mòn, moun andeyò » (gens des montagnes, gens en dehors). Elle vit en dehors des réalités sociales, urbaines et politiques du pays. Cette appellation explique bien qu’elle soit marginalisée, exploitée et exclue du processus de prise de déc</w:t>
      </w:r>
      <w:r w:rsidRPr="00E8358C">
        <w:rPr>
          <w:lang w:eastAsia="ja-JP"/>
        </w:rPr>
        <w:t>i</w:t>
      </w:r>
      <w:r w:rsidRPr="00E8358C">
        <w:rPr>
          <w:lang w:eastAsia="ja-JP"/>
        </w:rPr>
        <w:t xml:space="preserve">sion au niveau étatique. Elle est constituée des Haïtiens entièrement à part qui ne développent que des rapports de production et d’attachement avec la terre et les plantations. En ce sens, </w:t>
      </w:r>
      <w:r w:rsidRPr="00E8358C">
        <w:rPr>
          <w:rStyle w:val="lev"/>
          <w:b w:val="0"/>
          <w:bCs/>
          <w:bdr w:val="none" w:sz="0" w:space="0" w:color="auto" w:frame="1"/>
        </w:rPr>
        <w:t>Yves-Michel Thomas pense que :</w:t>
      </w:r>
    </w:p>
    <w:p w:rsidR="004C50DC" w:rsidRDefault="004C50DC" w:rsidP="004C50DC">
      <w:pPr>
        <w:pStyle w:val="Citation0"/>
        <w:rPr>
          <w:rStyle w:val="lev"/>
          <w:b w:val="0"/>
          <w:bCs/>
          <w:szCs w:val="22"/>
          <w:bdr w:val="none" w:sz="0" w:space="0" w:color="auto" w:frame="1"/>
        </w:rPr>
      </w:pPr>
    </w:p>
    <w:p w:rsidR="004C50DC" w:rsidRPr="00E8358C" w:rsidRDefault="004C50DC" w:rsidP="004C50DC">
      <w:pPr>
        <w:pStyle w:val="Citation0"/>
      </w:pPr>
      <w:r w:rsidRPr="00E8358C">
        <w:rPr>
          <w:rStyle w:val="lev"/>
          <w:b w:val="0"/>
          <w:bCs/>
          <w:szCs w:val="22"/>
          <w:bdr w:val="none" w:sz="0" w:space="0" w:color="auto" w:frame="1"/>
        </w:rPr>
        <w:t>N</w:t>
      </w:r>
      <w:r w:rsidRPr="00E8358C">
        <w:t>ombre de préjugés à l’encontre de la paysannerie persistent encore ma</w:t>
      </w:r>
      <w:r w:rsidRPr="00E8358C">
        <w:t>l</w:t>
      </w:r>
      <w:r w:rsidRPr="00E8358C">
        <w:t>gré le fait que celle-ci a payé et paie encore le prix fort de la libéralisation économique de ces</w:t>
      </w:r>
      <w:r>
        <w:t xml:space="preserve"> [303]</w:t>
      </w:r>
      <w:r w:rsidRPr="00E8358C">
        <w:t xml:space="preserve"> vingt dernières années. Avec la crise de l’économie paysanne, la migration vers les villes et la taille de la paysa</w:t>
      </w:r>
      <w:r w:rsidRPr="00E8358C">
        <w:t>n</w:t>
      </w:r>
      <w:r w:rsidRPr="00E8358C">
        <w:t>nerie dans la composition démographique tendent de plus en plus à se r</w:t>
      </w:r>
      <w:r w:rsidRPr="00E8358C">
        <w:t>é</w:t>
      </w:r>
      <w:r w:rsidRPr="00E8358C">
        <w:t>duire. Si, jusqu’en 1970, un peu plus de 80% de la popul</w:t>
      </w:r>
      <w:r w:rsidRPr="00E8358C">
        <w:t>a</w:t>
      </w:r>
      <w:r w:rsidRPr="00E8358C">
        <w:t>tion haïtienne était rurale, elle est actuellement urbaine à 47,8%</w:t>
      </w:r>
      <w:r>
        <w:t> </w:t>
      </w:r>
      <w:r>
        <w:rPr>
          <w:rStyle w:val="Appelnotedebasdep"/>
        </w:rPr>
        <w:footnoteReference w:id="790"/>
      </w:r>
      <w:r w:rsidRPr="00E8358C">
        <w:t xml:space="preserve">. </w:t>
      </w:r>
    </w:p>
    <w:p w:rsidR="004C50DC" w:rsidRDefault="004C50DC" w:rsidP="004C50DC">
      <w:pPr>
        <w:spacing w:before="120" w:after="120"/>
        <w:jc w:val="both"/>
      </w:pPr>
    </w:p>
    <w:p w:rsidR="004C50DC" w:rsidRPr="00E8358C" w:rsidRDefault="004C50DC" w:rsidP="004C50DC">
      <w:pPr>
        <w:spacing w:before="120" w:after="120"/>
        <w:jc w:val="both"/>
        <w:rPr>
          <w:bdr w:val="none" w:sz="0" w:space="0" w:color="auto" w:frame="1"/>
        </w:rPr>
      </w:pPr>
      <w:r w:rsidRPr="00E8358C">
        <w:t>Les paysans haïtiens sont livrés à eux-mêmes. Les autorités ha</w:t>
      </w:r>
      <w:r w:rsidRPr="00E8358C">
        <w:t>ï</w:t>
      </w:r>
      <w:r w:rsidRPr="00E8358C">
        <w:t xml:space="preserve">tiennes ont l’obligation sociale et politique de les traiter avec dignité et de mieux les mobiliser pour répondre aux défis du développement d’Haïti. C’est la même idée que développe </w:t>
      </w:r>
      <w:r w:rsidRPr="00E8358C">
        <w:rPr>
          <w:bdr w:val="none" w:sz="0" w:space="0" w:color="auto" w:frame="1"/>
        </w:rPr>
        <w:t>Paul Moral :</w:t>
      </w:r>
    </w:p>
    <w:p w:rsidR="004C50DC" w:rsidRDefault="004C50DC" w:rsidP="004C50DC">
      <w:pPr>
        <w:spacing w:before="120" w:after="120"/>
        <w:jc w:val="both"/>
        <w:rPr>
          <w:szCs w:val="22"/>
          <w:bdr w:val="none" w:sz="0" w:space="0" w:color="auto" w:frame="1"/>
        </w:rPr>
      </w:pPr>
    </w:p>
    <w:p w:rsidR="004C50DC" w:rsidRDefault="004C50DC" w:rsidP="004C50DC">
      <w:pPr>
        <w:pStyle w:val="Citation0"/>
        <w:rPr>
          <w:bdr w:val="none" w:sz="0" w:space="0" w:color="auto" w:frame="1"/>
        </w:rPr>
      </w:pPr>
      <w:r w:rsidRPr="00E8358C">
        <w:rPr>
          <w:bdr w:val="none" w:sz="0" w:space="0" w:color="auto" w:frame="1"/>
        </w:rPr>
        <w:t>Le salut d’Haïti se trouve encore dans ses campagnes si attachantes, si r</w:t>
      </w:r>
      <w:r w:rsidRPr="00E8358C">
        <w:rPr>
          <w:bdr w:val="none" w:sz="0" w:space="0" w:color="auto" w:frame="1"/>
        </w:rPr>
        <w:t>i</w:t>
      </w:r>
      <w:r w:rsidRPr="00E8358C">
        <w:rPr>
          <w:bdr w:val="none" w:sz="0" w:space="0" w:color="auto" w:frame="1"/>
        </w:rPr>
        <w:t>ches d’une humanité méconnue, accueillante par avance à tous les progrès. Mais il faut avant tout que ceux que les publicistes de la ville ont coutume d’appeler « nos frères des campagnes » soient appelés à participer larg</w:t>
      </w:r>
      <w:r w:rsidRPr="00E8358C">
        <w:rPr>
          <w:bdr w:val="none" w:sz="0" w:space="0" w:color="auto" w:frame="1"/>
        </w:rPr>
        <w:t>e</w:t>
      </w:r>
      <w:r w:rsidRPr="00E8358C">
        <w:rPr>
          <w:bdr w:val="none" w:sz="0" w:space="0" w:color="auto" w:frame="1"/>
        </w:rPr>
        <w:t>ment à l’activité nationale. Après avoir été les « cultivateurs » frustes, m</w:t>
      </w:r>
      <w:r w:rsidRPr="00E8358C">
        <w:rPr>
          <w:bdr w:val="none" w:sz="0" w:space="0" w:color="auto" w:frame="1"/>
        </w:rPr>
        <w:t>é</w:t>
      </w:r>
      <w:r w:rsidRPr="00E8358C">
        <w:rPr>
          <w:bdr w:val="none" w:sz="0" w:space="0" w:color="auto" w:frame="1"/>
        </w:rPr>
        <w:t>prisés et redoutés à la fois, de 1840, les bons et naïfs « habitants » de 1900 et les « nègres authentiques » de 1940, ils deviennent enfin les paysans de la terre haïtienne. C'est là que se trouve la seule vraie revanche sur le pa</w:t>
      </w:r>
      <w:r w:rsidRPr="00E8358C">
        <w:rPr>
          <w:bdr w:val="none" w:sz="0" w:space="0" w:color="auto" w:frame="1"/>
        </w:rPr>
        <w:t>s</w:t>
      </w:r>
      <w:r w:rsidRPr="00E8358C">
        <w:rPr>
          <w:bdr w:val="none" w:sz="0" w:space="0" w:color="auto" w:frame="1"/>
        </w:rPr>
        <w:t>sé. Et peut-être la chance ultime de la République d’Haïti</w:t>
      </w:r>
      <w:r>
        <w:rPr>
          <w:bdr w:val="none" w:sz="0" w:space="0" w:color="auto" w:frame="1"/>
        </w:rPr>
        <w:t> </w:t>
      </w:r>
      <w:r>
        <w:rPr>
          <w:rStyle w:val="Appelnotedebasdep"/>
          <w:bdr w:val="none" w:sz="0" w:space="0" w:color="auto" w:frame="1"/>
        </w:rPr>
        <w:footnoteReference w:id="791"/>
      </w:r>
      <w:r w:rsidRPr="00E8358C">
        <w:rPr>
          <w:bdr w:val="none" w:sz="0" w:space="0" w:color="auto" w:frame="1"/>
        </w:rPr>
        <w:t xml:space="preserve">. </w:t>
      </w:r>
    </w:p>
    <w:p w:rsidR="004C50DC" w:rsidRPr="00E8358C" w:rsidRDefault="004C50DC" w:rsidP="004C50DC">
      <w:pPr>
        <w:pStyle w:val="Citation0"/>
        <w:rPr>
          <w:bdr w:val="none" w:sz="0" w:space="0" w:color="auto" w:frame="1"/>
        </w:rPr>
      </w:pPr>
    </w:p>
    <w:p w:rsidR="004C50DC" w:rsidRDefault="004C50DC" w:rsidP="004C50DC">
      <w:pPr>
        <w:spacing w:before="120" w:after="120"/>
        <w:jc w:val="both"/>
        <w:rPr>
          <w:bdr w:val="none" w:sz="0" w:space="0" w:color="auto" w:frame="1"/>
        </w:rPr>
      </w:pPr>
      <w:r w:rsidRPr="00E8358C">
        <w:rPr>
          <w:bdr w:val="none" w:sz="0" w:space="0" w:color="auto" w:frame="1"/>
        </w:rPr>
        <w:t>Certes, l’économie nationale dépend en grande partie de la produ</w:t>
      </w:r>
      <w:r w:rsidRPr="00E8358C">
        <w:rPr>
          <w:bdr w:val="none" w:sz="0" w:space="0" w:color="auto" w:frame="1"/>
        </w:rPr>
        <w:t>c</w:t>
      </w:r>
      <w:r w:rsidRPr="00E8358C">
        <w:rPr>
          <w:bdr w:val="none" w:sz="0" w:space="0" w:color="auto" w:frame="1"/>
        </w:rPr>
        <w:t>tion agricole. Mais l’agriculture haïtienne jusqu’à présent n’a pas connu de révolution technique. De plus, le paysan qui constitue la fo</w:t>
      </w:r>
      <w:r w:rsidRPr="00E8358C">
        <w:rPr>
          <w:bdr w:val="none" w:sz="0" w:space="0" w:color="auto" w:frame="1"/>
        </w:rPr>
        <w:t>r</w:t>
      </w:r>
      <w:r w:rsidRPr="00E8358C">
        <w:rPr>
          <w:bdr w:val="none" w:sz="0" w:space="0" w:color="auto" w:frame="1"/>
        </w:rPr>
        <w:t>ce vive de cett</w:t>
      </w:r>
      <w:r>
        <w:rPr>
          <w:bdr w:val="none" w:sz="0" w:space="0" w:color="auto" w:frame="1"/>
        </w:rPr>
        <w:t>e production n’est pas encadré.</w:t>
      </w:r>
    </w:p>
    <w:p w:rsidR="004C50DC" w:rsidRPr="00E8358C" w:rsidRDefault="004C50DC" w:rsidP="004C50DC">
      <w:pPr>
        <w:spacing w:before="120" w:after="120"/>
        <w:jc w:val="both"/>
        <w:rPr>
          <w:bdr w:val="none" w:sz="0" w:space="0" w:color="auto" w:frame="1"/>
        </w:rPr>
      </w:pPr>
    </w:p>
    <w:p w:rsidR="004C50DC" w:rsidRPr="00E8358C" w:rsidRDefault="004C50DC" w:rsidP="004C50DC">
      <w:pPr>
        <w:pStyle w:val="b"/>
        <w:rPr>
          <w:b/>
          <w:lang w:eastAsia="ja-JP"/>
        </w:rPr>
      </w:pPr>
      <w:bookmarkStart w:id="367" w:name="_Toc423347344"/>
      <w:bookmarkStart w:id="368" w:name="_Toc442280526"/>
      <w:r w:rsidRPr="003B38C0">
        <w:rPr>
          <w:rStyle w:val="Titre2Car"/>
          <w:i w:val="0"/>
          <w:noProof w:val="0"/>
        </w:rPr>
        <w:t>La domesticité</w:t>
      </w:r>
      <w:bookmarkEnd w:id="367"/>
      <w:r w:rsidRPr="00E8358C">
        <w:rPr>
          <w:rStyle w:val="Titre2Car"/>
          <w:noProof w:val="0"/>
        </w:rPr>
        <w:t xml:space="preserve"> </w:t>
      </w:r>
      <w:r w:rsidRPr="003B38C0">
        <w:rPr>
          <w:lang w:eastAsia="ja-JP"/>
        </w:rPr>
        <w:t>infantile</w:t>
      </w:r>
      <w:bookmarkEnd w:id="368"/>
    </w:p>
    <w:p w:rsidR="004C50DC" w:rsidRDefault="004C50DC" w:rsidP="004C50DC">
      <w:pPr>
        <w:spacing w:before="120" w:after="120"/>
        <w:jc w:val="both"/>
      </w:pPr>
    </w:p>
    <w:p w:rsidR="004C50DC" w:rsidRPr="00E8358C" w:rsidRDefault="004C50DC" w:rsidP="004C50DC">
      <w:pPr>
        <w:spacing w:before="120" w:after="120"/>
        <w:jc w:val="both"/>
      </w:pPr>
      <w:r w:rsidRPr="00E8358C">
        <w:t>Le travail forcé et l’exploitation sexuelle des enfants existent de par le monde. Nous ne disposons pas de données statistiques sur le nombre d’enfants contraints à travailler et exploités sexuellement en Haïti. Nous n’avons pas assez d’éléments non plus pouvant confirmer qu’il y ait de l’exploitation sexuelle des enfants, faute d’étude spécif</w:t>
      </w:r>
      <w:r w:rsidRPr="00E8358C">
        <w:t>i</w:t>
      </w:r>
      <w:r w:rsidRPr="00E8358C">
        <w:t>que réalisée sur le sujet par le passé. La brigade de protection des m</w:t>
      </w:r>
      <w:r w:rsidRPr="00E8358C">
        <w:t>i</w:t>
      </w:r>
      <w:r w:rsidRPr="00E8358C">
        <w:t>neurs de la Police nationale d’Haïti, suite au tremblement de terre de 2010, avait alerté l’opinion nationale sur des cas d’exploitation sexue</w:t>
      </w:r>
      <w:r w:rsidRPr="00E8358C">
        <w:t>l</w:t>
      </w:r>
      <w:r w:rsidRPr="00E8358C">
        <w:t xml:space="preserve">le de nombreux enfants vulnérables. Elle voulait protéger les enfants contre les prédateurs sexuels et empêcher que cette mauvaise pratique se perpétue dans la société. </w:t>
      </w:r>
    </w:p>
    <w:p w:rsidR="004C50DC" w:rsidRPr="00E8358C" w:rsidRDefault="004C50DC" w:rsidP="004C50DC">
      <w:pPr>
        <w:spacing w:before="120" w:after="120"/>
        <w:jc w:val="both"/>
      </w:pPr>
      <w:r w:rsidRPr="00E8358C">
        <w:t>S’il existe un problème particulier qui intéresse notre recherche, c’est la situation des</w:t>
      </w:r>
      <w:r>
        <w:t xml:space="preserve"> [304]</w:t>
      </w:r>
      <w:r w:rsidRPr="00E8358C">
        <w:t xml:space="preserve"> enfants domestiques. En tant que pays issu du colonialisme, Haïti conserve encore cette pratique qui continue à façonner la société haïtienne. Elle touche particulièrement les enfants des familles pauvres et celles du monde paysan. Presque toutes les familles urbaines et de plus en plus les familles aisées des zones rur</w:t>
      </w:r>
      <w:r w:rsidRPr="00E8358C">
        <w:t>a</w:t>
      </w:r>
      <w:r w:rsidRPr="00E8358C">
        <w:t xml:space="preserve">les ont au moins un enfant domestique. </w:t>
      </w:r>
    </w:p>
    <w:p w:rsidR="004C50DC" w:rsidRPr="00E8358C" w:rsidRDefault="004C50DC" w:rsidP="004C50DC">
      <w:pPr>
        <w:spacing w:before="120" w:after="120"/>
        <w:jc w:val="both"/>
      </w:pPr>
      <w:r w:rsidRPr="00E8358C">
        <w:t>Parler des enfants en domesticité porte d’abord à réfléchir sur leur rôle dans les maisons où ils sont placés. Selon le Foyer Maurice Si</w:t>
      </w:r>
      <w:r w:rsidRPr="00E8358C">
        <w:t>x</w:t>
      </w:r>
      <w:r w:rsidRPr="00E8358C">
        <w:t>to</w:t>
      </w:r>
      <w:r>
        <w:t> </w:t>
      </w:r>
      <w:r>
        <w:rPr>
          <w:rStyle w:val="Appelnotedebasdep"/>
        </w:rPr>
        <w:footnoteReference w:id="792"/>
      </w:r>
      <w:r w:rsidRPr="00E8358C">
        <w:t xml:space="preserve">, la tâche d’un enfant domestique se résume à </w:t>
      </w:r>
    </w:p>
    <w:p w:rsidR="004C50DC" w:rsidRDefault="004C50DC" w:rsidP="004C50DC">
      <w:pPr>
        <w:pStyle w:val="Citation0"/>
      </w:pPr>
    </w:p>
    <w:p w:rsidR="004C50DC" w:rsidRDefault="004C50DC" w:rsidP="004C50DC">
      <w:pPr>
        <w:pStyle w:val="Citation0"/>
      </w:pPr>
      <w:r w:rsidRPr="00E8358C">
        <w:t>des corvées ménagères (nettoyage, lessive, préparation des repas, garde des enfants…). Il fait les courses et accomplit toutes les autres tâches r</w:t>
      </w:r>
      <w:r w:rsidRPr="00E8358C">
        <w:t>e</w:t>
      </w:r>
      <w:r w:rsidRPr="00E8358C">
        <w:t>quises par les parents d’accueil, ainsi que par les enfants et par toutes les autres personnes habitant à la maison. Ils accomplissent ces tâches théor</w:t>
      </w:r>
      <w:r w:rsidRPr="00E8358C">
        <w:t>i</w:t>
      </w:r>
      <w:r w:rsidRPr="00E8358C">
        <w:t xml:space="preserve">quement en échange de la nourriture, des vêtements, des soins de santé et de l’éducation… Les « restavèk » (rester avec) sont les premiers levés et les derniers couchés de la maison. Ils sont pour la plupart mal nourris, maltraités, battus, injuriés sans raison et servent de boucs émissaires aux autres personnes de la maison quand les choses vont mal. </w:t>
      </w:r>
    </w:p>
    <w:p w:rsidR="004C50DC" w:rsidRPr="00E8358C" w:rsidRDefault="004C50DC" w:rsidP="004C50DC">
      <w:pPr>
        <w:pStyle w:val="Citation0"/>
      </w:pPr>
    </w:p>
    <w:p w:rsidR="004C50DC" w:rsidRPr="00E8358C" w:rsidRDefault="004C50DC" w:rsidP="004C50DC">
      <w:pPr>
        <w:spacing w:before="120" w:after="120"/>
        <w:jc w:val="both"/>
        <w:rPr>
          <w:lang w:eastAsia="ja-JP"/>
        </w:rPr>
      </w:pPr>
      <w:r w:rsidRPr="00E8358C">
        <w:t>Le fouet est un outil de punition pour ces enfants</w:t>
      </w:r>
      <w:r>
        <w:t> </w:t>
      </w:r>
      <w:r>
        <w:rPr>
          <w:rStyle w:val="Appelnotedebasdep"/>
        </w:rPr>
        <w:footnoteReference w:id="793"/>
      </w:r>
      <w:r w:rsidRPr="00E8358C">
        <w:t xml:space="preserve">. Les pratiques de la domesticité infantile peuvent être </w:t>
      </w:r>
      <w:r w:rsidRPr="00E8358C">
        <w:rPr>
          <w:lang w:eastAsia="ja-JP"/>
        </w:rPr>
        <w:t>assimilables à certaines prat</w:t>
      </w:r>
      <w:r w:rsidRPr="00E8358C">
        <w:rPr>
          <w:lang w:eastAsia="ja-JP"/>
        </w:rPr>
        <w:t>i</w:t>
      </w:r>
      <w:r w:rsidRPr="00E8358C">
        <w:rPr>
          <w:lang w:eastAsia="ja-JP"/>
        </w:rPr>
        <w:t xml:space="preserve">ques </w:t>
      </w:r>
      <w:r w:rsidRPr="00E8358C">
        <w:t xml:space="preserve">coloniales </w:t>
      </w:r>
      <w:r w:rsidRPr="00E8358C">
        <w:rPr>
          <w:lang w:eastAsia="ja-JP"/>
        </w:rPr>
        <w:t>esclavagistes</w:t>
      </w:r>
      <w:r w:rsidRPr="00E8358C">
        <w:t>.Cependant, il faut être prudent pour ne pas faire d’amalgame avec le discours sur l’esclavage moderne, co</w:t>
      </w:r>
      <w:r w:rsidRPr="00E8358C">
        <w:t>m</w:t>
      </w:r>
      <w:r w:rsidRPr="00E8358C">
        <w:t xml:space="preserve">me le fait Rosa, 31 ans, habitant Port-au-Prince et militante des droits des enfants : </w:t>
      </w:r>
    </w:p>
    <w:p w:rsidR="004C50DC" w:rsidRDefault="004C50DC" w:rsidP="004C50DC">
      <w:pPr>
        <w:pStyle w:val="Citation0"/>
      </w:pPr>
    </w:p>
    <w:p w:rsidR="004C50DC" w:rsidRPr="00E8358C" w:rsidRDefault="004C50DC" w:rsidP="004C50DC">
      <w:pPr>
        <w:pStyle w:val="Citation0"/>
      </w:pPr>
      <w:r w:rsidRPr="00E8358C">
        <w:t>Le système de domesticité, en général, et l’exploitation des enfants en pa</w:t>
      </w:r>
      <w:r w:rsidRPr="00E8358C">
        <w:t>r</w:t>
      </w:r>
      <w:r w:rsidRPr="00E8358C">
        <w:t>ticulier</w:t>
      </w:r>
      <w:r w:rsidRPr="00E8358C">
        <w:rPr>
          <w:lang w:eastAsia="ja-JP"/>
        </w:rPr>
        <w:t xml:space="preserve"> sont des pratiques </w:t>
      </w:r>
      <w:r w:rsidRPr="00E8358C">
        <w:t xml:space="preserve">qui s’apparentent à l’esclavage. </w:t>
      </w:r>
    </w:p>
    <w:p w:rsidR="004C50DC" w:rsidRDefault="004C50DC" w:rsidP="004C50DC">
      <w:pPr>
        <w:pStyle w:val="Citation0c"/>
      </w:pPr>
      <w:r w:rsidRPr="00E8358C">
        <w:t>(Rosa, entrevue, 12 avril 2014) </w:t>
      </w:r>
    </w:p>
    <w:p w:rsidR="004C50DC" w:rsidRPr="00E8358C" w:rsidRDefault="004C50DC" w:rsidP="004C50DC">
      <w:pPr>
        <w:pStyle w:val="Citation0c"/>
      </w:pPr>
    </w:p>
    <w:p w:rsidR="004C50DC" w:rsidRPr="00E8358C" w:rsidRDefault="004C50DC" w:rsidP="004C50DC">
      <w:pPr>
        <w:spacing w:before="120" w:after="120"/>
        <w:jc w:val="both"/>
        <w:rPr>
          <w:bdr w:val="none" w:sz="0" w:space="0" w:color="auto" w:frame="1"/>
          <w:lang w:eastAsia="en-CA"/>
        </w:rPr>
      </w:pPr>
      <w:r w:rsidRPr="00E8358C">
        <w:rPr>
          <w:bdr w:val="none" w:sz="0" w:space="0" w:color="auto" w:frame="1"/>
          <w:lang w:eastAsia="en-CA"/>
        </w:rPr>
        <w:t>En 1984 et 1990, se sont tenues à Port-au-Prince deux conférences sur le travail des enfants domestiques en Haïti financées par l’UNICEF et ses partenaires (Save the Children, l’Organisation inte</w:t>
      </w:r>
      <w:r w:rsidRPr="00E8358C">
        <w:rPr>
          <w:bdr w:val="none" w:sz="0" w:space="0" w:color="auto" w:frame="1"/>
          <w:lang w:eastAsia="en-CA"/>
        </w:rPr>
        <w:t>r</w:t>
      </w:r>
      <w:r w:rsidRPr="00E8358C">
        <w:rPr>
          <w:bdr w:val="none" w:sz="0" w:space="0" w:color="auto" w:frame="1"/>
          <w:lang w:eastAsia="en-CA"/>
        </w:rPr>
        <w:t>nationale du Travail, World Vision) lors desquelles ces organismes  ont</w:t>
      </w:r>
      <w:r>
        <w:rPr>
          <w:bdr w:val="none" w:sz="0" w:space="0" w:color="auto" w:frame="1"/>
          <w:lang w:eastAsia="en-CA"/>
        </w:rPr>
        <w:t xml:space="preserve"> [305]</w:t>
      </w:r>
      <w:r w:rsidRPr="00E8358C">
        <w:rPr>
          <w:bdr w:val="none" w:sz="0" w:space="0" w:color="auto" w:frame="1"/>
          <w:lang w:eastAsia="en-CA"/>
        </w:rPr>
        <w:t xml:space="preserve"> condamné la domesticité des enfants et l’ont qualifiée d’esclavage</w:t>
      </w:r>
      <w:r>
        <w:rPr>
          <w:bdr w:val="none" w:sz="0" w:space="0" w:color="auto" w:frame="1"/>
          <w:lang w:eastAsia="en-CA"/>
        </w:rPr>
        <w:t> </w:t>
      </w:r>
      <w:r>
        <w:rPr>
          <w:rStyle w:val="Appelnotedebasdep"/>
          <w:bdr w:val="none" w:sz="0" w:space="0" w:color="auto" w:frame="1"/>
          <w:lang w:eastAsia="en-CA"/>
        </w:rPr>
        <w:footnoteReference w:id="794"/>
      </w:r>
      <w:r w:rsidRPr="00E8358C">
        <w:rPr>
          <w:bdr w:val="none" w:sz="0" w:space="0" w:color="auto" w:frame="1"/>
          <w:lang w:eastAsia="en-CA"/>
        </w:rPr>
        <w:t>. Depuis, i</w:t>
      </w:r>
      <w:r w:rsidRPr="00E8358C">
        <w:t>l y a eu une campagne médiatique pour faire comprendre que les enfants haïtiens sont en esclavage. L’anthropologue Thimothy Schwartz montre comment des organi</w:t>
      </w:r>
      <w:r w:rsidRPr="00E8358C">
        <w:t>s</w:t>
      </w:r>
      <w:r w:rsidRPr="00E8358C">
        <w:t xml:space="preserve">mes comme l’UNICEF et </w:t>
      </w:r>
      <w:r w:rsidRPr="00E8358C">
        <w:rPr>
          <w:bdr w:val="none" w:sz="0" w:space="0" w:color="auto" w:frame="1"/>
          <w:lang w:eastAsia="en-CA"/>
        </w:rPr>
        <w:t xml:space="preserve">Save the Children </w:t>
      </w:r>
      <w:r w:rsidRPr="00E8358C">
        <w:t>ont exagéré les inform</w:t>
      </w:r>
      <w:r w:rsidRPr="00E8358C">
        <w:t>a</w:t>
      </w:r>
      <w:r w:rsidRPr="00E8358C">
        <w:t>tions après le séisme du 12 janvier 2010. Ces informations ont été r</w:t>
      </w:r>
      <w:r w:rsidRPr="00E8358C">
        <w:t>e</w:t>
      </w:r>
      <w:r w:rsidRPr="00E8358C">
        <w:t xml:space="preserve">layées par la presse internationale pour porter le cas des enfants </w:t>
      </w:r>
      <w:r w:rsidRPr="00E8358C">
        <w:rPr>
          <w:bdr w:val="none" w:sz="0" w:space="0" w:color="auto" w:frame="1"/>
          <w:lang w:eastAsia="en-CA"/>
        </w:rPr>
        <w:t>ha</w:t>
      </w:r>
      <w:r w:rsidRPr="00E8358C">
        <w:rPr>
          <w:bdr w:val="none" w:sz="0" w:space="0" w:color="auto" w:frame="1"/>
          <w:lang w:eastAsia="en-CA"/>
        </w:rPr>
        <w:t>ï</w:t>
      </w:r>
      <w:r w:rsidRPr="00E8358C">
        <w:rPr>
          <w:bdr w:val="none" w:sz="0" w:space="0" w:color="auto" w:frame="1"/>
          <w:lang w:eastAsia="en-CA"/>
        </w:rPr>
        <w:t>tiens à des « dimensions apocalyptiques »</w:t>
      </w:r>
      <w:r>
        <w:rPr>
          <w:bdr w:val="none" w:sz="0" w:space="0" w:color="auto" w:frame="1"/>
          <w:lang w:eastAsia="en-CA"/>
        </w:rPr>
        <w:t> </w:t>
      </w:r>
      <w:r>
        <w:rPr>
          <w:rStyle w:val="Appelnotedebasdep"/>
          <w:bdr w:val="none" w:sz="0" w:space="0" w:color="auto" w:frame="1"/>
          <w:lang w:eastAsia="en-CA"/>
        </w:rPr>
        <w:footnoteReference w:id="795"/>
      </w:r>
      <w:r w:rsidRPr="00E8358C">
        <w:rPr>
          <w:bdr w:val="none" w:sz="0" w:space="0" w:color="auto" w:frame="1"/>
          <w:lang w:eastAsia="en-CA"/>
        </w:rPr>
        <w:t xml:space="preserve"> et pour sensibiliser et m</w:t>
      </w:r>
      <w:r w:rsidRPr="00E8358C">
        <w:rPr>
          <w:bdr w:val="none" w:sz="0" w:space="0" w:color="auto" w:frame="1"/>
          <w:lang w:eastAsia="en-CA"/>
        </w:rPr>
        <w:t>o</w:t>
      </w:r>
      <w:r w:rsidRPr="00E8358C">
        <w:rPr>
          <w:bdr w:val="none" w:sz="0" w:space="0" w:color="auto" w:frame="1"/>
          <w:lang w:eastAsia="en-CA"/>
        </w:rPr>
        <w:t>tiver les donateurs.</w:t>
      </w:r>
    </w:p>
    <w:p w:rsidR="004C50DC" w:rsidRPr="00E8358C" w:rsidRDefault="004C50DC" w:rsidP="004C50DC">
      <w:pPr>
        <w:spacing w:before="120" w:after="120"/>
        <w:jc w:val="both"/>
      </w:pPr>
      <w:r w:rsidRPr="00E8358C">
        <w:t>Certes, les familles d’accueil de l’enfant domestique bénéficient du laxisme des autorités compétentes, de la situation de précarité écon</w:t>
      </w:r>
      <w:r w:rsidRPr="00E8358C">
        <w:t>o</w:t>
      </w:r>
      <w:r w:rsidRPr="00E8358C">
        <w:t>mique des familles et de l’innocence des enfants pour en re</w:t>
      </w:r>
      <w:r w:rsidRPr="00E8358C">
        <w:rPr>
          <w:lang w:eastAsia="ja-JP"/>
        </w:rPr>
        <w:t xml:space="preserve">tirer les avantages de la domesticité, mais cette pratique d’exploitation </w:t>
      </w:r>
      <w:r w:rsidRPr="00E8358C">
        <w:t xml:space="preserve">est loin d’être l’esclavage qui caractérisait les colonies, notamment Saint-Domingue. Selon l’UNICEF, plus de </w:t>
      </w:r>
      <w:r w:rsidRPr="00E8358C">
        <w:rPr>
          <w:bdr w:val="none" w:sz="0" w:space="0" w:color="auto" w:frame="1"/>
          <w:lang w:eastAsia="en-CA"/>
        </w:rPr>
        <w:t>300 000</w:t>
      </w:r>
      <w:r>
        <w:rPr>
          <w:bdr w:val="none" w:sz="0" w:space="0" w:color="auto" w:frame="1"/>
          <w:lang w:eastAsia="en-CA"/>
        </w:rPr>
        <w:t> </w:t>
      </w:r>
      <w:r>
        <w:rPr>
          <w:rStyle w:val="Appelnotedebasdep"/>
          <w:bdr w:val="none" w:sz="0" w:space="0" w:color="auto" w:frame="1"/>
          <w:lang w:eastAsia="en-CA"/>
        </w:rPr>
        <w:footnoteReference w:id="796"/>
      </w:r>
      <w:r w:rsidRPr="00E8358C">
        <w:rPr>
          <w:bdr w:val="none" w:sz="0" w:space="0" w:color="auto" w:frame="1"/>
          <w:lang w:eastAsia="en-CA"/>
        </w:rPr>
        <w:t xml:space="preserve"> enfants sont </w:t>
      </w:r>
      <w:r w:rsidRPr="00E8358C">
        <w:t>en d</w:t>
      </w:r>
      <w:r w:rsidRPr="00E8358C">
        <w:t>o</w:t>
      </w:r>
      <w:r w:rsidRPr="00E8358C">
        <w:t>mesticité en Haïti. Ils sont âgés de cinq à treize ans, et ce sont pour la pl</w:t>
      </w:r>
      <w:r w:rsidRPr="00E8358C">
        <w:t>u</w:t>
      </w:r>
      <w:r w:rsidRPr="00E8358C">
        <w:t>part des fillettes. Ce chiffre inquiète. On ne saurait faire l’impasse sur les mots de Thimothy Schwartz : ce serait « </w:t>
      </w:r>
      <w:r w:rsidRPr="00E8358C">
        <w:rPr>
          <w:bdr w:val="none" w:sz="0" w:space="0" w:color="auto" w:frame="1"/>
          <w:lang w:eastAsia="en-CA"/>
        </w:rPr>
        <w:t>un comble pour ce pays ayant mené avec succès la première révolte d’esclaves du monde et ayant établi la première République noire »</w:t>
      </w:r>
      <w:r>
        <w:rPr>
          <w:bdr w:val="none" w:sz="0" w:space="0" w:color="auto" w:frame="1"/>
          <w:lang w:eastAsia="en-CA"/>
        </w:rPr>
        <w:t> </w:t>
      </w:r>
      <w:r>
        <w:rPr>
          <w:rStyle w:val="Appelnotedebasdep"/>
          <w:bdr w:val="none" w:sz="0" w:space="0" w:color="auto" w:frame="1"/>
          <w:lang w:eastAsia="en-CA"/>
        </w:rPr>
        <w:footnoteReference w:id="797"/>
      </w:r>
      <w:r w:rsidRPr="00E8358C">
        <w:rPr>
          <w:bdr w:val="none" w:sz="0" w:space="0" w:color="auto" w:frame="1"/>
          <w:lang w:eastAsia="en-CA"/>
        </w:rPr>
        <w:t xml:space="preserve">. </w:t>
      </w:r>
    </w:p>
    <w:p w:rsidR="004C50DC" w:rsidRPr="00E8358C" w:rsidRDefault="004C50DC" w:rsidP="004C50DC">
      <w:pPr>
        <w:spacing w:before="120" w:after="120"/>
        <w:jc w:val="both"/>
      </w:pPr>
      <w:r w:rsidRPr="00E8358C">
        <w:t>La Constitution de 1987 en son article 261 stipule que « tout enfant a droit à l’amour, à la compréhension et aux soins moraux et matériels de son père et de sa mère ». Haïti est aussi signataire de la Convention relative aux droits de l’enfant (20 novembre 1989) qui fait obligation aux États parties « d’assurer à l’enfant la protection et les soins néce</w:t>
      </w:r>
      <w:r w:rsidRPr="00E8358C">
        <w:t>s</w:t>
      </w:r>
      <w:r w:rsidRPr="00E8358C">
        <w:t>saires à son bien-être, compte tenu des droits et des devoirs de ses p</w:t>
      </w:r>
      <w:r w:rsidRPr="00E8358C">
        <w:t>a</w:t>
      </w:r>
      <w:r w:rsidRPr="00E8358C">
        <w:t>rents, de ses tuteurs ou des autres personnes légalement responsables de lui, et ils prennent à cette fin toutes les mesures législatives et a</w:t>
      </w:r>
      <w:r w:rsidRPr="00E8358C">
        <w:t>d</w:t>
      </w:r>
      <w:r w:rsidRPr="00E8358C">
        <w:t>ministratives appropriées » (article 3-2). Le juriste peut dire que</w:t>
      </w:r>
      <w:r>
        <w:t xml:space="preserve"> [306]</w:t>
      </w:r>
      <w:r w:rsidRPr="00E8358C">
        <w:t xml:space="preserve"> la loi haïtienne protège clairement les enfants. Maintenant, la dome</w:t>
      </w:r>
      <w:r w:rsidRPr="00E8358C">
        <w:t>s</w:t>
      </w:r>
      <w:r w:rsidRPr="00E8358C">
        <w:t>ticité infantile est-elle socialement tolérée et politiquement encour</w:t>
      </w:r>
      <w:r w:rsidRPr="00E8358C">
        <w:t>a</w:t>
      </w:r>
      <w:r w:rsidRPr="00E8358C">
        <w:t>gée ? C’est là où le bât blesse. Le combat s’annonce difficile, long et harassant. Devant le silence des hommes politiques et de la société civile, Rosa déclare :</w:t>
      </w:r>
    </w:p>
    <w:p w:rsidR="004C50DC" w:rsidRDefault="004C50DC" w:rsidP="004C50DC">
      <w:pPr>
        <w:spacing w:before="120" w:after="120"/>
        <w:jc w:val="both"/>
        <w:rPr>
          <w:szCs w:val="22"/>
        </w:rPr>
      </w:pPr>
    </w:p>
    <w:p w:rsidR="004C50DC" w:rsidRPr="00E8358C" w:rsidRDefault="004C50DC" w:rsidP="004C50DC">
      <w:pPr>
        <w:pStyle w:val="Citation0"/>
      </w:pPr>
      <w:r w:rsidRPr="00E8358C">
        <w:t>Pour la question de la domesticité, il faut qu’il y ait une dimension conj</w:t>
      </w:r>
      <w:r w:rsidRPr="00E8358C">
        <w:t>u</w:t>
      </w:r>
      <w:r w:rsidRPr="00E8358C">
        <w:t xml:space="preserve">guée citoyenne et politique avec la délimitation des droits pour éviter ces formes d’abus. </w:t>
      </w:r>
    </w:p>
    <w:p w:rsidR="004C50DC" w:rsidRPr="00E8358C" w:rsidRDefault="004C50DC" w:rsidP="004C50DC">
      <w:pPr>
        <w:pStyle w:val="Citation0c"/>
      </w:pPr>
      <w:r w:rsidRPr="00E8358C">
        <w:t>(Rosa, entrevue, 12 avril 2014)</w:t>
      </w:r>
    </w:p>
    <w:p w:rsidR="004C50DC" w:rsidRDefault="004C50DC" w:rsidP="004C50DC">
      <w:pPr>
        <w:spacing w:before="120" w:after="120"/>
        <w:jc w:val="both"/>
      </w:pPr>
    </w:p>
    <w:p w:rsidR="004C50DC" w:rsidRDefault="004C50DC" w:rsidP="004C50DC">
      <w:pPr>
        <w:spacing w:before="120" w:after="120"/>
        <w:jc w:val="both"/>
        <w:rPr>
          <w:lang w:eastAsia="ja-JP"/>
        </w:rPr>
      </w:pPr>
      <w:r w:rsidRPr="00E8358C">
        <w:t>À cette dimension, ne faut-il pas ajouter aussi la conscience soci</w:t>
      </w:r>
      <w:r w:rsidRPr="00E8358C">
        <w:t>a</w:t>
      </w:r>
      <w:r w:rsidRPr="00E8358C">
        <w:t>le ? Car le phénomène de la domesticité en Haïti est avant tout soci</w:t>
      </w:r>
      <w:r w:rsidRPr="00E8358C">
        <w:t>é</w:t>
      </w:r>
      <w:r w:rsidRPr="00E8358C">
        <w:t>tal. Avoir un enfant domestique signifie que le propriétaire de la ma</w:t>
      </w:r>
      <w:r w:rsidRPr="00E8358C">
        <w:t>i</w:t>
      </w:r>
      <w:r w:rsidRPr="00E8358C">
        <w:t>son a les moyens d’accueillir un « restavèk » et de profiter de son se</w:t>
      </w:r>
      <w:r w:rsidRPr="00E8358C">
        <w:t>r</w:t>
      </w:r>
      <w:r w:rsidRPr="00E8358C">
        <w:t>vice. C’est parfois un signe d’affirmation ou de mobilité sociale. C</w:t>
      </w:r>
      <w:r w:rsidRPr="00E8358C">
        <w:t>e</w:t>
      </w:r>
      <w:r w:rsidRPr="00E8358C">
        <w:t>pendant, il ne faut pas toujours se fier à cette apparence, car de no</w:t>
      </w:r>
      <w:r w:rsidRPr="00E8358C">
        <w:t>m</w:t>
      </w:r>
      <w:r w:rsidRPr="00E8358C">
        <w:t>breuses familles en situation précaire dans les grandes villes en Haïti accueillent au moins un enfant en domesticité. Q</w:t>
      </w:r>
      <w:r w:rsidRPr="00E8358C">
        <w:rPr>
          <w:lang w:eastAsia="ja-JP"/>
        </w:rPr>
        <w:t>uand on interroge le créole haïtien, on peut déceler facilement un refus de la domesticité, de l’attitude servile. Par exemple, si on veut insulter quelqu’un, il su</w:t>
      </w:r>
      <w:r w:rsidRPr="00E8358C">
        <w:rPr>
          <w:lang w:eastAsia="ja-JP"/>
        </w:rPr>
        <w:t>f</w:t>
      </w:r>
      <w:r w:rsidRPr="00E8358C">
        <w:rPr>
          <w:lang w:eastAsia="ja-JP"/>
        </w:rPr>
        <w:t xml:space="preserve">fit de lui dire « monchè ou se tchoul moun » (tu es un esclave), « ou se restavèk » (tu es un domestique). Les termes </w:t>
      </w:r>
      <w:r w:rsidRPr="00E8358C">
        <w:rPr>
          <w:i/>
          <w:lang w:eastAsia="ja-JP"/>
        </w:rPr>
        <w:t>tchoul</w:t>
      </w:r>
      <w:r w:rsidRPr="00E8358C">
        <w:rPr>
          <w:lang w:eastAsia="ja-JP"/>
        </w:rPr>
        <w:t xml:space="preserve"> et </w:t>
      </w:r>
      <w:r w:rsidRPr="00E8358C">
        <w:rPr>
          <w:i/>
          <w:lang w:eastAsia="ja-JP"/>
        </w:rPr>
        <w:t>restavèk</w:t>
      </w:r>
      <w:r>
        <w:rPr>
          <w:lang w:eastAsia="ja-JP"/>
        </w:rPr>
        <w:t xml:space="preserve"> sont très insultants.</w:t>
      </w:r>
    </w:p>
    <w:p w:rsidR="004C50DC" w:rsidRPr="00E8358C" w:rsidRDefault="004C50DC" w:rsidP="004C50DC">
      <w:pPr>
        <w:spacing w:before="120" w:after="120"/>
        <w:jc w:val="both"/>
        <w:rPr>
          <w:lang w:eastAsia="ja-JP"/>
        </w:rPr>
      </w:pPr>
    </w:p>
    <w:p w:rsidR="004C50DC" w:rsidRPr="003B38C0" w:rsidRDefault="004C50DC" w:rsidP="004C50DC">
      <w:pPr>
        <w:pStyle w:val="b"/>
      </w:pPr>
      <w:bookmarkStart w:id="369" w:name="_Toc406489704"/>
      <w:bookmarkStart w:id="370" w:name="_Toc423347345"/>
      <w:bookmarkStart w:id="371" w:name="_Toc442280527"/>
      <w:r w:rsidRPr="003B38C0">
        <w:t>La figure des femmes</w:t>
      </w:r>
      <w:bookmarkEnd w:id="369"/>
      <w:bookmarkEnd w:id="370"/>
      <w:bookmarkEnd w:id="371"/>
    </w:p>
    <w:p w:rsidR="004C50DC" w:rsidRDefault="004C50DC" w:rsidP="004C50DC">
      <w:pPr>
        <w:spacing w:before="120" w:after="120"/>
        <w:jc w:val="both"/>
      </w:pPr>
    </w:p>
    <w:p w:rsidR="004C50DC" w:rsidRPr="00E8358C" w:rsidRDefault="004C50DC" w:rsidP="004C50DC">
      <w:pPr>
        <w:spacing w:before="120" w:after="120"/>
        <w:jc w:val="both"/>
      </w:pPr>
      <w:r w:rsidRPr="00E8358C">
        <w:t>Dans la colonie de Saint-Domingue, les femmes esclaves étaient assujetties aux travaux des plantations comme les hommes, d’autres s’occupaient des tâches domestiques. Elles étaient aussi exploitées sexuellement par leurs maîtres ou par leurs représentants. Comme le souligne Moreau de Saint-Méry : « l’être entier de la mulâtresse est livré à la volupté, et le feu de cette déesse brûle dans son cœur pour ne s’éteindre qu’avec la vie »</w:t>
      </w:r>
      <w:r>
        <w:t> </w:t>
      </w:r>
      <w:r>
        <w:rPr>
          <w:rStyle w:val="Appelnotedebasdep"/>
        </w:rPr>
        <w:footnoteReference w:id="798"/>
      </w:r>
      <w:r w:rsidRPr="00E8358C">
        <w:t xml:space="preserve"> et « c’est donc réellement à l’état de cou</w:t>
      </w:r>
      <w:r w:rsidRPr="00E8358C">
        <w:t>r</w:t>
      </w:r>
      <w:r w:rsidRPr="00E8358C">
        <w:t>tisane que les mulâtresses sont presque condamnées, et elles y sont avec les femmes esclaves »</w:t>
      </w:r>
      <w:r>
        <w:t> </w:t>
      </w:r>
      <w:r>
        <w:rPr>
          <w:rStyle w:val="Appelnotedebasdep"/>
        </w:rPr>
        <w:footnoteReference w:id="799"/>
      </w:r>
      <w:r w:rsidRPr="00E8358C">
        <w:t xml:space="preserve">. </w:t>
      </w:r>
    </w:p>
    <w:p w:rsidR="004C50DC" w:rsidRPr="00E8358C" w:rsidRDefault="004C50DC" w:rsidP="004C50DC">
      <w:pPr>
        <w:spacing w:before="120" w:after="120"/>
        <w:jc w:val="both"/>
        <w:rPr>
          <w:lang w:eastAsia="ja-JP"/>
        </w:rPr>
      </w:pPr>
      <w:r w:rsidRPr="00E8358C">
        <w:rPr>
          <w:lang w:eastAsia="ja-JP"/>
        </w:rPr>
        <w:t>Les femmes ont joué un rôle important dans la guerre de l’indépendance haïtienne. Des</w:t>
      </w:r>
      <w:r>
        <w:rPr>
          <w:lang w:eastAsia="ja-JP"/>
        </w:rPr>
        <w:t xml:space="preserve"> [307]</w:t>
      </w:r>
      <w:r w:rsidRPr="00E8358C">
        <w:rPr>
          <w:lang w:eastAsia="ja-JP"/>
        </w:rPr>
        <w:t xml:space="preserve"> héroïnes comme Sanite Bélair</w:t>
      </w:r>
      <w:r>
        <w:rPr>
          <w:lang w:eastAsia="ja-JP"/>
        </w:rPr>
        <w:t> </w:t>
      </w:r>
      <w:r>
        <w:rPr>
          <w:rStyle w:val="Appelnotedebasdep"/>
          <w:lang w:eastAsia="ja-JP"/>
        </w:rPr>
        <w:footnoteReference w:id="800"/>
      </w:r>
      <w:r w:rsidRPr="00E8358C">
        <w:rPr>
          <w:lang w:eastAsia="ja-JP"/>
        </w:rPr>
        <w:t xml:space="preserve">, </w:t>
      </w:r>
      <w:r w:rsidRPr="00E8358C">
        <w:t>Marie</w:t>
      </w:r>
      <w:r w:rsidRPr="00E8358C">
        <w:rPr>
          <w:lang w:eastAsia="ja-JP"/>
        </w:rPr>
        <w:t xml:space="preserve"> Claire Heureuse</w:t>
      </w:r>
      <w:r w:rsidRPr="00E8358C">
        <w:t xml:space="preserve"> Félicité Bonheur Dessalines</w:t>
      </w:r>
      <w:r>
        <w:t> </w:t>
      </w:r>
      <w:r>
        <w:rPr>
          <w:rStyle w:val="Appelnotedebasdep"/>
        </w:rPr>
        <w:footnoteReference w:id="801"/>
      </w:r>
      <w:r w:rsidRPr="00E8358C">
        <w:rPr>
          <w:lang w:eastAsia="ja-JP"/>
        </w:rPr>
        <w:t xml:space="preserve">, </w:t>
      </w:r>
      <w:r w:rsidRPr="00E8358C">
        <w:t>Cécile Fat</w:t>
      </w:r>
      <w:r w:rsidRPr="00E8358C">
        <w:t>i</w:t>
      </w:r>
      <w:r w:rsidRPr="00E8358C">
        <w:t>man</w:t>
      </w:r>
      <w:r>
        <w:t> </w:t>
      </w:r>
      <w:r>
        <w:rPr>
          <w:rStyle w:val="Appelnotedebasdep"/>
        </w:rPr>
        <w:footnoteReference w:id="802"/>
      </w:r>
      <w:r w:rsidRPr="00E8358C">
        <w:t>,</w:t>
      </w:r>
      <w:r w:rsidRPr="00E8358C">
        <w:rPr>
          <w:lang w:eastAsia="ja-JP"/>
        </w:rPr>
        <w:t xml:space="preserve"> Catherine Flon</w:t>
      </w:r>
      <w:r>
        <w:rPr>
          <w:lang w:eastAsia="ja-JP"/>
        </w:rPr>
        <w:t> </w:t>
      </w:r>
      <w:r>
        <w:rPr>
          <w:rStyle w:val="Appelnotedebasdep"/>
          <w:lang w:eastAsia="ja-JP"/>
        </w:rPr>
        <w:footnoteReference w:id="803"/>
      </w:r>
      <w:r w:rsidRPr="00E8358C">
        <w:t>, Henriette St-Marc</w:t>
      </w:r>
      <w:r>
        <w:t> </w:t>
      </w:r>
      <w:r>
        <w:rPr>
          <w:rStyle w:val="Appelnotedebasdep"/>
        </w:rPr>
        <w:footnoteReference w:id="804"/>
      </w:r>
      <w:r>
        <w:t xml:space="preserve"> </w:t>
      </w:r>
      <w:r w:rsidRPr="00E8358C">
        <w:rPr>
          <w:lang w:eastAsia="ja-JP"/>
        </w:rPr>
        <w:t>et d’autres sont to</w:t>
      </w:r>
      <w:r w:rsidRPr="00E8358C">
        <w:rPr>
          <w:lang w:eastAsia="ja-JP"/>
        </w:rPr>
        <w:t>u</w:t>
      </w:r>
      <w:r w:rsidRPr="00E8358C">
        <w:rPr>
          <w:lang w:eastAsia="ja-JP"/>
        </w:rPr>
        <w:t>jours évoquées pour expliquer la participation de la gent féminine à la cré</w:t>
      </w:r>
      <w:r w:rsidRPr="00E8358C">
        <w:rPr>
          <w:lang w:eastAsia="ja-JP"/>
        </w:rPr>
        <w:t>a</w:t>
      </w:r>
      <w:r w:rsidRPr="00E8358C">
        <w:rPr>
          <w:lang w:eastAsia="ja-JP"/>
        </w:rPr>
        <w:t>tion de la République d’Haïti. Elles ont été des piliers de la libération de la c</w:t>
      </w:r>
      <w:r w:rsidRPr="00E8358C">
        <w:rPr>
          <w:lang w:eastAsia="ja-JP"/>
        </w:rPr>
        <w:t>o</w:t>
      </w:r>
      <w:r w:rsidRPr="00E8358C">
        <w:rPr>
          <w:lang w:eastAsia="ja-JP"/>
        </w:rPr>
        <w:t xml:space="preserve">lonie de Saint-Domingue. </w:t>
      </w:r>
    </w:p>
    <w:p w:rsidR="004C50DC" w:rsidRPr="00E8358C" w:rsidRDefault="004C50DC" w:rsidP="004C50DC">
      <w:pPr>
        <w:spacing w:before="120" w:after="120"/>
        <w:jc w:val="both"/>
        <w:rPr>
          <w:lang w:eastAsia="ja-JP"/>
        </w:rPr>
      </w:pPr>
      <w:r w:rsidRPr="00E8358C">
        <w:rPr>
          <w:lang w:eastAsia="ja-JP"/>
        </w:rPr>
        <w:t>L’univers social haïtien est attaché à la figure féminine.Dans l’imaginaire haïtien, les femmes assurent les fonctions de reprodu</w:t>
      </w:r>
      <w:r w:rsidRPr="00E8358C">
        <w:rPr>
          <w:lang w:eastAsia="ja-JP"/>
        </w:rPr>
        <w:t>c</w:t>
      </w:r>
      <w:r w:rsidRPr="00E8358C">
        <w:rPr>
          <w:lang w:eastAsia="ja-JP"/>
        </w:rPr>
        <w:t>tion et de gestion des foyers (</w:t>
      </w:r>
      <w:r w:rsidRPr="00E8358C">
        <w:rPr>
          <w:i/>
          <w:lang w:eastAsia="ja-JP"/>
        </w:rPr>
        <w:t>se poto mitan kay la</w:t>
      </w:r>
      <w:r w:rsidRPr="00E8358C">
        <w:rPr>
          <w:lang w:eastAsia="ja-JP"/>
        </w:rPr>
        <w:t>). Le paysage rural est fortement féminisé. Les femmes sont présentes dans les champs. Pour faire face à la situation de paupérisation d’Haïti, elles sont les premières à s’investir pour donner du souffle à l’économie nationale. L’art naïf haïtien fait d’elles les principales figures représentatives du quotidien. Elles sont sacralisées. Dans la mesure où un Haïtien veut insulter quelqu’un, il va directement à sa genèse, à ses origines, ou se réfère au passé de sa mère. Il faut que la mère soit irréprochable. To</w:t>
      </w:r>
      <w:r w:rsidRPr="00E8358C">
        <w:rPr>
          <w:lang w:eastAsia="ja-JP"/>
        </w:rPr>
        <w:t>u</w:t>
      </w:r>
      <w:r w:rsidRPr="00E8358C">
        <w:rPr>
          <w:lang w:eastAsia="ja-JP"/>
        </w:rPr>
        <w:t>tes ces considérations n’empêchent pas qu’elles soient parfois hum</w:t>
      </w:r>
      <w:r w:rsidRPr="00E8358C">
        <w:rPr>
          <w:lang w:eastAsia="ja-JP"/>
        </w:rPr>
        <w:t>i</w:t>
      </w:r>
      <w:r w:rsidRPr="00E8358C">
        <w:rPr>
          <w:lang w:eastAsia="ja-JP"/>
        </w:rPr>
        <w:t xml:space="preserve">liées et négligées dans leurs rapports avec certains hommes. Au regard de la société, le garçon est la figure du chef. </w:t>
      </w:r>
    </w:p>
    <w:p w:rsidR="004C50DC" w:rsidRPr="00E8358C" w:rsidRDefault="004C50DC" w:rsidP="004C50DC">
      <w:pPr>
        <w:spacing w:before="120" w:after="120"/>
        <w:jc w:val="both"/>
        <w:rPr>
          <w:lang w:eastAsia="ja-JP"/>
        </w:rPr>
      </w:pPr>
      <w:r w:rsidRPr="00E8358C">
        <w:rPr>
          <w:lang w:eastAsia="ja-JP"/>
        </w:rPr>
        <w:t>Le viol existe dans toutes les sociétés. Il ne faut pas le lier de façon systématique au passé colonial esclavagiste pour expliquer les actes de viol en Haïti. Le rapport de domination</w:t>
      </w:r>
      <w:r>
        <w:rPr>
          <w:lang w:eastAsia="ja-JP"/>
        </w:rPr>
        <w:t xml:space="preserve"> [308]</w:t>
      </w:r>
      <w:r w:rsidRPr="00E8358C">
        <w:rPr>
          <w:lang w:eastAsia="ja-JP"/>
        </w:rPr>
        <w:t xml:space="preserve"> entre le maître et l’esclave, plus loin entre le maître et la femme esclave, est un élément explicatif du comportement de l’homme haïtien face à la femme vi</w:t>
      </w:r>
      <w:r w:rsidRPr="00E8358C">
        <w:rPr>
          <w:lang w:eastAsia="ja-JP"/>
        </w:rPr>
        <w:t>o</w:t>
      </w:r>
      <w:r w:rsidRPr="00E8358C">
        <w:rPr>
          <w:lang w:eastAsia="ja-JP"/>
        </w:rPr>
        <w:t>lée. L’image de la femme propriété de l’homme est évidente. Le viol fut un élément caractéristique du système colonial esclavagiste. Laë</w:t>
      </w:r>
      <w:r w:rsidRPr="00E8358C">
        <w:rPr>
          <w:lang w:eastAsia="ja-JP"/>
        </w:rPr>
        <w:t>n</w:t>
      </w:r>
      <w:r w:rsidRPr="00E8358C">
        <w:rPr>
          <w:lang w:eastAsia="ja-JP"/>
        </w:rPr>
        <w:t xml:space="preserve">nec Hurbon rapporte que « dans la plupart des récits, les prêtres sont déclarés bandits, </w:t>
      </w:r>
      <w:r w:rsidRPr="00E8358C">
        <w:rPr>
          <w:i/>
          <w:lang w:eastAsia="ja-JP"/>
        </w:rPr>
        <w:t>scélérats</w:t>
      </w:r>
      <w:r w:rsidRPr="00E8358C">
        <w:rPr>
          <w:lang w:eastAsia="ja-JP"/>
        </w:rPr>
        <w:t xml:space="preserve"> ou </w:t>
      </w:r>
      <w:r w:rsidRPr="00E8358C">
        <w:rPr>
          <w:i/>
          <w:lang w:eastAsia="ja-JP"/>
        </w:rPr>
        <w:t>barbares</w:t>
      </w:r>
      <w:r w:rsidRPr="00E8358C">
        <w:rPr>
          <w:lang w:eastAsia="ja-JP"/>
        </w:rPr>
        <w:t xml:space="preserve"> parce qu’ils auraient poussé les esclaves aux crimes, aux viols des </w:t>
      </w:r>
      <w:r w:rsidRPr="00E8358C">
        <w:rPr>
          <w:i/>
          <w:lang w:eastAsia="ja-JP"/>
        </w:rPr>
        <w:t>femmes blanches</w:t>
      </w:r>
      <w:r w:rsidRPr="00E8358C">
        <w:rPr>
          <w:lang w:eastAsia="ja-JP"/>
        </w:rPr>
        <w:t>... »</w:t>
      </w:r>
      <w:r>
        <w:rPr>
          <w:lang w:eastAsia="ja-JP"/>
        </w:rPr>
        <w:t> </w:t>
      </w:r>
      <w:r>
        <w:rPr>
          <w:rStyle w:val="Appelnotedebasdep"/>
          <w:lang w:eastAsia="ja-JP"/>
        </w:rPr>
        <w:footnoteReference w:id="805"/>
      </w:r>
      <w:r w:rsidRPr="00E8358C">
        <w:rPr>
          <w:lang w:eastAsia="ja-JP"/>
        </w:rPr>
        <w:t>. Les e</w:t>
      </w:r>
      <w:r w:rsidRPr="00E8358C">
        <w:rPr>
          <w:lang w:eastAsia="ja-JP"/>
        </w:rPr>
        <w:t>s</w:t>
      </w:r>
      <w:r w:rsidRPr="00E8358C">
        <w:rPr>
          <w:lang w:eastAsia="ja-JP"/>
        </w:rPr>
        <w:t>claves en général, les femmes en particulier, endurent des sévices : humiliations, coups, viols...</w:t>
      </w:r>
      <w:r>
        <w:rPr>
          <w:lang w:eastAsia="ja-JP"/>
        </w:rPr>
        <w:t> </w:t>
      </w:r>
      <w:r>
        <w:rPr>
          <w:rStyle w:val="Appelnotedebasdep"/>
          <w:lang w:eastAsia="ja-JP"/>
        </w:rPr>
        <w:footnoteReference w:id="806"/>
      </w:r>
      <w:r w:rsidRPr="00E8358C">
        <w:rPr>
          <w:lang w:eastAsia="ja-JP"/>
        </w:rPr>
        <w:t>. Le viol était donc une arme à double exercice dans la colonie de Saint-Domingue. Pour le colon, il fait fonction d’exercice d’autorité, de domination. Pour l’esclave, c’est un acte de haine et de vengeance. Les maîtres faisaient parfois engrosser les Négresses par d’autres esclaves noirs considérés comme de vérit</w:t>
      </w:r>
      <w:r w:rsidRPr="00E8358C">
        <w:rPr>
          <w:lang w:eastAsia="ja-JP"/>
        </w:rPr>
        <w:t>a</w:t>
      </w:r>
      <w:r w:rsidRPr="00E8358C">
        <w:rPr>
          <w:lang w:eastAsia="ja-JP"/>
        </w:rPr>
        <w:t xml:space="preserve">bles étalons pour obtenir des esclaves robustes indispensables à la production. </w:t>
      </w:r>
      <w:r w:rsidRPr="00E8358C">
        <w:t>Elles constituaient alors les principales sources de reno</w:t>
      </w:r>
      <w:r w:rsidRPr="00E8358C">
        <w:t>u</w:t>
      </w:r>
      <w:r w:rsidRPr="00E8358C">
        <w:t>vellement de la traite par natalité selon les vœux des planteurs</w:t>
      </w:r>
      <w:r>
        <w:t> </w:t>
      </w:r>
      <w:r>
        <w:rPr>
          <w:rStyle w:val="Appelnotedebasdep"/>
        </w:rPr>
        <w:footnoteReference w:id="807"/>
      </w:r>
      <w:r w:rsidRPr="00E8358C">
        <w:t xml:space="preserve">. </w:t>
      </w:r>
      <w:r w:rsidRPr="00E8358C">
        <w:rPr>
          <w:lang w:eastAsia="ja-JP"/>
        </w:rPr>
        <w:t>C’était une économie domestique tragique, qui faisait partie même du fonctionnement de la production d’esclaves. Quoiqu’il en soit, le viol reste une violence, un acte de délinquance, un acte de déshumanis</w:t>
      </w:r>
      <w:r w:rsidRPr="00E8358C">
        <w:rPr>
          <w:lang w:eastAsia="ja-JP"/>
        </w:rPr>
        <w:t>a</w:t>
      </w:r>
      <w:r w:rsidRPr="00E8358C">
        <w:rPr>
          <w:lang w:eastAsia="ja-JP"/>
        </w:rPr>
        <w:t>tion et d’atteinte à l’intégrité de la femme.</w:t>
      </w:r>
    </w:p>
    <w:p w:rsidR="004C50DC" w:rsidRDefault="004C50DC" w:rsidP="004C50DC">
      <w:pPr>
        <w:spacing w:before="120" w:after="120"/>
        <w:jc w:val="both"/>
        <w:rPr>
          <w:lang w:eastAsia="ja-JP"/>
        </w:rPr>
      </w:pPr>
      <w:r w:rsidRPr="00E8358C">
        <w:rPr>
          <w:lang w:eastAsia="ja-JP"/>
        </w:rPr>
        <w:t>Dans les mœurs populaires, cette attitude de prédateur vis-à-vis des femmes existe encore. Est-ce une transmission inconsciente de la femme esclave vue comme objet sexuel du maître ? Maintenant, qu</w:t>
      </w:r>
      <w:r w:rsidRPr="00E8358C">
        <w:rPr>
          <w:lang w:eastAsia="ja-JP"/>
        </w:rPr>
        <w:t>i</w:t>
      </w:r>
      <w:r w:rsidRPr="00E8358C">
        <w:rPr>
          <w:lang w:eastAsia="ja-JP"/>
        </w:rPr>
        <w:t xml:space="preserve">conque a une certaine autorité pense pouvoir se servir d’une femme. Dans l’expression « misye kenbe yon ti fanm » (ce monsieur a violé une femme) pour expliquer le viol en créole haïtien, on voit ressortir le mot « kenbe » qui signifie « prendre ». Dans le récit « Zoune chez sa </w:t>
      </w:r>
      <w:r w:rsidRPr="00E8358C">
        <w:t>ninnaine », Justin Lhérisson,</w:t>
      </w:r>
      <w:r w:rsidRPr="00E8358C">
        <w:rPr>
          <w:lang w:eastAsia="ja-JP"/>
        </w:rPr>
        <w:t xml:space="preserve"> explique le viol en milieu urbain à travers le personnage de Cadet Jacques, un  militaire entreprenant, un colonel, qui a abusé de son pouvoir pour violer Zoune. Le rapport d</w:t>
      </w:r>
      <w:r w:rsidRPr="00E8358C">
        <w:rPr>
          <w:lang w:eastAsia="ja-JP"/>
        </w:rPr>
        <w:t>i</w:t>
      </w:r>
      <w:r w:rsidRPr="00E8358C">
        <w:rPr>
          <w:lang w:eastAsia="ja-JP"/>
        </w:rPr>
        <w:t>rect entre le pouvoir et l’acte de viol rappelle une pratique esclavagi</w:t>
      </w:r>
      <w:r w:rsidRPr="00E8358C">
        <w:rPr>
          <w:lang w:eastAsia="ja-JP"/>
        </w:rPr>
        <w:t>s</w:t>
      </w:r>
      <w:r w:rsidRPr="00E8358C">
        <w:rPr>
          <w:lang w:eastAsia="ja-JP"/>
        </w:rPr>
        <w:t>te. Que ce soit le « kenbe » ou le « kadejak », dans les deux cas, il y a appropriation abusive de la femme haïtienne. Andrise, 35 ans, une m</w:t>
      </w:r>
      <w:r w:rsidRPr="00E8358C">
        <w:rPr>
          <w:lang w:eastAsia="ja-JP"/>
        </w:rPr>
        <w:t>i</w:t>
      </w:r>
      <w:r w:rsidRPr="00E8358C">
        <w:rPr>
          <w:lang w:eastAsia="ja-JP"/>
        </w:rPr>
        <w:t>litante des droits des femmes rencontrée à Port-au-Prince, s’indigne de cette attitude complice des autorités judiciaires encore réticentes à rendre justice aux femmes victimes.</w:t>
      </w:r>
    </w:p>
    <w:p w:rsidR="004C50DC" w:rsidRPr="00E8358C" w:rsidRDefault="004C50DC" w:rsidP="004C50DC">
      <w:pPr>
        <w:spacing w:before="120" w:after="120"/>
        <w:jc w:val="both"/>
        <w:rPr>
          <w:lang w:eastAsia="ja-JP"/>
        </w:rPr>
      </w:pPr>
      <w:r>
        <w:rPr>
          <w:lang w:eastAsia="ja-JP"/>
        </w:rPr>
        <w:t>[309]</w:t>
      </w:r>
    </w:p>
    <w:p w:rsidR="004C50DC" w:rsidRDefault="004C50DC" w:rsidP="004C50DC">
      <w:pPr>
        <w:pStyle w:val="Citation0"/>
        <w:rPr>
          <w:lang w:eastAsia="ja-JP"/>
        </w:rPr>
      </w:pPr>
    </w:p>
    <w:p w:rsidR="004C50DC" w:rsidRPr="00E8358C" w:rsidRDefault="004C50DC" w:rsidP="004C50DC">
      <w:pPr>
        <w:pStyle w:val="Citation0"/>
        <w:rPr>
          <w:lang w:eastAsia="ja-JP"/>
        </w:rPr>
      </w:pPr>
      <w:r w:rsidRPr="00E8358C">
        <w:rPr>
          <w:lang w:eastAsia="ja-JP"/>
        </w:rPr>
        <w:t>La question du viol a toujours été posée dans notre société bien qu’on n’ait jamais eu de résultats satisfaisants dans le combat pour le freiner total</w:t>
      </w:r>
      <w:r w:rsidRPr="00E8358C">
        <w:rPr>
          <w:lang w:eastAsia="ja-JP"/>
        </w:rPr>
        <w:t>e</w:t>
      </w:r>
      <w:r w:rsidRPr="00E8358C">
        <w:rPr>
          <w:lang w:eastAsia="ja-JP"/>
        </w:rPr>
        <w:t>ment. C’est un outil souvent utilisé par les hommes et les détenteurs du pouvoir économique, politique et social pour dominer les femmes. Cette domination est très présente dans les rapports fe</w:t>
      </w:r>
      <w:r w:rsidRPr="00E8358C">
        <w:rPr>
          <w:lang w:eastAsia="ja-JP"/>
        </w:rPr>
        <w:t>m</w:t>
      </w:r>
      <w:r w:rsidRPr="00E8358C">
        <w:rPr>
          <w:lang w:eastAsia="ja-JP"/>
        </w:rPr>
        <w:t>me/homme et transférée dans le milieu du travail. Elle ne date pas a</w:t>
      </w:r>
      <w:r w:rsidRPr="00E8358C">
        <w:rPr>
          <w:lang w:eastAsia="ja-JP"/>
        </w:rPr>
        <w:t>u</w:t>
      </w:r>
      <w:r w:rsidRPr="00E8358C">
        <w:rPr>
          <w:lang w:eastAsia="ja-JP"/>
        </w:rPr>
        <w:t>jourd’hui. La violence faite aux femmes est un acte social pour les contraindre à accepter leur état de dominées. La société la cautionne par son silence. Nous vivons dans une société fortement marquée par un passé colonial toujours en reproduction. Il faut qu’il y ait toujours un groupe à dominer. De nombreuses femmes ont élevé la voix pour dénoncer cet état. Les organisations des droits des femmes sont d</w:t>
      </w:r>
      <w:r w:rsidRPr="00E8358C">
        <w:rPr>
          <w:lang w:eastAsia="ja-JP"/>
        </w:rPr>
        <w:t>é</w:t>
      </w:r>
      <w:r w:rsidRPr="00E8358C">
        <w:rPr>
          <w:lang w:eastAsia="ja-JP"/>
        </w:rPr>
        <w:t xml:space="preserve">terminées à poursuivre la lutte comme les héroïnes de l’indépendance : Sanite Bélair, Catherine Flon et autres.  </w:t>
      </w:r>
    </w:p>
    <w:p w:rsidR="004C50DC" w:rsidRPr="00E8358C" w:rsidRDefault="004C50DC" w:rsidP="004C50DC">
      <w:pPr>
        <w:pStyle w:val="Citation0c"/>
      </w:pPr>
      <w:r w:rsidRPr="00E8358C">
        <w:t>(Andrise, entrevue, 25 mai 2014)</w:t>
      </w:r>
    </w:p>
    <w:p w:rsidR="004C50DC" w:rsidRDefault="004C50DC" w:rsidP="004C50DC">
      <w:pPr>
        <w:spacing w:before="120" w:after="120"/>
        <w:jc w:val="both"/>
        <w:rPr>
          <w:lang w:eastAsia="ja-JP"/>
        </w:rPr>
      </w:pPr>
    </w:p>
    <w:p w:rsidR="004C50DC" w:rsidRPr="00E8358C" w:rsidRDefault="004C50DC" w:rsidP="004C50DC">
      <w:pPr>
        <w:spacing w:before="120" w:after="120"/>
        <w:jc w:val="both"/>
        <w:rPr>
          <w:lang w:eastAsia="ja-JP"/>
        </w:rPr>
      </w:pPr>
      <w:r w:rsidRPr="00E8358C">
        <w:rPr>
          <w:lang w:eastAsia="ja-JP"/>
        </w:rPr>
        <w:t>Plusieurs proverbes peuvent être tirés de l’oraliture haïtienne pour expliquer la justice qui n’a jamais été rendue aux femmes abusées en Haïti : « </w:t>
      </w:r>
      <w:r w:rsidRPr="00E8358C">
        <w:t>Ravèt pa janm gen rezon devan poul</w:t>
      </w:r>
      <w:r w:rsidRPr="00E8358C">
        <w:rPr>
          <w:i/>
        </w:rPr>
        <w:t> </w:t>
      </w:r>
      <w:r w:rsidRPr="00E8358C">
        <w:t xml:space="preserve">» (la raison du plus fort est toujours la meilleure). </w:t>
      </w:r>
      <w:r w:rsidRPr="00E8358C">
        <w:rPr>
          <w:lang w:eastAsia="ja-JP"/>
        </w:rPr>
        <w:t>Le désir de domination est significatif dans les propos d’Andrise, mais elle ne suggère aucunement que les fe</w:t>
      </w:r>
      <w:r w:rsidRPr="00E8358C">
        <w:rPr>
          <w:lang w:eastAsia="ja-JP"/>
        </w:rPr>
        <w:t>m</w:t>
      </w:r>
      <w:r w:rsidRPr="00E8358C">
        <w:rPr>
          <w:lang w:eastAsia="ja-JP"/>
        </w:rPr>
        <w:t>mes sont en esclavage en Haïti. L’esclavage ne doit pas être la seule explication des mauvaises conditions de vie des individus et des ra</w:t>
      </w:r>
      <w:r w:rsidRPr="00E8358C">
        <w:rPr>
          <w:lang w:eastAsia="ja-JP"/>
        </w:rPr>
        <w:t>p</w:t>
      </w:r>
      <w:r w:rsidRPr="00E8358C">
        <w:rPr>
          <w:lang w:eastAsia="ja-JP"/>
        </w:rPr>
        <w:t>ports sociaux en Haïti. Le peuple haïtien avait fait le serment de ne plus revivre ces instants. La prudence est de mise dans l’assimilation abusive à l’esclavage moderne à laquelle recourent certains organi</w:t>
      </w:r>
      <w:r w:rsidRPr="00E8358C">
        <w:rPr>
          <w:lang w:eastAsia="ja-JP"/>
        </w:rPr>
        <w:t>s</w:t>
      </w:r>
      <w:r w:rsidRPr="00E8358C">
        <w:rPr>
          <w:lang w:eastAsia="ja-JP"/>
        </w:rPr>
        <w:t xml:space="preserve">mes pour présenter les cas des femmes exploitées sexuellement. Comme pour les enfants, l’association peut être faite pour les femmes victimes de trafic humain qui est une forme moderne d’esclavage compte de tenu de ses conséquences : travail forcé, exploitation sexuelle commercialisée, maltraitance, enlèvement, séquestration, etc.  </w:t>
      </w:r>
    </w:p>
    <w:p w:rsidR="004C50DC" w:rsidRPr="00E8358C" w:rsidRDefault="004C50DC" w:rsidP="004C50DC">
      <w:pPr>
        <w:spacing w:before="120" w:after="120"/>
        <w:jc w:val="both"/>
      </w:pPr>
      <w:r w:rsidRPr="00E8358C">
        <w:t>En définitive, il y a une double considération dans l’analyse de la société haïtienne du XXI</w:t>
      </w:r>
      <w:r w:rsidRPr="00E8358C">
        <w:rPr>
          <w:vertAlign w:val="superscript"/>
        </w:rPr>
        <w:t>e</w:t>
      </w:r>
      <w:r w:rsidRPr="00E8358C">
        <w:t xml:space="preserve"> siècle. D’une part, plusieurs Haïtiens se se</w:t>
      </w:r>
      <w:r w:rsidRPr="00E8358C">
        <w:t>n</w:t>
      </w:r>
      <w:r w:rsidRPr="00E8358C">
        <w:t>tent « entièrement à part » dans leur propre pays. C’est le cas des paysans. D’autre part, de nombreux citoyens sont encore dans une s</w:t>
      </w:r>
      <w:r w:rsidRPr="00E8358C">
        <w:t>i</w:t>
      </w:r>
      <w:r w:rsidRPr="00E8358C">
        <w:t>tuation « un peu à part », tels les enfants en domesticité et les femmes. Par contre, ces deux catégories se considèrent toutes comme des c</w:t>
      </w:r>
      <w:r w:rsidRPr="00E8358C">
        <w:t>i</w:t>
      </w:r>
      <w:r w:rsidRPr="00E8358C">
        <w:t>toyens haïtiens. Ils continuent à se battre  pour le respect de leurs droits et libertés, pour l’équité et pour la justice au nom des principes humanistes défendus dans les luttes contre le système colonial escl</w:t>
      </w:r>
      <w:r w:rsidRPr="00E8358C">
        <w:t>a</w:t>
      </w:r>
      <w:r w:rsidRPr="00E8358C">
        <w:t>vagiste, comme Beaubrun Ardouin, qui déjà en 1840 criait à la viol</w:t>
      </w:r>
      <w:r w:rsidRPr="00E8358C">
        <w:t>a</w:t>
      </w:r>
      <w:r w:rsidRPr="00E8358C">
        <w:t>tion des droits et libertés des masses populaires par les gouvern</w:t>
      </w:r>
      <w:r w:rsidRPr="00E8358C">
        <w:t>e</w:t>
      </w:r>
      <w:r w:rsidRPr="00E8358C">
        <w:t>ments :</w:t>
      </w:r>
    </w:p>
    <w:p w:rsidR="004C50DC" w:rsidRDefault="004C50DC" w:rsidP="004C50DC">
      <w:pPr>
        <w:spacing w:before="120" w:after="120"/>
        <w:jc w:val="both"/>
        <w:rPr>
          <w:szCs w:val="22"/>
        </w:rPr>
      </w:pPr>
      <w:r>
        <w:rPr>
          <w:szCs w:val="22"/>
        </w:rPr>
        <w:br w:type="page"/>
        <w:t>[310]</w:t>
      </w:r>
    </w:p>
    <w:p w:rsidR="004C50DC" w:rsidRDefault="004C50DC" w:rsidP="004C50DC">
      <w:pPr>
        <w:pStyle w:val="Citation0"/>
      </w:pPr>
    </w:p>
    <w:p w:rsidR="004C50DC" w:rsidRPr="00E8358C" w:rsidRDefault="004C50DC" w:rsidP="004C50DC">
      <w:pPr>
        <w:pStyle w:val="Citation0"/>
      </w:pPr>
      <w:r w:rsidRPr="00E8358C">
        <w:t>Le gouvernement  qui, en Haïti, ne pourra ou ne voudra pas se convaincre que l’égalité, en toutes choses, est le droit le plus précieux aux yeux du peuple sera toujours exposé à se fourvoyer</w:t>
      </w:r>
      <w:r>
        <w:t> </w:t>
      </w:r>
      <w:r>
        <w:rPr>
          <w:rStyle w:val="Appelnotedebasdep"/>
        </w:rPr>
        <w:footnoteReference w:id="808"/>
      </w:r>
      <w:r w:rsidRPr="00E8358C">
        <w:t>.</w:t>
      </w:r>
    </w:p>
    <w:p w:rsidR="004C50DC" w:rsidRDefault="004C50DC" w:rsidP="004C50DC">
      <w:pPr>
        <w:pStyle w:val="Citation0"/>
      </w:pPr>
    </w:p>
    <w:p w:rsidR="004C50DC" w:rsidRDefault="004C50DC" w:rsidP="004C50DC">
      <w:pPr>
        <w:spacing w:before="120" w:after="120"/>
        <w:jc w:val="both"/>
      </w:pPr>
      <w:r w:rsidRPr="00E8358C">
        <w:t>Donc, liberté, égalité et équité devraient être le vecteur directeur des actions nationales</w:t>
      </w:r>
      <w:r w:rsidRPr="00E8358C">
        <w:rPr>
          <w:i/>
        </w:rPr>
        <w:t>.</w:t>
      </w:r>
    </w:p>
    <w:p w:rsidR="004C50DC" w:rsidRPr="003B38C0" w:rsidRDefault="004C50DC" w:rsidP="004C50DC">
      <w:pPr>
        <w:spacing w:before="120" w:after="120"/>
        <w:jc w:val="both"/>
      </w:pPr>
    </w:p>
    <w:p w:rsidR="004C50DC" w:rsidRPr="00E8358C" w:rsidRDefault="004C50DC" w:rsidP="004C50DC">
      <w:pPr>
        <w:pStyle w:val="planche"/>
      </w:pPr>
      <w:bookmarkStart w:id="372" w:name="_Toc406486086"/>
      <w:bookmarkStart w:id="373" w:name="_Toc406489707"/>
      <w:bookmarkStart w:id="374" w:name="_Toc423347346"/>
      <w:bookmarkStart w:id="375" w:name="_Toc442280528"/>
      <w:bookmarkStart w:id="376" w:name="Memoire_chap_VI_2"/>
      <w:r>
        <w:rPr>
          <w:rFonts w:eastAsia="Calibri"/>
        </w:rPr>
        <w:t>6.2. Le créole haïtien :</w:t>
      </w:r>
      <w:r>
        <w:rPr>
          <w:rFonts w:eastAsia="Calibri"/>
        </w:rPr>
        <w:br/>
      </w:r>
      <w:r w:rsidRPr="00E8358C">
        <w:rPr>
          <w:rFonts w:eastAsia="Calibri"/>
        </w:rPr>
        <w:t>une adaptation linguistique en contexte c</w:t>
      </w:r>
      <w:r w:rsidRPr="00E8358C">
        <w:rPr>
          <w:rFonts w:eastAsia="Calibri"/>
        </w:rPr>
        <w:t>o</w:t>
      </w:r>
      <w:r w:rsidRPr="00E8358C">
        <w:rPr>
          <w:rFonts w:eastAsia="Calibri"/>
        </w:rPr>
        <w:t>lonial</w:t>
      </w:r>
      <w:bookmarkEnd w:id="372"/>
      <w:bookmarkEnd w:id="373"/>
      <w:bookmarkEnd w:id="374"/>
      <w:bookmarkEnd w:id="375"/>
    </w:p>
    <w:bookmarkEnd w:id="376"/>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Le créole haïtien est un métissage des langues française, anglaise, espagnole et de plusieurs langues africaines. On y retrouve aussi que</w:t>
      </w:r>
      <w:r w:rsidRPr="00E8358C">
        <w:t>l</w:t>
      </w:r>
      <w:r w:rsidRPr="00E8358C">
        <w:t>ques mots amérindiens d’Ayiti (le lucayo et le marcorix)</w:t>
      </w:r>
      <w:r>
        <w:t> </w:t>
      </w:r>
      <w:r w:rsidRPr="00E8358C">
        <w:rPr>
          <w:rStyle w:val="Appelnotedebasdep"/>
        </w:rPr>
        <w:footnoteReference w:id="809"/>
      </w:r>
      <w:r w:rsidRPr="00E8358C">
        <w:t>. Il a une base lexicale française qui lui a servi de support dans son développ</w:t>
      </w:r>
      <w:r w:rsidRPr="00E8358C">
        <w:t>e</w:t>
      </w:r>
      <w:r w:rsidRPr="00E8358C">
        <w:t>ment durant la colonisation de Saint-Domingue</w:t>
      </w:r>
      <w:r>
        <w:t> </w:t>
      </w:r>
      <w:r>
        <w:rPr>
          <w:rStyle w:val="Appelnotedebasdep"/>
        </w:rPr>
        <w:footnoteReference w:id="810"/>
      </w:r>
      <w:r w:rsidRPr="00E8358C">
        <w:t>.</w:t>
      </w:r>
      <w:r>
        <w:t xml:space="preserve"> </w:t>
      </w:r>
      <w:r w:rsidRPr="00E8358C">
        <w:t xml:space="preserve">L’énumération des chiffres en créole en est une illustration : </w:t>
      </w:r>
      <w:r w:rsidRPr="00E8358C">
        <w:rPr>
          <w:i/>
        </w:rPr>
        <w:t>youn, de, twa, kat, senk</w:t>
      </w:r>
      <w:r w:rsidRPr="00E8358C">
        <w:t xml:space="preserve"> (un deux, trois, quatre, cinq). Se trouvant dans l’obligation de commun</w:t>
      </w:r>
      <w:r w:rsidRPr="00E8358C">
        <w:t>i</w:t>
      </w:r>
      <w:r w:rsidRPr="00E8358C">
        <w:t xml:space="preserve">quer d’une part avec le maître et d’autre part entre eux, les esclaves utilisent la langue du maître imposée, mais mal assimilée. Ce n’était pas un problème si les esclaves n’assimilaient pas bien le français, et les colons ne cherchaient pas non plus à le leur enseigner. Un langage approprié aux travaux des plantations et des ateliers était suffisant pour le maître qui ne voulait pas comprendre le langage du faible : le créole. </w:t>
      </w:r>
    </w:p>
    <w:p w:rsidR="004C50DC" w:rsidRPr="00E8358C" w:rsidRDefault="004C50DC" w:rsidP="004C50DC">
      <w:pPr>
        <w:spacing w:before="120" w:after="120"/>
        <w:jc w:val="both"/>
      </w:pPr>
      <w:r w:rsidRPr="00E8358C">
        <w:t>Les fondateurs de la langue créole étaient des esclaves victimes de la Traite des Noirs. Ils étaient imprégnés de la culture africaine et d</w:t>
      </w:r>
      <w:r w:rsidRPr="00E8358C">
        <w:t>é</w:t>
      </w:r>
      <w:r w:rsidRPr="00E8358C">
        <w:t>barquaient à Saint-Domingue avec la pensée africaine. Mais au contact de la culture du maître (dominant), ils étaient soumis à  l’assimilation de la civilisation du colon. La pensée est la racine de l’expression, le moyen de communication, alors les esclaves pensent d’abord dans leur culture avant d’utiliser le support phonétique e</w:t>
      </w:r>
      <w:r w:rsidRPr="00E8358C">
        <w:t>m</w:t>
      </w:r>
      <w:r w:rsidRPr="00E8358C">
        <w:t>prunté à la langue française pour communiquer entre eux. Il est à s</w:t>
      </w:r>
      <w:r w:rsidRPr="00E8358C">
        <w:t>i</w:t>
      </w:r>
      <w:r w:rsidRPr="00E8358C">
        <w:t>gnaler au passage que la plupart des esclaves sont venus de l’Afrique de l’Ouest, majoritairement du royaume de Dahomey. Donc la langue créole plonge aussi ses racines</w:t>
      </w:r>
      <w:r>
        <w:t xml:space="preserve"> [311]</w:t>
      </w:r>
      <w:r w:rsidRPr="00E8358C">
        <w:t xml:space="preserve"> dans les langues africaines et particulièrement dans la langue fon.</w:t>
      </w:r>
    </w:p>
    <w:p w:rsidR="004C50DC" w:rsidRPr="00E8358C" w:rsidRDefault="004C50DC" w:rsidP="004C50DC">
      <w:pPr>
        <w:spacing w:before="120" w:after="120"/>
        <w:jc w:val="both"/>
      </w:pPr>
      <w:r w:rsidRPr="00E8358C">
        <w:t>Les esclaves ont utilisé comme matériaux la pensée africaine et le support linguistique  colonial pour former la langue créole qui deme</w:t>
      </w:r>
      <w:r w:rsidRPr="00E8358C">
        <w:t>u</w:t>
      </w:r>
      <w:r w:rsidRPr="00E8358C">
        <w:t xml:space="preserve">re le moyen de communication entre eux et subsidiairement avec le maître. Cet héritage africain et colonial devient le principal outil de communication de la masse populaire haïtienne. C’est la langue qui véhicule les problèmes, les joies, les pleurs, les revendications des Haïtiens. </w:t>
      </w:r>
    </w:p>
    <w:p w:rsidR="004C50DC" w:rsidRPr="00E8358C" w:rsidRDefault="004C50DC" w:rsidP="004C50DC">
      <w:pPr>
        <w:spacing w:before="120" w:after="120"/>
        <w:jc w:val="both"/>
      </w:pPr>
      <w:r w:rsidRPr="00E8358C">
        <w:rPr>
          <w:lang w:eastAsia="ja-JP"/>
        </w:rPr>
        <w:t xml:space="preserve">Justement, quand on analyse quelques mots du créole haïtien, on en retrouve qui font référence à des ethnies africaines, par exemple </w:t>
      </w:r>
      <w:r w:rsidRPr="00E8358C">
        <w:rPr>
          <w:i/>
          <w:lang w:eastAsia="ja-JP"/>
        </w:rPr>
        <w:t>haoussa</w:t>
      </w:r>
      <w:r>
        <w:rPr>
          <w:lang w:eastAsia="ja-JP"/>
        </w:rPr>
        <w:t> </w:t>
      </w:r>
      <w:r>
        <w:rPr>
          <w:rStyle w:val="Appelnotedebasdep"/>
          <w:lang w:eastAsia="ja-JP"/>
        </w:rPr>
        <w:footnoteReference w:id="811"/>
      </w:r>
      <w:r w:rsidRPr="00E8358C">
        <w:rPr>
          <w:i/>
          <w:lang w:eastAsia="ja-JP"/>
        </w:rPr>
        <w:t xml:space="preserve">. </w:t>
      </w:r>
      <w:r w:rsidRPr="00E8358C">
        <w:rPr>
          <w:lang w:eastAsia="ja-JP"/>
        </w:rPr>
        <w:t xml:space="preserve">Dans le créole haïtien, quand on dit à quelqu’un « papa w se yon awousa » (ton père est un haoussa), cela sous-entend que ce père est un filou, un rusé. D’autres mots comme </w:t>
      </w:r>
      <w:r w:rsidRPr="00E8358C">
        <w:rPr>
          <w:i/>
          <w:lang w:eastAsia="ja-JP"/>
        </w:rPr>
        <w:t xml:space="preserve">sousou </w:t>
      </w:r>
      <w:r w:rsidRPr="00E8358C">
        <w:rPr>
          <w:lang w:eastAsia="ja-JP"/>
        </w:rPr>
        <w:t>(laquais, e</w:t>
      </w:r>
      <w:r w:rsidRPr="00E8358C">
        <w:rPr>
          <w:lang w:eastAsia="ja-JP"/>
        </w:rPr>
        <w:t>s</w:t>
      </w:r>
      <w:r w:rsidRPr="00E8358C">
        <w:rPr>
          <w:lang w:eastAsia="ja-JP"/>
        </w:rPr>
        <w:t xml:space="preserve">clave, délateur zélé), </w:t>
      </w:r>
      <w:r w:rsidRPr="00E8358C">
        <w:rPr>
          <w:i/>
          <w:lang w:eastAsia="ja-JP"/>
        </w:rPr>
        <w:t xml:space="preserve">kongo </w:t>
      </w:r>
      <w:r w:rsidRPr="00E8358C">
        <w:rPr>
          <w:lang w:eastAsia="ja-JP"/>
        </w:rPr>
        <w:t xml:space="preserve">(paysan ou état d’une personne qui vient des montagnes), viennent d’Afrique, de même que </w:t>
      </w:r>
      <w:r w:rsidRPr="00E8358C">
        <w:rPr>
          <w:i/>
          <w:lang w:eastAsia="ja-JP"/>
        </w:rPr>
        <w:t>kanzo</w:t>
      </w:r>
      <w:r w:rsidRPr="00E8358C">
        <w:rPr>
          <w:lang w:eastAsia="ja-JP"/>
        </w:rPr>
        <w:t xml:space="preserve"> : </w:t>
      </w:r>
      <w:r w:rsidRPr="00E8358C">
        <w:t>quand on a</w:t>
      </w:r>
      <w:r w:rsidRPr="00E8358C">
        <w:t>p</w:t>
      </w:r>
      <w:r w:rsidRPr="00E8358C">
        <w:t xml:space="preserve">pelle quelqu’un petit </w:t>
      </w:r>
      <w:r w:rsidRPr="00E8358C">
        <w:rPr>
          <w:i/>
        </w:rPr>
        <w:t>kanzo,</w:t>
      </w:r>
      <w:r w:rsidRPr="00E8358C">
        <w:t xml:space="preserve"> cela suggère qu’il est immunisé contre le feu. Le terme </w:t>
      </w:r>
      <w:r w:rsidRPr="00E8358C">
        <w:rPr>
          <w:i/>
        </w:rPr>
        <w:t>zo</w:t>
      </w:r>
      <w:r w:rsidRPr="00E8358C">
        <w:t>, signifie« feu » dans la langue fon.</w:t>
      </w:r>
    </w:p>
    <w:p w:rsidR="004C50DC" w:rsidRPr="00E8358C" w:rsidRDefault="004C50DC" w:rsidP="004C50DC">
      <w:pPr>
        <w:spacing w:before="120" w:after="120"/>
        <w:jc w:val="both"/>
      </w:pPr>
      <w:r w:rsidRPr="00E8358C">
        <w:t>L’appellation « Haïti Tomas » peut être expliquée par le fait que les premiers esclaves arrivés dans la colonie de Saint-Domingue étaient majoritairement d’origine ethnique « tomas »</w:t>
      </w:r>
      <w:r>
        <w:t> </w:t>
      </w:r>
      <w:r w:rsidRPr="00E8358C">
        <w:rPr>
          <w:rStyle w:val="Appelnotedebasdep"/>
        </w:rPr>
        <w:footnoteReference w:id="812"/>
      </w:r>
      <w:r w:rsidRPr="00E8358C">
        <w:t>. Cette ethnie semble être la plus ancienne établie en Guinée. Les Tomas étaient considérés comme des païens et des sauvages par les ethnies musu</w:t>
      </w:r>
      <w:r w:rsidRPr="00E8358C">
        <w:t>l</w:t>
      </w:r>
      <w:r w:rsidRPr="00E8358C">
        <w:t xml:space="preserve">manes voisines (Malinké et Peuls), qui les capturaient et les vendaient aux marchands d’esclaves. </w:t>
      </w:r>
    </w:p>
    <w:p w:rsidR="004C50DC" w:rsidRPr="00E8358C" w:rsidRDefault="004C50DC" w:rsidP="004C50DC">
      <w:pPr>
        <w:spacing w:before="120" w:after="120"/>
        <w:jc w:val="both"/>
      </w:pPr>
      <w:r w:rsidRPr="00E8358C">
        <w:t>Le créole était la langue la plus répandue dans les habitations de la colonie française de Saint-Domingue. Dans le monde des esclaves, on lui attribuait une triple fonction : de réunification,  de séparation et de prestige</w:t>
      </w:r>
      <w:r>
        <w:t> </w:t>
      </w:r>
      <w:r w:rsidRPr="00E8358C">
        <w:rPr>
          <w:rStyle w:val="Appelnotedebasdep"/>
        </w:rPr>
        <w:footnoteReference w:id="813"/>
      </w:r>
      <w:r w:rsidRPr="00E8358C">
        <w:t>. L’intrusion de la langue créole dans les luttes antiesclav</w:t>
      </w:r>
      <w:r w:rsidRPr="00E8358C">
        <w:t>a</w:t>
      </w:r>
      <w:r w:rsidRPr="00E8358C">
        <w:t>gistes menées par les Noirs permet d’unir la masse des esclaves dans une même cause. Michel Hector comprend bien cette intervention et soutient que « la religion vodou</w:t>
      </w:r>
      <w:r>
        <w:t xml:space="preserve"> [312]</w:t>
      </w:r>
      <w:r w:rsidRPr="00E8358C">
        <w:t xml:space="preserve"> et la langue créole sont autant d’éléments qui provoquent de plus en plus une homogénéisation par le bas malgré les différenciations et les antagonismes générés à l’intérieur même de la population noire par le système de domination coloniale esclavagiste »</w:t>
      </w:r>
      <w:r>
        <w:t> </w:t>
      </w:r>
      <w:r w:rsidRPr="00E8358C">
        <w:rPr>
          <w:rStyle w:val="Appelnotedebasdep"/>
        </w:rPr>
        <w:footnoteReference w:id="814"/>
      </w:r>
      <w:r w:rsidRPr="00E8358C">
        <w:t xml:space="preserve">. </w:t>
      </w:r>
    </w:p>
    <w:p w:rsidR="004C50DC" w:rsidRDefault="004C50DC" w:rsidP="004C50DC">
      <w:pPr>
        <w:spacing w:before="120" w:after="120"/>
        <w:jc w:val="both"/>
      </w:pPr>
      <w:r w:rsidRPr="00E8358C">
        <w:t>Pour Jean Fouchard, « un Haïtien d’aujourd’hui entretiendrait peut-être assez difficilement une conversation avec Toussaint Louve</w:t>
      </w:r>
      <w:r w:rsidRPr="00E8358C">
        <w:t>r</w:t>
      </w:r>
      <w:r w:rsidRPr="00E8358C">
        <w:t>ture, Dessalines ou Pétion et même avec les compatriotes ayant vécu au temps de Boyer ou de Soulouque »</w:t>
      </w:r>
      <w:r>
        <w:t> </w:t>
      </w:r>
      <w:r w:rsidRPr="00E8358C">
        <w:rPr>
          <w:rStyle w:val="Appelnotedebasdep"/>
        </w:rPr>
        <w:footnoteReference w:id="815"/>
      </w:r>
      <w:r w:rsidRPr="00E8358C">
        <w:t xml:space="preserve">. Par exemple, le poème </w:t>
      </w:r>
      <w:r w:rsidRPr="00E8358C">
        <w:rPr>
          <w:i/>
        </w:rPr>
        <w:t>Lise</w:t>
      </w:r>
      <w:r w:rsidRPr="00E8358C">
        <w:rPr>
          <w:i/>
        </w:rPr>
        <w:t>t</w:t>
      </w:r>
      <w:r w:rsidRPr="00E8358C">
        <w:rPr>
          <w:i/>
        </w:rPr>
        <w:t>te quitté la plaine</w:t>
      </w:r>
      <w:r w:rsidRPr="00E8358C">
        <w:t>, écrit par Duvivier de la Mahotière en 1749, a</w:t>
      </w:r>
      <w:r w:rsidRPr="00E8358C">
        <w:t>t</w:t>
      </w:r>
      <w:r w:rsidRPr="00E8358C">
        <w:t>teste que l’on parlait créole dans la colonie de Saint-Domingue.</w:t>
      </w:r>
    </w:p>
    <w:p w:rsidR="004C50DC" w:rsidRPr="00E8358C" w:rsidRDefault="004C50DC" w:rsidP="004C50DC">
      <w:pPr>
        <w:spacing w:before="120" w:after="120"/>
        <w:jc w:val="both"/>
      </w:pPr>
    </w:p>
    <w:p w:rsidR="004C50DC" w:rsidRPr="00FA1865" w:rsidRDefault="004C50DC" w:rsidP="004C50DC">
      <w:pPr>
        <w:pStyle w:val="parolesi"/>
      </w:pPr>
      <w:r w:rsidRPr="00FA1865">
        <w:t>Lisette quitté la plaine,</w:t>
      </w:r>
      <w:r w:rsidRPr="00FA1865">
        <w:br/>
        <w:t>Mon perdi bonher à moué</w:t>
      </w:r>
      <w:r w:rsidRPr="00FA1865">
        <w:br/>
        <w:t>Gié à moin semblé fontaine</w:t>
      </w:r>
      <w:r w:rsidRPr="00FA1865">
        <w:br/>
        <w:t>Dipi mon pas miré toué.</w:t>
      </w:r>
      <w:r w:rsidRPr="00FA1865">
        <w:br/>
        <w:t>Le jour quand mon coupé canne,</w:t>
      </w:r>
      <w:r w:rsidRPr="00FA1865">
        <w:br/>
        <w:t>Mon songé zamour à moué ;</w:t>
      </w:r>
      <w:r w:rsidRPr="00FA1865">
        <w:br/>
        <w:t>La nuit quand moin dans cabane</w:t>
      </w:r>
      <w:r w:rsidRPr="00FA1865">
        <w:br/>
        <w:t>Dans dromi moin quimbé toué</w:t>
      </w:r>
      <w:r>
        <w:rPr>
          <w:i w:val="0"/>
        </w:rPr>
        <w:t> </w:t>
      </w:r>
      <w:r w:rsidRPr="00081EDD">
        <w:rPr>
          <w:rStyle w:val="Appelnotedebasdep"/>
          <w:i w:val="0"/>
        </w:rPr>
        <w:footnoteReference w:id="816"/>
      </w:r>
      <w:r w:rsidRPr="00FA1865">
        <w:t>.</w:t>
      </w:r>
    </w:p>
    <w:p w:rsidR="004C50DC" w:rsidRDefault="004C50DC" w:rsidP="004C50DC">
      <w:pPr>
        <w:pStyle w:val="paroles"/>
      </w:pPr>
    </w:p>
    <w:p w:rsidR="004C50DC" w:rsidRPr="00FA1865" w:rsidRDefault="004C50DC" w:rsidP="004C50DC">
      <w:pPr>
        <w:pStyle w:val="paroles"/>
      </w:pPr>
      <w:r w:rsidRPr="00FA1865">
        <w:t>[Lisette a quitté la plaine</w:t>
      </w:r>
      <w:r w:rsidRPr="00FA1865">
        <w:br/>
        <w:t>J’ai perdu mon bonheur ;</w:t>
      </w:r>
      <w:r w:rsidRPr="00FA1865">
        <w:br/>
        <w:t>Mes yeux semblent des fontaines</w:t>
      </w:r>
      <w:r w:rsidRPr="00FA1865">
        <w:br/>
        <w:t>Depuis que je ne te vois plus.</w:t>
      </w:r>
      <w:r w:rsidRPr="00FA1865">
        <w:br/>
        <w:t>Le jour quand je coupe les cannes,</w:t>
      </w:r>
      <w:r w:rsidRPr="00FA1865">
        <w:br/>
        <w:t>Je songe à mon amour,</w:t>
      </w:r>
      <w:r w:rsidRPr="00FA1865">
        <w:br/>
        <w:t>La nuit quand je suis dans mon lit,</w:t>
      </w:r>
      <w:r w:rsidRPr="00FA1865">
        <w:br/>
        <w:t>Dans mon sommeil je te tiens.]</w:t>
      </w:r>
      <w:r>
        <w:t> </w:t>
      </w:r>
      <w:r w:rsidRPr="00081EDD">
        <w:rPr>
          <w:rStyle w:val="Appelnotedebasdep"/>
        </w:rPr>
        <w:footnoteReference w:id="817"/>
      </w:r>
    </w:p>
    <w:p w:rsidR="004C50DC" w:rsidRDefault="004C50DC" w:rsidP="004C50DC">
      <w:pPr>
        <w:spacing w:before="120" w:after="120"/>
        <w:jc w:val="both"/>
      </w:pPr>
    </w:p>
    <w:p w:rsidR="004C50DC" w:rsidRDefault="004C50DC" w:rsidP="004C50DC">
      <w:pPr>
        <w:spacing w:before="120" w:after="120"/>
        <w:jc w:val="both"/>
      </w:pPr>
      <w:r w:rsidRPr="00E8358C">
        <w:t xml:space="preserve">Le dialogue en créole entre </w:t>
      </w:r>
      <w:r w:rsidRPr="00E8358C">
        <w:rPr>
          <w:i/>
        </w:rPr>
        <w:t>Evahim et Aza</w:t>
      </w:r>
      <w:r w:rsidRPr="00E8358C">
        <w:t>, reproduit par Michel Étienne Descourtilz</w:t>
      </w:r>
      <w:r>
        <w:t> </w:t>
      </w:r>
      <w:r w:rsidRPr="00E8358C">
        <w:rPr>
          <w:rStyle w:val="Appelnotedebasdep"/>
        </w:rPr>
        <w:footnoteReference w:id="818"/>
      </w:r>
      <w:r w:rsidRPr="00E8358C">
        <w:t>, constitue également un exemple de la façon dont ce créole était parlé et écrit dans la colonie. Le processus de standardisation du créole haïtien a débuté vers la fin du XIX</w:t>
      </w:r>
      <w:r w:rsidRPr="00E8358C">
        <w:rPr>
          <w:vertAlign w:val="superscript"/>
        </w:rPr>
        <w:t>e</w:t>
      </w:r>
      <w:r w:rsidRPr="00E8358C">
        <w:t xml:space="preserve"> siècle, ce qui n’empêche pas que d’une région du pays à l’autre, le créole ne se parle pas de la même manière. Il diffère surtout sur le plan séma</w:t>
      </w:r>
      <w:r w:rsidRPr="00E8358C">
        <w:t>n</w:t>
      </w:r>
      <w:r w:rsidRPr="00E8358C">
        <w:t xml:space="preserve">tique. C’est le cas, par exemple dans le département du Nord et dans quelques zones rurales. </w:t>
      </w:r>
    </w:p>
    <w:p w:rsidR="004C50DC" w:rsidRPr="00E8358C" w:rsidRDefault="004C50DC" w:rsidP="004C50DC">
      <w:pPr>
        <w:spacing w:before="120" w:after="120"/>
        <w:jc w:val="both"/>
      </w:pPr>
      <w:r>
        <w:t>[313]</w:t>
      </w:r>
    </w:p>
    <w:p w:rsidR="004C50DC" w:rsidRPr="00E8358C" w:rsidRDefault="004C50DC" w:rsidP="004C50DC">
      <w:pPr>
        <w:spacing w:before="120" w:after="120"/>
        <w:jc w:val="both"/>
      </w:pPr>
      <w:r w:rsidRPr="00E8358C">
        <w:t>Dans le contexte de l’occupation d’Haïti par une puissance étra</w:t>
      </w:r>
      <w:r w:rsidRPr="00E8358C">
        <w:t>n</w:t>
      </w:r>
      <w:r w:rsidRPr="00E8358C">
        <w:t>gère, le créole était utilisé comme une arme contre l’occupant. Lors de l’occupation américaine, le créole devint une langue de réunification des Haïtiens bien que le français soit resté, selon l’élite intellectuelle haïtienne, la principale langue de résistance. En ce sens, Justin Chr</w:t>
      </w:r>
      <w:r w:rsidRPr="00E8358C">
        <w:t>y</w:t>
      </w:r>
      <w:r w:rsidRPr="00E8358C">
        <w:t>sostome Dorsainvil écrivait : « en parlant de la littérature française, ne pouvons-nous dire que c’est […] une influence qui se dresse contre une action américaine trop intensifiée en Haïti ? »</w:t>
      </w:r>
      <w:r>
        <w:t> </w:t>
      </w:r>
      <w:r w:rsidRPr="00E8358C">
        <w:rPr>
          <w:rStyle w:val="Appelnotedebasdep"/>
        </w:rPr>
        <w:footnoteReference w:id="819"/>
      </w:r>
      <w:r w:rsidRPr="00E8358C">
        <w:t xml:space="preserve"> Plus loin, Jean Price Mars reprochait à l’élite intellectuelle haïtienne « d’avoir sacr</w:t>
      </w:r>
      <w:r w:rsidRPr="00E8358C">
        <w:t>i</w:t>
      </w:r>
      <w:r w:rsidRPr="00E8358C">
        <w:t>fié à ses propres valeurs culturelles occidentales, celles de l’énorme major</w:t>
      </w:r>
      <w:r w:rsidRPr="00E8358C">
        <w:t>i</w:t>
      </w:r>
      <w:r w:rsidRPr="00E8358C">
        <w:t>té du peuple haïtien, en particulier d’avoir méprisé le vaudou, et sa langue, le créole ». Toutefois, pour lui, ces positions ne précon</w:t>
      </w:r>
      <w:r w:rsidRPr="00E8358C">
        <w:t>i</w:t>
      </w:r>
      <w:r w:rsidRPr="00E8358C">
        <w:t>saient aucunement l’abandon de la langue française ou son remplac</w:t>
      </w:r>
      <w:r w:rsidRPr="00E8358C">
        <w:t>e</w:t>
      </w:r>
      <w:r w:rsidRPr="00E8358C">
        <w:t>ment par l’enseignement du créole :</w:t>
      </w:r>
    </w:p>
    <w:p w:rsidR="004C50DC" w:rsidRDefault="004C50DC" w:rsidP="004C50DC">
      <w:pPr>
        <w:pStyle w:val="Citation0"/>
      </w:pPr>
    </w:p>
    <w:p w:rsidR="004C50DC" w:rsidRDefault="004C50DC" w:rsidP="004C50DC">
      <w:pPr>
        <w:pStyle w:val="Citation0"/>
      </w:pPr>
      <w:r w:rsidRPr="00E8358C">
        <w:t>Faire du créole notre langue nationale et officielle serait l’aveu d’une d</w:t>
      </w:r>
      <w:r w:rsidRPr="00E8358C">
        <w:t>é</w:t>
      </w:r>
      <w:r w:rsidRPr="00E8358C">
        <w:t>faite dans l’âpre bataille où l’histoire nous a engagés pour garder notre p</w:t>
      </w:r>
      <w:r w:rsidRPr="00E8358C">
        <w:t>o</w:t>
      </w:r>
      <w:r w:rsidRPr="00E8358C">
        <w:t>sition originale de peuple noir d’expression française au carrefour de do</w:t>
      </w:r>
      <w:r w:rsidRPr="00E8358C">
        <w:t>u</w:t>
      </w:r>
      <w:r w:rsidRPr="00E8358C">
        <w:t>ble civilisation anglo-saxonne et ibérique dans les trois Amériques</w:t>
      </w:r>
      <w:r>
        <w:t> </w:t>
      </w:r>
      <w:r w:rsidRPr="00E8358C">
        <w:rPr>
          <w:rStyle w:val="Appelnotedebasdep"/>
          <w:szCs w:val="22"/>
        </w:rPr>
        <w:footnoteReference w:id="820"/>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Dans les manifestations contre les forces des Nations Unies, on peut voir des pancartes avec l’inscription « Jistis pou viktim kolera. Aba MINISTA. Jistis ak reparasyon pou tout moun MINISTA bay kolera yo » (Justice pour les victimes du choléra. À bas la MINU</w:t>
      </w:r>
      <w:r w:rsidRPr="00E8358C">
        <w:t>S</w:t>
      </w:r>
      <w:r w:rsidRPr="00E8358C">
        <w:t xml:space="preserve">TAH. Justice et réparation pour les victimes du choléra transmis par la MINUSTHA). </w:t>
      </w:r>
    </w:p>
    <w:p w:rsidR="004C50DC" w:rsidRPr="00E8358C" w:rsidRDefault="004C50DC" w:rsidP="004C50DC">
      <w:pPr>
        <w:spacing w:before="120" w:after="120"/>
        <w:jc w:val="both"/>
        <w:rPr>
          <w:lang w:eastAsia="ja-JP"/>
        </w:rPr>
      </w:pPr>
      <w:r w:rsidRPr="00E8358C">
        <w:t>La parole est une pensée exprimée oralement. D</w:t>
      </w:r>
      <w:r w:rsidRPr="00E8358C">
        <w:rPr>
          <w:lang w:eastAsia="ja-JP"/>
        </w:rPr>
        <w:t>ans le créole ha</w:t>
      </w:r>
      <w:r w:rsidRPr="00E8358C">
        <w:rPr>
          <w:lang w:eastAsia="ja-JP"/>
        </w:rPr>
        <w:t>ï</w:t>
      </w:r>
      <w:r w:rsidRPr="00E8358C">
        <w:rPr>
          <w:lang w:eastAsia="ja-JP"/>
        </w:rPr>
        <w:t>tien, l’impératif brut est mal vu, comme par exemple, « </w:t>
      </w:r>
      <w:r w:rsidRPr="00E8358C">
        <w:rPr>
          <w:i/>
          <w:lang w:eastAsia="ja-JP"/>
        </w:rPr>
        <w:t>Ey Jean, pran sa pou mwen. Banm sa</w:t>
      </w:r>
      <w:r w:rsidRPr="00E8358C">
        <w:rPr>
          <w:lang w:eastAsia="ja-JP"/>
        </w:rPr>
        <w:t> » (Jean, prends-moi ça. Donne-moi ça). La figure du commandeur est bien présente dans cette langue. Alors, pour éviter de froisser les susceptibilités ou pour se montrer poli, souvent on formule une demande en rajoutant : « </w:t>
      </w:r>
      <w:r w:rsidRPr="00E8358C">
        <w:rPr>
          <w:i/>
          <w:lang w:eastAsia="ja-JP"/>
        </w:rPr>
        <w:t>Eske w kapab fè sa pou mwen</w:t>
      </w:r>
      <w:r w:rsidRPr="00E8358C">
        <w:rPr>
          <w:lang w:eastAsia="ja-JP"/>
        </w:rPr>
        <w:t> </w:t>
      </w:r>
      <w:r w:rsidRPr="00E8358C">
        <w:rPr>
          <w:i/>
          <w:lang w:eastAsia="ja-JP"/>
        </w:rPr>
        <w:t>?</w:t>
      </w:r>
      <w:r w:rsidRPr="00E8358C">
        <w:rPr>
          <w:lang w:eastAsia="ja-JP"/>
        </w:rPr>
        <w:t> » (Pourriez-vous le faire pour moi ?) ou encore « </w:t>
      </w:r>
      <w:r w:rsidRPr="00E8358C">
        <w:rPr>
          <w:i/>
          <w:lang w:eastAsia="ja-JP"/>
        </w:rPr>
        <w:t>sivouplè, pran sa pou mwen</w:t>
      </w:r>
      <w:r w:rsidRPr="00E8358C">
        <w:rPr>
          <w:lang w:eastAsia="ja-JP"/>
        </w:rPr>
        <w:t> » (s’il vous plaît, prenez ça pour moi). L’ordre est présent, mais il est atténué. Dans la conscience collective haïtienne, les</w:t>
      </w:r>
      <w:r>
        <w:rPr>
          <w:lang w:eastAsia="ja-JP"/>
        </w:rPr>
        <w:t xml:space="preserve"> [314]</w:t>
      </w:r>
      <w:r w:rsidRPr="00E8358C">
        <w:rPr>
          <w:lang w:eastAsia="ja-JP"/>
        </w:rPr>
        <w:t xml:space="preserve"> obligations contraignantes impliquent, le plus souvent, les bourreaux du temps de l’esclavage ou les bourreaux d’hier, au service du pouvoir dictatorial des Duvalier. </w:t>
      </w:r>
    </w:p>
    <w:p w:rsidR="004C50DC" w:rsidRPr="00E8358C" w:rsidRDefault="004C50DC" w:rsidP="004C50DC">
      <w:pPr>
        <w:spacing w:before="120" w:after="120"/>
        <w:jc w:val="both"/>
      </w:pPr>
      <w:r w:rsidRPr="00E8358C">
        <w:t>Le problème linguistique a été, dès la création de la République d’Haïti, une barrière à la construction d’une société égalitaire entre les Haïtiens. Les élites dirigeantes haïtiennes prétendent que « la langue française est la plus courante, la seule en usage, et tous les paysans la comprennent… Les mœurs et coutumes, les fêtes, le droit, les instit</w:t>
      </w:r>
      <w:r w:rsidRPr="00E8358C">
        <w:t>u</w:t>
      </w:r>
      <w:r w:rsidRPr="00E8358C">
        <w:t>tions, le costume, tout est français : on se modèle en tout sur la Fra</w:t>
      </w:r>
      <w:r w:rsidRPr="00E8358C">
        <w:t>n</w:t>
      </w:r>
      <w:r w:rsidRPr="00E8358C">
        <w:t>ce »</w:t>
      </w:r>
      <w:r>
        <w:t> </w:t>
      </w:r>
      <w:r>
        <w:rPr>
          <w:rStyle w:val="Appelnotedebasdep"/>
        </w:rPr>
        <w:footnoteReference w:id="821"/>
      </w:r>
      <w:r w:rsidRPr="00E8358C">
        <w:t>. Selon Euridice Figueiredo, ces « élites dénient le vodou, le cré</w:t>
      </w:r>
      <w:r w:rsidRPr="00E8358C">
        <w:t>o</w:t>
      </w:r>
      <w:r w:rsidRPr="00E8358C">
        <w:t>le, et veulent se démarquer des Africains et de la masse, pour prouver qu’ils sont capables de se gouverner. […] Ils se font français dans leur agir et mettent des masques blancs sur leur peau noire pour utiliser l’expression de Frantz Fanon »</w:t>
      </w:r>
      <w:r>
        <w:t> </w:t>
      </w:r>
      <w:r>
        <w:rPr>
          <w:rStyle w:val="Appelnotedebasdep"/>
        </w:rPr>
        <w:footnoteReference w:id="822"/>
      </w:r>
      <w:r w:rsidRPr="00E8358C">
        <w:t xml:space="preserve">. </w:t>
      </w:r>
    </w:p>
    <w:p w:rsidR="004C50DC" w:rsidRPr="00E8358C" w:rsidRDefault="004C50DC" w:rsidP="004C50DC">
      <w:pPr>
        <w:spacing w:before="120" w:after="120"/>
        <w:jc w:val="both"/>
        <w:rPr>
          <w:lang w:eastAsia="en-CA"/>
        </w:rPr>
      </w:pPr>
      <w:r w:rsidRPr="00E8358C">
        <w:t xml:space="preserve">Les institutions publiques prodiguaient leurs services en français au détriment de la masse paysanne qui ne parlait que le créole. En principe, dans les Constitutions haïtiennes de </w:t>
      </w:r>
      <w:r w:rsidRPr="00E8358C">
        <w:rPr>
          <w:lang w:eastAsia="en-CA"/>
        </w:rPr>
        <w:t>1805 à 1917, aucune des deux langues n’a été désignée comme langue officielle. Mais elles ont été rédigées seulement en français avant qu’il soit reconnu « langue officielle »dans la Constitution de 1918</w:t>
      </w:r>
      <w:r>
        <w:rPr>
          <w:lang w:eastAsia="en-CA"/>
        </w:rPr>
        <w:t> </w:t>
      </w:r>
      <w:r>
        <w:rPr>
          <w:rStyle w:val="Appelnotedebasdep"/>
          <w:lang w:eastAsia="en-CA"/>
        </w:rPr>
        <w:footnoteReference w:id="823"/>
      </w:r>
      <w:r w:rsidRPr="00E8358C">
        <w:rPr>
          <w:lang w:eastAsia="en-CA"/>
        </w:rPr>
        <w:t xml:space="preserve"> sous l’occupation américa</w:t>
      </w:r>
      <w:r w:rsidRPr="00E8358C">
        <w:rPr>
          <w:lang w:eastAsia="en-CA"/>
        </w:rPr>
        <w:t>i</w:t>
      </w:r>
      <w:r w:rsidRPr="00E8358C">
        <w:rPr>
          <w:lang w:eastAsia="en-CA"/>
        </w:rPr>
        <w:t>ne d’Haïti. C’est lors de l’adoption de la Constitution de 1964</w:t>
      </w:r>
      <w:r>
        <w:rPr>
          <w:lang w:eastAsia="en-CA"/>
        </w:rPr>
        <w:t> </w:t>
      </w:r>
      <w:r>
        <w:rPr>
          <w:rStyle w:val="Appelnotedebasdep"/>
          <w:lang w:eastAsia="en-CA"/>
        </w:rPr>
        <w:footnoteReference w:id="824"/>
      </w:r>
      <w:r w:rsidRPr="00E8358C">
        <w:rPr>
          <w:lang w:eastAsia="en-CA"/>
        </w:rPr>
        <w:t xml:space="preserve"> que l’usage du créole sera accepté, moyennant qu’une loi spécifie les cas et les conditions.  Plus tard, la Constitution de 1983, en son article 62, attribue</w:t>
      </w:r>
      <w:r>
        <w:rPr>
          <w:lang w:eastAsia="en-CA"/>
        </w:rPr>
        <w:t> </w:t>
      </w:r>
      <w:r w:rsidRPr="00E8358C">
        <w:rPr>
          <w:rStyle w:val="Appelnotedebasdep"/>
          <w:lang w:eastAsia="en-CA"/>
        </w:rPr>
        <w:footnoteReference w:id="825"/>
      </w:r>
      <w:r w:rsidRPr="00E8358C">
        <w:rPr>
          <w:lang w:eastAsia="en-CA"/>
        </w:rPr>
        <w:t xml:space="preserve"> au créole le statut de langue nationale avec le français. </w:t>
      </w:r>
    </w:p>
    <w:p w:rsidR="004C50DC" w:rsidRDefault="004C50DC" w:rsidP="004C50DC">
      <w:pPr>
        <w:spacing w:before="120" w:after="120"/>
        <w:jc w:val="both"/>
        <w:rPr>
          <w:iCs/>
          <w:lang w:eastAsia="en-CA"/>
        </w:rPr>
      </w:pPr>
      <w:r w:rsidRPr="00E8358C">
        <w:rPr>
          <w:lang w:eastAsia="en-CA"/>
        </w:rPr>
        <w:t>Dans une analyse de l’évolution de la langue créole, on observe qu’elle est née dans un contexte d’adaptation et de résistance face au système esclavagiste français. Elle a toujours été considérée comme une langue seconde, orale depuis l’indépendance jusqu’à la dernière décennie du XX</w:t>
      </w:r>
      <w:r w:rsidRPr="00E8358C">
        <w:rPr>
          <w:vertAlign w:val="superscript"/>
          <w:lang w:eastAsia="en-CA"/>
        </w:rPr>
        <w:t>e</w:t>
      </w:r>
      <w:r w:rsidRPr="00E8358C">
        <w:rPr>
          <w:lang w:eastAsia="en-CA"/>
        </w:rPr>
        <w:t xml:space="preserve"> siècle. La </w:t>
      </w:r>
      <w:r w:rsidRPr="00E8358C">
        <w:rPr>
          <w:iCs/>
          <w:lang w:eastAsia="en-CA"/>
        </w:rPr>
        <w:t>Constitution haïtienne de 1987 l’a reco</w:t>
      </w:r>
      <w:r w:rsidRPr="00E8358C">
        <w:rPr>
          <w:iCs/>
          <w:lang w:eastAsia="en-CA"/>
        </w:rPr>
        <w:t>n</w:t>
      </w:r>
      <w:r w:rsidRPr="00E8358C">
        <w:rPr>
          <w:iCs/>
          <w:lang w:eastAsia="en-CA"/>
        </w:rPr>
        <w:t>nue comme la langue de ralliement de tous les Haïtiens. Elle est la langue nationale et officielle avec le français. Cette Constitution a même prévu d’instituer une Académie haïtienne qui s’occupe du d</w:t>
      </w:r>
      <w:r w:rsidRPr="00E8358C">
        <w:rPr>
          <w:iCs/>
          <w:lang w:eastAsia="en-CA"/>
        </w:rPr>
        <w:t>é</w:t>
      </w:r>
      <w:r w:rsidRPr="00E8358C">
        <w:rPr>
          <w:iCs/>
          <w:lang w:eastAsia="en-CA"/>
        </w:rPr>
        <w:t xml:space="preserve">veloppement scientifique et harmonieux du créole. </w:t>
      </w:r>
    </w:p>
    <w:p w:rsidR="004C50DC" w:rsidRPr="00E8358C" w:rsidRDefault="004C50DC" w:rsidP="004C50DC">
      <w:pPr>
        <w:spacing w:before="120" w:after="120"/>
        <w:jc w:val="both"/>
        <w:rPr>
          <w:iCs/>
          <w:lang w:eastAsia="en-CA"/>
        </w:rPr>
      </w:pPr>
      <w:r>
        <w:rPr>
          <w:iCs/>
          <w:lang w:eastAsia="en-CA"/>
        </w:rPr>
        <w:t>[315]</w:t>
      </w:r>
    </w:p>
    <w:p w:rsidR="004C50DC" w:rsidRPr="00E8358C" w:rsidRDefault="004C50DC" w:rsidP="004C50DC">
      <w:pPr>
        <w:pStyle w:val="Citation0"/>
      </w:pPr>
      <w:r w:rsidRPr="00E8358C">
        <w:t>Tous les Haïtiens sont unis par une Langue commune : le Créole.</w:t>
      </w:r>
    </w:p>
    <w:p w:rsidR="004C50DC" w:rsidRPr="00E8358C" w:rsidRDefault="004C50DC" w:rsidP="004C50DC">
      <w:pPr>
        <w:pStyle w:val="Citation0"/>
      </w:pPr>
      <w:r w:rsidRPr="00E8358C">
        <w:t>Le créole et le français sont les langues officielles de la Républ</w:t>
      </w:r>
      <w:r w:rsidRPr="00E8358C">
        <w:t>i</w:t>
      </w:r>
      <w:r w:rsidRPr="00E8358C">
        <w:t>que.</w:t>
      </w:r>
    </w:p>
    <w:p w:rsidR="004C50DC" w:rsidRPr="00E8358C" w:rsidRDefault="004C50DC" w:rsidP="004C50DC">
      <w:pPr>
        <w:pStyle w:val="Citation0c"/>
      </w:pPr>
      <w:r w:rsidRPr="00E8358C">
        <w:t>(Article 5, Constitution de 1978)</w:t>
      </w:r>
    </w:p>
    <w:p w:rsidR="004C50DC" w:rsidRDefault="004C50DC" w:rsidP="004C50DC">
      <w:pPr>
        <w:spacing w:before="120" w:after="120"/>
        <w:jc w:val="both"/>
      </w:pPr>
    </w:p>
    <w:p w:rsidR="004C50DC" w:rsidRPr="00E8358C" w:rsidRDefault="004C50DC" w:rsidP="004C50DC">
      <w:pPr>
        <w:pStyle w:val="Citation0"/>
      </w:pPr>
      <w:r w:rsidRPr="00E8358C">
        <w:t xml:space="preserve">Une Académie haïtienne est instituée en vue de fixer la langue créole et de permettre son développement scientifique et harmonieux. </w:t>
      </w:r>
    </w:p>
    <w:p w:rsidR="004C50DC" w:rsidRPr="00E8358C" w:rsidRDefault="004C50DC" w:rsidP="004C50DC">
      <w:pPr>
        <w:pStyle w:val="Citation0c"/>
      </w:pPr>
      <w:r w:rsidRPr="00E8358C">
        <w:t>(Article 213, Constitution de 1987)</w:t>
      </w:r>
    </w:p>
    <w:p w:rsidR="004C50DC" w:rsidRPr="00E8358C" w:rsidRDefault="004C50DC" w:rsidP="004C50DC">
      <w:pPr>
        <w:spacing w:before="120" w:after="120"/>
        <w:jc w:val="both"/>
        <w:rPr>
          <w:szCs w:val="23"/>
          <w:lang w:eastAsia="en-CA"/>
        </w:rPr>
      </w:pPr>
    </w:p>
    <w:p w:rsidR="004C50DC" w:rsidRPr="00E8358C" w:rsidRDefault="004C50DC" w:rsidP="004C50DC">
      <w:pPr>
        <w:spacing w:before="120" w:after="120"/>
        <w:jc w:val="both"/>
        <w:rPr>
          <w:szCs w:val="23"/>
          <w:lang w:eastAsia="en-CA"/>
        </w:rPr>
      </w:pPr>
      <w:r w:rsidRPr="00E8358C">
        <w:rPr>
          <w:lang w:eastAsia="en-CA"/>
        </w:rPr>
        <w:t>Plusieurs Haïtiens croient encore que la maîtrise du français est un moyen de se distinguer de la masse populaire analphabète. Parler français devient un signe important du niveau de scolarité du citoyen haïtien ou de son appartenance à une classe sociale donnée. En princ</w:t>
      </w:r>
      <w:r w:rsidRPr="00E8358C">
        <w:rPr>
          <w:lang w:eastAsia="en-CA"/>
        </w:rPr>
        <w:t>i</w:t>
      </w:r>
      <w:r w:rsidRPr="00E8358C">
        <w:rPr>
          <w:lang w:eastAsia="en-CA"/>
        </w:rPr>
        <w:t>pe, parler une langue n’est pas seulement une question de scolaris</w:t>
      </w:r>
      <w:r w:rsidRPr="00E8358C">
        <w:rPr>
          <w:lang w:eastAsia="en-CA"/>
        </w:rPr>
        <w:t>a</w:t>
      </w:r>
      <w:r w:rsidRPr="00E8358C">
        <w:rPr>
          <w:lang w:eastAsia="en-CA"/>
        </w:rPr>
        <w:t>tion. L’environnement immédiat de la personne est aussi déterminant dans cet apprentissage. Les injures et les remontrances faites en fra</w:t>
      </w:r>
      <w:r w:rsidRPr="00E8358C">
        <w:rPr>
          <w:lang w:eastAsia="en-CA"/>
        </w:rPr>
        <w:t>n</w:t>
      </w:r>
      <w:r w:rsidRPr="00E8358C">
        <w:rPr>
          <w:lang w:eastAsia="en-CA"/>
        </w:rPr>
        <w:t>çais sont bienvenues par rapport à celles faites en créole. Ainsi, Cl</w:t>
      </w:r>
      <w:r w:rsidRPr="00E8358C">
        <w:rPr>
          <w:lang w:eastAsia="en-CA"/>
        </w:rPr>
        <w:t>é</w:t>
      </w:r>
      <w:r w:rsidRPr="00E8358C">
        <w:rPr>
          <w:lang w:eastAsia="en-CA"/>
        </w:rPr>
        <w:t>mentine, l’étudiante en droit nous raconte</w:t>
      </w:r>
      <w:r w:rsidRPr="00E8358C">
        <w:rPr>
          <w:szCs w:val="23"/>
          <w:lang w:eastAsia="en-CA"/>
        </w:rPr>
        <w:t xml:space="preserve"> : </w:t>
      </w:r>
    </w:p>
    <w:p w:rsidR="004C50DC" w:rsidRPr="00E8358C" w:rsidRDefault="004C50DC" w:rsidP="004C50DC">
      <w:pPr>
        <w:pStyle w:val="Citation0i"/>
      </w:pPr>
      <w:r w:rsidRPr="00E8358C">
        <w:t>Lè yon Ayisyen tande kritik, reprimand ou remak an fransè, ke li te negatif ou malentansyone yo reponn, yo souri, yo dakò ak li. Yo r</w:t>
      </w:r>
      <w:r w:rsidRPr="00E8358C">
        <w:t>e</w:t>
      </w:r>
      <w:r w:rsidRPr="00E8358C">
        <w:t>ponn « C'est correct. Je comprends ». Lè ou eseye eksprime dezakò w nan lang kreyòl, lang manman yo. Pou yo, ou te gen tan malelve, lang ou te sal ou byen yo fè w pase pou moun ki sòt, ki pat al lekòl oubyen fòl... men kreyòl toujou pale kreyòl toujou konprann.</w:t>
      </w:r>
    </w:p>
    <w:p w:rsidR="004C50DC" w:rsidRPr="00E8358C" w:rsidRDefault="004C50DC" w:rsidP="004C50DC">
      <w:pPr>
        <w:pStyle w:val="Citation0"/>
      </w:pPr>
      <w:r w:rsidRPr="00E8358C">
        <w:t>[Généralement quand on émet une critique, une réprimande, faire des r</w:t>
      </w:r>
      <w:r w:rsidRPr="00E8358C">
        <w:t>e</w:t>
      </w:r>
      <w:r w:rsidRPr="00E8358C">
        <w:t>montrances à un Haïtien en français, il est prêt à les accepter avec le plus beau sourire. Sa réponse est sitôt « C’est correct. Je co</w:t>
      </w:r>
      <w:r w:rsidRPr="00E8358C">
        <w:t>m</w:t>
      </w:r>
      <w:r w:rsidRPr="00E8358C">
        <w:t>prends ». Mais quand on utilise le créole, leur langue maternelle pour faire les mêmes cr</w:t>
      </w:r>
      <w:r w:rsidRPr="00E8358C">
        <w:t>i</w:t>
      </w:r>
      <w:r w:rsidRPr="00E8358C">
        <w:t>tiques, réprimandes ou remontrances, il te taxe d’insolent, de grossier, d’incongru, d’ignorant, d’analphabète, de fou… Je crois que le créole reste toujours la langue la plus compr</w:t>
      </w:r>
      <w:r w:rsidRPr="00E8358C">
        <w:t>é</w:t>
      </w:r>
      <w:r w:rsidRPr="00E8358C">
        <w:t>hensible.]</w:t>
      </w:r>
    </w:p>
    <w:p w:rsidR="004C50DC" w:rsidRDefault="004C50DC" w:rsidP="004C50DC">
      <w:pPr>
        <w:pStyle w:val="Citation0c"/>
      </w:pPr>
      <w:r w:rsidRPr="00E8358C">
        <w:t>(Clémentine, entrevue, 20 août 2013)</w:t>
      </w:r>
    </w:p>
    <w:p w:rsidR="004C50DC" w:rsidRPr="00E8358C" w:rsidRDefault="004C50DC" w:rsidP="004C50DC">
      <w:pPr>
        <w:spacing w:before="120" w:after="120"/>
        <w:jc w:val="both"/>
        <w:rPr>
          <w:szCs w:val="22"/>
        </w:rPr>
      </w:pPr>
    </w:p>
    <w:p w:rsidR="004C50DC" w:rsidRPr="00E8358C" w:rsidRDefault="004C50DC" w:rsidP="004C50DC">
      <w:pPr>
        <w:spacing w:before="120" w:after="120"/>
        <w:jc w:val="both"/>
      </w:pPr>
      <w:r w:rsidRPr="00E8358C">
        <w:t xml:space="preserve">Le proverbe haïtien dit </w:t>
      </w:r>
      <w:r w:rsidRPr="00E8358C">
        <w:rPr>
          <w:i/>
        </w:rPr>
        <w:t>Pale fransè pa di lespri</w:t>
      </w:r>
      <w:r w:rsidRPr="00E8358C">
        <w:t xml:space="preserve"> (Parler le français n’est pas une preuve de la maîtrise du savoir) pour expliquer que l’on ne saurait évaluer le niveau de connaissances d’un Haïtien par le seul fait qu’il parle la langue française. Il est vrai que les Haïtiens</w:t>
      </w:r>
      <w:r>
        <w:t xml:space="preserve"> [316]</w:t>
      </w:r>
      <w:r w:rsidRPr="00E8358C">
        <w:t xml:space="preserve"> peuvent considérer « la langue française » comme un trophée de la victoire de la liberté sur l’esclavage. Elle est un patrimoine mémoriel du passé colonial esclavagiste. L</w:t>
      </w:r>
      <w:r w:rsidRPr="00E8358C">
        <w:rPr>
          <w:lang w:eastAsia="en-CA"/>
        </w:rPr>
        <w:t xml:space="preserve">a langue française parlée et écrite ne doit pas être </w:t>
      </w:r>
      <w:r w:rsidRPr="00E8358C">
        <w:t>un moyen de reconnaissance, de mobilité et de différe</w:t>
      </w:r>
      <w:r w:rsidRPr="00E8358C">
        <w:t>n</w:t>
      </w:r>
      <w:r w:rsidRPr="00E8358C">
        <w:t xml:space="preserve">ciation des classes sociales en Haïti. </w:t>
      </w:r>
    </w:p>
    <w:p w:rsidR="004C50DC" w:rsidRDefault="004C50DC" w:rsidP="004C50DC">
      <w:pPr>
        <w:spacing w:before="120" w:after="120"/>
        <w:jc w:val="both"/>
      </w:pPr>
      <w:r w:rsidRPr="00E8358C">
        <w:t>La réforme de l’Éducation nationale portée par le ministre Joseph C. Bernard, consacrait le français et le créole comme langues d’enseignement en Haïti. Selon Guy Alexandre « cette réforme n’a pas été désirée par l’État et le gouvernement qui, au contraire, de d</w:t>
      </w:r>
      <w:r w:rsidRPr="00E8358C">
        <w:t>i</w:t>
      </w:r>
      <w:r w:rsidRPr="00E8358C">
        <w:t>verses manières, passeront leur temps, de 1979 à 1986, à la saboter proprement de façon plus ou moins ouverte ou plus ou moins larvée selon les moments »</w:t>
      </w:r>
      <w:r>
        <w:t> </w:t>
      </w:r>
      <w:r>
        <w:rPr>
          <w:rStyle w:val="Appelnotedebasdep"/>
        </w:rPr>
        <w:footnoteReference w:id="826"/>
      </w:r>
      <w:r w:rsidRPr="00E8358C">
        <w:t>. Ce pays, au contraire, doit créer des instit</w:t>
      </w:r>
      <w:r w:rsidRPr="00E8358C">
        <w:t>u</w:t>
      </w:r>
      <w:r w:rsidRPr="00E8358C">
        <w:t>tions spécialisées (académie, centres de recherches, etc.) pour assurer la sauvegarde du créole et du français au profit des intérêts de l’ensemble de la population et de sa culture. Un tel engagement i</w:t>
      </w:r>
      <w:r w:rsidRPr="00E8358C">
        <w:t>n</w:t>
      </w:r>
      <w:r w:rsidRPr="00E8358C">
        <w:t>fluencerait le développement économique d’Haïti, car il pourrait contribuer à l’éducation d’ensemble des citoyens, car il est indéniable que le créole aide également la majorité de la population à compre</w:t>
      </w:r>
      <w:r w:rsidRPr="00E8358C">
        <w:t>n</w:t>
      </w:r>
      <w:r w:rsidRPr="00E8358C">
        <w:t>dre le social et la politique. Il est l’élément identitaire le plus répandu chez les Haïtiens. Les mots de Max Beauvoir</w:t>
      </w:r>
      <w:r>
        <w:t> </w:t>
      </w:r>
      <w:r w:rsidRPr="00E8358C">
        <w:rPr>
          <w:rStyle w:val="Appelnotedebasdep"/>
        </w:rPr>
        <w:footnoteReference w:id="827"/>
      </w:r>
      <w:r w:rsidRPr="00E8358C">
        <w:t xml:space="preserve"> donnent un sens patr</w:t>
      </w:r>
      <w:r w:rsidRPr="00E8358C">
        <w:t>i</w:t>
      </w:r>
      <w:r w:rsidRPr="00E8358C">
        <w:t>monial à l’emploi du créole.</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Nou trè kontan de kilti nou. Nou trè kontan de lang kreyòl ke n ap pale a. Ke n ap pale youn ak lòt la. Lang sa se yon koneksyon de ida</w:t>
      </w:r>
      <w:r w:rsidRPr="00E8358C">
        <w:t>n</w:t>
      </w:r>
      <w:r w:rsidRPr="00E8358C">
        <w:t xml:space="preserve">tite nou. Se li ki fè ke ou menm ki la avè m nan ou pa Dominiken. Nou pa Jamayiken, nou pa Kiben. Nou se Ayisyen paske nou tou 2 pale kreyòl, nou tou 2 se Ayisyen. </w:t>
      </w:r>
    </w:p>
    <w:p w:rsidR="004C50DC" w:rsidRDefault="004C50DC" w:rsidP="004C50DC">
      <w:pPr>
        <w:pStyle w:val="Citation0"/>
      </w:pPr>
      <w:r w:rsidRPr="00E8358C">
        <w:t>[Nous sommes très fiers de notre culture. Nous sommes autant fiers de n</w:t>
      </w:r>
      <w:r w:rsidRPr="00E8358C">
        <w:t>o</w:t>
      </w:r>
      <w:r w:rsidRPr="00E8358C">
        <w:t>tre langue créole. Celle que nous parlons tous et qui est comprise de tous les Haïtiens. Cette langue est un connecteur ident</w:t>
      </w:r>
      <w:r w:rsidRPr="00E8358C">
        <w:t>i</w:t>
      </w:r>
      <w:r w:rsidRPr="00E8358C">
        <w:t>taire. Le créole haïtien permet de différencier un citoyen haïtien d’un Dominicain, ou d’un Jama</w:t>
      </w:r>
      <w:r w:rsidRPr="00E8358C">
        <w:t>ï</w:t>
      </w:r>
      <w:r w:rsidRPr="00E8358C">
        <w:t>cain, ou encore d’un Cubain. Nous sommes Haïtiens parce que nous pa</w:t>
      </w:r>
      <w:r w:rsidRPr="00E8358C">
        <w:t>r</w:t>
      </w:r>
      <w:r w:rsidRPr="00E8358C">
        <w:t>lons le créole.]</w:t>
      </w:r>
    </w:p>
    <w:p w:rsidR="004C50DC" w:rsidRPr="00E8358C" w:rsidRDefault="004C50DC" w:rsidP="004C50DC">
      <w:pPr>
        <w:pStyle w:val="Citation0"/>
      </w:pPr>
    </w:p>
    <w:p w:rsidR="004C50DC" w:rsidRDefault="004C50DC" w:rsidP="004C50DC">
      <w:pPr>
        <w:spacing w:before="120" w:after="120"/>
        <w:jc w:val="both"/>
      </w:pPr>
      <w:r w:rsidRPr="00E8358C">
        <w:t>La valorisation du français comme langue officielle et marqueur de classe sociale ou du niveau intellectuel ne favorise pas pour autant son assimilation par la population. Le peuple haïtien reste attaché au « créole ». C’est la langue de ses joies et de ses peines. Il permet à l’Haïtien de s’ouvrir à ses compatriotes et de s’exprimer plus libr</w:t>
      </w:r>
      <w:r w:rsidRPr="00E8358C">
        <w:t>e</w:t>
      </w:r>
      <w:r w:rsidRPr="00E8358C">
        <w:t xml:space="preserve">ment. Dans le cadre de </w:t>
      </w:r>
      <w:r>
        <w:t xml:space="preserve">[317] </w:t>
      </w:r>
      <w:r w:rsidRPr="00E8358C">
        <w:t>notre enquête, la langue créole nous a été plus utile pour réaliser les entrevues sur un sujet aussi controversé. Même les intellectuels les plus avisés pré</w:t>
      </w:r>
      <w:r>
        <w:t>féraient nous parler en cré</w:t>
      </w:r>
      <w:r>
        <w:t>o</w:t>
      </w:r>
      <w:r>
        <w:t>le.</w:t>
      </w:r>
    </w:p>
    <w:p w:rsidR="004C50DC" w:rsidRPr="00E8358C" w:rsidRDefault="004C50DC" w:rsidP="004C50DC">
      <w:pPr>
        <w:spacing w:before="120" w:after="120"/>
        <w:jc w:val="both"/>
      </w:pPr>
    </w:p>
    <w:p w:rsidR="004C50DC" w:rsidRPr="00667AFA" w:rsidRDefault="004C50DC" w:rsidP="004C50DC">
      <w:pPr>
        <w:pStyle w:val="b"/>
      </w:pPr>
      <w:bookmarkStart w:id="377" w:name="_Toc406486088"/>
      <w:bookmarkStart w:id="378" w:name="_Toc406489709"/>
      <w:bookmarkStart w:id="379" w:name="_Toc423347348"/>
      <w:bookmarkStart w:id="380" w:name="_Toc442280529"/>
      <w:r w:rsidRPr="00FD20C4">
        <w:t>Proverbe</w:t>
      </w:r>
      <w:bookmarkEnd w:id="377"/>
      <w:bookmarkEnd w:id="378"/>
      <w:bookmarkEnd w:id="379"/>
      <w:bookmarkEnd w:id="380"/>
    </w:p>
    <w:p w:rsidR="004C50DC" w:rsidRDefault="004C50DC" w:rsidP="004C50DC">
      <w:pPr>
        <w:spacing w:before="120" w:after="120"/>
        <w:jc w:val="both"/>
      </w:pPr>
    </w:p>
    <w:p w:rsidR="004C50DC" w:rsidRPr="00E8358C" w:rsidRDefault="004C50DC" w:rsidP="004C50DC">
      <w:pPr>
        <w:spacing w:before="120" w:after="120"/>
        <w:jc w:val="both"/>
      </w:pPr>
      <w:r w:rsidRPr="00E8358C">
        <w:t>Le proverbe offre toujours un regard sur le groupe social et ses membres qui les formulent. Sa forme simple, concise et facile à m</w:t>
      </w:r>
      <w:r w:rsidRPr="00E8358C">
        <w:t>é</w:t>
      </w:r>
      <w:r w:rsidRPr="00E8358C">
        <w:t>moriser favorise la transmission du message.  Dans cette veine, le proverbe permet « non seulement à l’homme de comprendre la nature, mais de se comprendre lui-même »</w:t>
      </w:r>
      <w:r>
        <w:t> </w:t>
      </w:r>
      <w:r>
        <w:rPr>
          <w:rStyle w:val="Appelnotedebasdep"/>
        </w:rPr>
        <w:footnoteReference w:id="828"/>
      </w:r>
      <w:r w:rsidRPr="00E8358C">
        <w:t>, de se découvrir, de maîtriser son environnement et de nourrir ses mémoires. Il est un axe de m</w:t>
      </w:r>
      <w:r w:rsidRPr="00E8358C">
        <w:t>é</w:t>
      </w:r>
      <w:r w:rsidRPr="00E8358C">
        <w:t xml:space="preserve">moires important. Les proverbes haïtiens ne couvrent pas uniquement le temps de l’histoire esclavagiste, mais toute l’histoire d’Haïti qui va de l’Afrique à aujourd’hui. </w:t>
      </w:r>
    </w:p>
    <w:p w:rsidR="004C50DC" w:rsidRPr="00E8358C" w:rsidRDefault="004C50DC" w:rsidP="004C50DC">
      <w:pPr>
        <w:spacing w:before="120" w:after="120"/>
        <w:jc w:val="both"/>
      </w:pPr>
      <w:r w:rsidRPr="00E8358C">
        <w:t>Dans le cadre de cette étude, nous analysons les proverbes qui r</w:t>
      </w:r>
      <w:r w:rsidRPr="00E8358C">
        <w:t>é</w:t>
      </w:r>
      <w:r w:rsidRPr="00E8358C">
        <w:t>vèlent les mémoires qu’entretiennent les Haïtiens avec le passé col</w:t>
      </w:r>
      <w:r w:rsidRPr="00E8358C">
        <w:t>o</w:t>
      </w:r>
      <w:r w:rsidRPr="00E8358C">
        <w:t>nial esclavagiste. Ils font, pour la plupart, référence à l’Afrique et e</w:t>
      </w:r>
      <w:r w:rsidRPr="00E8358C">
        <w:t>x</w:t>
      </w:r>
      <w:r w:rsidRPr="00E8358C">
        <w:t>posent généralement les origines des clivages politiques, de la pauvr</w:t>
      </w:r>
      <w:r w:rsidRPr="00E8358C">
        <w:t>e</w:t>
      </w:r>
      <w:r w:rsidRPr="00E8358C">
        <w:t>té, de l’exclusion sociale, du problème de couleur en Haïti. Tous les évènements de la vie sociale haïtienne en lien avec le passé colonial esclavagiste peuvent trouver un proverbe pour les expliquer et dég</w:t>
      </w:r>
      <w:r w:rsidRPr="00E8358C">
        <w:t>a</w:t>
      </w:r>
      <w:r w:rsidRPr="00E8358C">
        <w:t>ger la philosophie de tout un peuple qui veut divorcer à jamais de la soumission absolue. Ainsi, les proverbes travaillent la mémoire et les expériences concrètes de l’esclavage aujourd’hui. À leur tour, les mémoires de l’esclavage nourrissent les proverbes pour leur donner corps et signification. Comme l’a précisé Ernest Mirville, l’</w:t>
      </w:r>
      <w:r w:rsidRPr="00E8358C">
        <w:rPr>
          <w:i/>
        </w:rPr>
        <w:t>oraliture</w:t>
      </w:r>
      <w:r w:rsidRPr="00E8358C">
        <w:t xml:space="preserve"> est loin d’être de la « littérature orale » qui « charrie souvent une note de mépris ou de dépréciation »</w:t>
      </w:r>
      <w:r>
        <w:t> </w:t>
      </w:r>
      <w:r w:rsidRPr="00E8358C">
        <w:rPr>
          <w:rStyle w:val="Appelnotedebasdep"/>
        </w:rPr>
        <w:footnoteReference w:id="829"/>
      </w:r>
      <w:r w:rsidRPr="00E8358C">
        <w:t xml:space="preserve"> comparativement à la « littérature écrite ». C’est l’essence de la philosophie et de la tradition haïtienne. Bref, le fondement de l’identité haïtienne</w:t>
      </w:r>
      <w:r>
        <w:t> </w:t>
      </w:r>
      <w:r w:rsidRPr="00E8358C">
        <w:rPr>
          <w:rStyle w:val="Appelnotedebasdep"/>
        </w:rPr>
        <w:footnoteReference w:id="830"/>
      </w:r>
      <w:r w:rsidRPr="00E8358C">
        <w:t xml:space="preserve">. </w:t>
      </w:r>
    </w:p>
    <w:p w:rsidR="004C50DC" w:rsidRDefault="004C50DC" w:rsidP="004C50DC">
      <w:pPr>
        <w:spacing w:before="120" w:after="120"/>
        <w:jc w:val="both"/>
      </w:pPr>
    </w:p>
    <w:p w:rsidR="004C50DC" w:rsidRDefault="004C50DC" w:rsidP="004C50DC">
      <w:pPr>
        <w:spacing w:before="120" w:after="120"/>
        <w:jc w:val="both"/>
      </w:pPr>
      <w:r>
        <w:t>[318]</w:t>
      </w:r>
    </w:p>
    <w:p w:rsidR="004C50DC" w:rsidRPr="00E8358C" w:rsidRDefault="004C50DC" w:rsidP="004C50DC">
      <w:pPr>
        <w:spacing w:before="120" w:after="120"/>
        <w:jc w:val="both"/>
      </w:pPr>
      <w:r w:rsidRPr="00E8358C">
        <w:t>Le créole haïtien est riche en proverbes. Il y fait beaucoup appel dans son expression, ce qui lui confère son sens très imagé. Cette c</w:t>
      </w:r>
      <w:r w:rsidRPr="00E8358C">
        <w:t>a</w:t>
      </w:r>
      <w:r w:rsidRPr="00E8358C">
        <w:t>ractéristique de la langue créole provient également des langues afr</w:t>
      </w:r>
      <w:r w:rsidRPr="00E8358C">
        <w:t>i</w:t>
      </w:r>
      <w:r w:rsidRPr="00E8358C">
        <w:t xml:space="preserve">caines qui sont fortement marquées par les proverbes. Par exemple : </w:t>
      </w:r>
      <w:r w:rsidRPr="00E8358C">
        <w:rPr>
          <w:i/>
        </w:rPr>
        <w:t xml:space="preserve">malè avèti pa tiye kokobe </w:t>
      </w:r>
      <w:r w:rsidRPr="00E8358C">
        <w:t>ou</w:t>
      </w:r>
      <w:r w:rsidRPr="00E8358C">
        <w:rPr>
          <w:i/>
        </w:rPr>
        <w:t xml:space="preserve"> gè avèti pa tiye kokobe</w:t>
      </w:r>
      <w:r w:rsidRPr="00E8358C">
        <w:t xml:space="preserve"> (Un homme ave</w:t>
      </w:r>
      <w:r w:rsidRPr="00E8358C">
        <w:t>r</w:t>
      </w:r>
      <w:r w:rsidRPr="00E8358C">
        <w:t>ti en vaut deux). Certains proverbes sur le passé colonial véhiculent des sentiments de méfiance, d’hypocrisie, de haine, de jalousie, de continuité ou de résistance à l’esclavage, évoquent des vices à corr</w:t>
      </w:r>
      <w:r w:rsidRPr="00E8358C">
        <w:t>i</w:t>
      </w:r>
      <w:r w:rsidRPr="00E8358C">
        <w:t>ger, des luttes, de l’exploitation, pour expliquer le comportement d’un peuple qui est réticent à s’ouvrir totalement aux étrangers ou à se r</w:t>
      </w:r>
      <w:r w:rsidRPr="00E8358C">
        <w:t>é</w:t>
      </w:r>
      <w:r w:rsidRPr="00E8358C">
        <w:t xml:space="preserve">aliser en dehors des sphères haïtiennes et familiales. D’autres reflètent l’espoir, la patience, la richesse, la solidarité entre les citoyens comme outils de résilience face aux problèmes quotidiens. Le terme « habitation », qui est aussi évoqué pour expliquer le sens du partage qui règne dans les </w:t>
      </w:r>
      <w:r w:rsidRPr="00E8358C">
        <w:rPr>
          <w:i/>
        </w:rPr>
        <w:t>lakou/bitasyon</w:t>
      </w:r>
      <w:r w:rsidRPr="00E8358C">
        <w:t xml:space="preserve">, tire sa source dans la volonté des anciens esclaves de se créer un monde pour se soutenir. </w:t>
      </w:r>
    </w:p>
    <w:p w:rsidR="004C50DC" w:rsidRDefault="004C50DC" w:rsidP="004C50DC">
      <w:pPr>
        <w:spacing w:before="120" w:after="120"/>
        <w:jc w:val="both"/>
      </w:pPr>
      <w:r w:rsidRPr="00E8358C">
        <w:t>Les proverbes suivants</w:t>
      </w:r>
      <w:r>
        <w:t xml:space="preserve"> appuient notre argumentation :</w:t>
      </w:r>
    </w:p>
    <w:p w:rsidR="004C50DC" w:rsidRPr="00E8358C" w:rsidRDefault="004C50DC" w:rsidP="004C50DC">
      <w:pPr>
        <w:spacing w:before="120" w:after="120"/>
        <w:jc w:val="both"/>
      </w:pPr>
    </w:p>
    <w:p w:rsidR="004C50DC" w:rsidRPr="00E8358C" w:rsidRDefault="004C50DC" w:rsidP="004C50DC">
      <w:pPr>
        <w:spacing w:before="120" w:after="120"/>
        <w:ind w:left="720" w:hanging="360"/>
        <w:jc w:val="both"/>
      </w:pPr>
      <w:r>
        <w:t>-</w:t>
      </w:r>
      <w:r>
        <w:tab/>
      </w:r>
      <w:r w:rsidRPr="00E8358C">
        <w:rPr>
          <w:i/>
        </w:rPr>
        <w:t>Manje kwit pa gen mèt</w:t>
      </w:r>
      <w:r w:rsidRPr="00E8358C">
        <w:t xml:space="preserve"> (« La nourriture une fois prête à être servie n’appartient à personne »). Cette expression créole, ou l’esprit du communautarisme haïtien est très présent, montre le désir de con</w:t>
      </w:r>
      <w:r w:rsidRPr="00E8358C">
        <w:t>s</w:t>
      </w:r>
      <w:r w:rsidRPr="00E8358C">
        <w:t>truire le « vivreensemble » haïtien. Ce sentiment de solidarité mis en relief trouve son origine dans la colonis</w:t>
      </w:r>
      <w:r w:rsidRPr="00E8358C">
        <w:t>a</w:t>
      </w:r>
      <w:r w:rsidRPr="00E8358C">
        <w:t>tion qui contraignait les esclaves à rester solidaires pour surv</w:t>
      </w:r>
      <w:r w:rsidRPr="00E8358C">
        <w:t>i</w:t>
      </w:r>
      <w:r w:rsidRPr="00E8358C">
        <w:t>vre et combattre le système escl</w:t>
      </w:r>
      <w:r w:rsidRPr="00E8358C">
        <w:t>a</w:t>
      </w:r>
      <w:r w:rsidRPr="00E8358C">
        <w:t xml:space="preserve">vagiste. </w:t>
      </w:r>
    </w:p>
    <w:p w:rsidR="004C50DC" w:rsidRPr="00E8358C" w:rsidRDefault="004C50DC" w:rsidP="004C50DC">
      <w:pPr>
        <w:spacing w:before="120" w:after="120"/>
        <w:ind w:left="720" w:hanging="360"/>
        <w:jc w:val="both"/>
      </w:pPr>
      <w:r>
        <w:t>-</w:t>
      </w:r>
      <w:r>
        <w:tab/>
      </w:r>
      <w:r w:rsidRPr="00E8358C">
        <w:rPr>
          <w:i/>
        </w:rPr>
        <w:t>Depi nan Ginen, nèg rayi nèg</w:t>
      </w:r>
      <w:r w:rsidRPr="00E8358C">
        <w:t xml:space="preserve"> (Depuis la Guinée, le nègre d</w:t>
      </w:r>
      <w:r w:rsidRPr="00E8358C">
        <w:t>é</w:t>
      </w:r>
      <w:r w:rsidRPr="00E8358C">
        <w:t>testait ses frères). La Guinée ici est le terme générique qui év</w:t>
      </w:r>
      <w:r w:rsidRPr="00E8358C">
        <w:t>o</w:t>
      </w:r>
      <w:r w:rsidRPr="00E8358C">
        <w:t>que le cont</w:t>
      </w:r>
      <w:r w:rsidRPr="00E8358C">
        <w:t>i</w:t>
      </w:r>
      <w:r w:rsidRPr="00E8358C">
        <w:t>nent africain, particulièrement l’Afrique de l’Ouest. La première ca</w:t>
      </w:r>
      <w:r w:rsidRPr="00E8358C">
        <w:t>r</w:t>
      </w:r>
      <w:r w:rsidRPr="00E8358C">
        <w:t xml:space="preserve">gaison d’esclaves, transportés depuis la </w:t>
      </w:r>
      <w:r>
        <w:t xml:space="preserve">[319] </w:t>
      </w:r>
      <w:r w:rsidRPr="00E8358C">
        <w:t xml:space="preserve">Guinée par bateau, avait été vendue sur le premier </w:t>
      </w:r>
      <w:r w:rsidRPr="00792DC7">
        <w:t xml:space="preserve">marché aux esclaves situé à Lagos (Algarve, au Portugal), </w:t>
      </w:r>
      <w:r w:rsidRPr="00E8358C">
        <w:t>en août 1444</w:t>
      </w:r>
      <w:r>
        <w:t> </w:t>
      </w:r>
      <w:r>
        <w:rPr>
          <w:rStyle w:val="Appelnotedebasdep"/>
        </w:rPr>
        <w:footnoteReference w:id="831"/>
      </w:r>
      <w:r w:rsidRPr="00E8358C">
        <w:t>. Cette Guinée dont parlaient les Port</w:t>
      </w:r>
      <w:r w:rsidRPr="00E8358C">
        <w:t>u</w:t>
      </w:r>
      <w:r w:rsidRPr="00E8358C">
        <w:t xml:space="preserve">gais ne se limitait pas à l’État de Guinée d’aujourd’hui, mais suggérait l’Afrique. Selon </w:t>
      </w:r>
      <w:r w:rsidRPr="00792DC7">
        <w:t>Gomes Eanes de</w:t>
      </w:r>
      <w:r w:rsidRPr="00E8358C">
        <w:t xml:space="preserve"> Zurara, les esclaves étaient d’o</w:t>
      </w:r>
      <w:r w:rsidRPr="00792DC7">
        <w:t>rigines et d’apparences physiques différentes, c</w:t>
      </w:r>
      <w:r w:rsidRPr="00E8358C">
        <w:t>’est-à-dire de  tribus diff</w:t>
      </w:r>
      <w:r w:rsidRPr="00E8358C">
        <w:t>é</w:t>
      </w:r>
      <w:r w:rsidRPr="00E8358C">
        <w:t>rentes. L’appellation « Guinée » est passée aussi dans le cré</w:t>
      </w:r>
      <w:r w:rsidRPr="00E8358C">
        <w:t>o</w:t>
      </w:r>
      <w:r w:rsidRPr="00E8358C">
        <w:t xml:space="preserve">le haïtien pour désigner tout le continent africain.  </w:t>
      </w:r>
    </w:p>
    <w:p w:rsidR="004C50DC" w:rsidRDefault="004C50DC" w:rsidP="004C50DC">
      <w:pPr>
        <w:spacing w:before="120" w:after="120"/>
        <w:jc w:val="both"/>
      </w:pPr>
    </w:p>
    <w:p w:rsidR="004C50DC" w:rsidRPr="00E8358C" w:rsidRDefault="004C50DC" w:rsidP="004C50DC">
      <w:pPr>
        <w:spacing w:before="120" w:after="120"/>
        <w:jc w:val="both"/>
      </w:pPr>
      <w:r w:rsidRPr="00E8358C">
        <w:t>Ce proverbe peut remonter à plus loin dans le temps pour expliquer également la participation des Africains esclavagistes à la vente et la migration forcée des Noirs pour être réduits en esclavage antérieur</w:t>
      </w:r>
      <w:r w:rsidRPr="00E8358C">
        <w:t>e</w:t>
      </w:r>
      <w:r w:rsidRPr="00E8358C">
        <w:t>ment à la Traite négrière. Cependant, c’est l’esclavage transatlantique qui donne son sens à cette expression dans la société haïtienne. Cette méfiance continue à porter plusieurs Haïtiens à croire qu’ils peuvent être toujours ou facilement trahis par un des leurs. Employé dans ce</w:t>
      </w:r>
      <w:r w:rsidRPr="00E8358C">
        <w:t>r</w:t>
      </w:r>
      <w:r w:rsidRPr="00E8358C">
        <w:t xml:space="preserve">taines circonstances, ce proverbe renvoie aussi à l’idée de haine, d’hypocrisie, de jalousie, des cas de délation qui sont des raisons de discorde dans les relations interpersonnelles en Haïti. </w:t>
      </w:r>
    </w:p>
    <w:p w:rsidR="004C50DC" w:rsidRDefault="004C50DC" w:rsidP="004C50DC">
      <w:pPr>
        <w:spacing w:before="120" w:after="120"/>
        <w:jc w:val="both"/>
      </w:pPr>
    </w:p>
    <w:p w:rsidR="004C50DC" w:rsidRPr="00E8358C" w:rsidRDefault="004C50DC" w:rsidP="004C50DC">
      <w:pPr>
        <w:spacing w:before="120" w:after="120"/>
        <w:ind w:left="720" w:hanging="360"/>
        <w:jc w:val="both"/>
      </w:pPr>
      <w:r>
        <w:t>-</w:t>
      </w:r>
      <w:r>
        <w:tab/>
      </w:r>
      <w:r w:rsidRPr="00E8358C">
        <w:rPr>
          <w:i/>
        </w:rPr>
        <w:t>Lè w bezwen kongo, ou rele l yaya</w:t>
      </w:r>
      <w:r w:rsidRPr="00E8358C">
        <w:t xml:space="preserve"> (« Quand tu veux danser le kongo, tu l’appelles yaya »). Ce proverbe signifie qu’il faut s</w:t>
      </w:r>
      <w:r w:rsidRPr="00E8358C">
        <w:t>a</w:t>
      </w:r>
      <w:r w:rsidRPr="00E8358C">
        <w:t>voir saisir les opportunités quand elles se présentent. À premi</w:t>
      </w:r>
      <w:r w:rsidRPr="00E8358C">
        <w:t>è</w:t>
      </w:r>
      <w:r w:rsidRPr="00E8358C">
        <w:t>re vue, on pourrait dire que ce proverbe relève plus d’une att</w:t>
      </w:r>
      <w:r w:rsidRPr="00E8358C">
        <w:t>i</w:t>
      </w:r>
      <w:r w:rsidRPr="00E8358C">
        <w:t xml:space="preserve">tude haïtienne que d’une évocation de l’esclavage. Toutefois, le </w:t>
      </w:r>
      <w:r w:rsidRPr="00E8358C">
        <w:rPr>
          <w:i/>
        </w:rPr>
        <w:t xml:space="preserve">kongo </w:t>
      </w:r>
      <w:r w:rsidRPr="00E8358C">
        <w:t>est la danse trad</w:t>
      </w:r>
      <w:r w:rsidRPr="00E8358C">
        <w:t>i</w:t>
      </w:r>
      <w:r w:rsidRPr="00E8358C">
        <w:t>tionnelle du royaume Kongo fondé au XIII</w:t>
      </w:r>
      <w:r w:rsidRPr="00E8358C">
        <w:rPr>
          <w:vertAlign w:val="superscript"/>
        </w:rPr>
        <w:t>e</w:t>
      </w:r>
      <w:r w:rsidRPr="00E8358C">
        <w:t xml:space="preserve"> siècle dans la région du Congo. Lors de la traite négrière, ce royaume vendait des captifs aux Portugais contre des pr</w:t>
      </w:r>
      <w:r w:rsidRPr="00E8358C">
        <w:t>o</w:t>
      </w:r>
      <w:r w:rsidRPr="00E8358C">
        <w:t>duits manufacturés. L’expansion du comme</w:t>
      </w:r>
      <w:r w:rsidRPr="00E8358C">
        <w:t>r</w:t>
      </w:r>
      <w:r w:rsidRPr="00E8358C">
        <w:t xml:space="preserve">ce triangulaire avait occasionné l’arrivée de captifs originaires du royaume Kongo dans la colonie de Saint-Domingue. Ils amenaient avec eux leur culture, notamment la fameuse danse </w:t>
      </w:r>
      <w:r w:rsidRPr="00E8358C">
        <w:rPr>
          <w:i/>
        </w:rPr>
        <w:t>kongo</w:t>
      </w:r>
      <w:r w:rsidRPr="00E8358C">
        <w:t>. A</w:t>
      </w:r>
      <w:r w:rsidRPr="00E8358C">
        <w:t>u</w:t>
      </w:r>
      <w:r w:rsidRPr="00E8358C">
        <w:t xml:space="preserve">jourd’hui, cette danse est très pratiquée en Haïti. </w:t>
      </w:r>
    </w:p>
    <w:p w:rsidR="004C50DC" w:rsidRPr="00E8358C" w:rsidRDefault="004C50DC" w:rsidP="004C50DC">
      <w:pPr>
        <w:spacing w:before="120" w:after="120"/>
        <w:ind w:left="720" w:hanging="360"/>
        <w:jc w:val="both"/>
      </w:pPr>
      <w:r w:rsidRPr="00E8358C">
        <w:t>-</w:t>
      </w:r>
      <w:r>
        <w:tab/>
      </w:r>
      <w:r w:rsidRPr="00E8358C">
        <w:rPr>
          <w:i/>
        </w:rPr>
        <w:t>Lè chat pa la, rat danse kalenda</w:t>
      </w:r>
      <w:r w:rsidRPr="00E8358C">
        <w:t xml:space="preserve"> (« Quand le chat n’est pas là, les souris dansent</w:t>
      </w:r>
      <w:r>
        <w:t xml:space="preserve"> [320]</w:t>
      </w:r>
      <w:r w:rsidRPr="00E8358C">
        <w:t xml:space="preserve"> le calenda ». Ce proverbe conserve tout ses liens avec le passé colonial. Le </w:t>
      </w:r>
      <w:r w:rsidRPr="00E8358C">
        <w:rPr>
          <w:i/>
        </w:rPr>
        <w:t>kalenda</w:t>
      </w:r>
      <w:r w:rsidRPr="00E8358C">
        <w:t xml:space="preserve"> était une danse pr</w:t>
      </w:r>
      <w:r w:rsidRPr="00E8358C">
        <w:t>a</w:t>
      </w:r>
      <w:r w:rsidRPr="00E8358C">
        <w:t xml:space="preserve">tiquée à l’époque de l’esclavage dans la colonie dominguoise. Selon le père Labat, le </w:t>
      </w:r>
      <w:r w:rsidRPr="00E8358C">
        <w:rPr>
          <w:i/>
        </w:rPr>
        <w:t>calenda</w:t>
      </w:r>
      <w:r w:rsidRPr="00E8358C">
        <w:t xml:space="preserve"> « […] vient de la Côte de Gu</w:t>
      </w:r>
      <w:r w:rsidRPr="00E8358C">
        <w:t>i</w:t>
      </w:r>
      <w:r w:rsidRPr="00E8358C">
        <w:t>née, et suivant toutes les app</w:t>
      </w:r>
      <w:r w:rsidRPr="00E8358C">
        <w:t>a</w:t>
      </w:r>
      <w:r w:rsidRPr="00E8358C">
        <w:t>rences du Royaume d’Arda. Les Espagnols l’ont apprise des Nègres, et la dansent dans toute l’Amérique de la même manière que les Nègres »</w:t>
      </w:r>
      <w:r>
        <w:t> </w:t>
      </w:r>
      <w:r>
        <w:rPr>
          <w:rStyle w:val="Appelnotedebasdep"/>
        </w:rPr>
        <w:footnoteReference w:id="832"/>
      </w:r>
      <w:r w:rsidRPr="00E8358C">
        <w:t>. Pour M</w:t>
      </w:r>
      <w:r w:rsidRPr="00E8358C">
        <w:t>o</w:t>
      </w:r>
      <w:r w:rsidRPr="00E8358C">
        <w:t xml:space="preserve">reau de Saint-Méry, le </w:t>
      </w:r>
      <w:r w:rsidRPr="00E8358C">
        <w:rPr>
          <w:i/>
        </w:rPr>
        <w:t>calenda</w:t>
      </w:r>
      <w:r w:rsidRPr="00E8358C">
        <w:t xml:space="preserve"> est la danse nègre : </w:t>
      </w:r>
    </w:p>
    <w:p w:rsidR="004C50DC" w:rsidRDefault="004C50DC" w:rsidP="004C50DC">
      <w:pPr>
        <w:spacing w:before="120" w:after="120"/>
        <w:jc w:val="both"/>
        <w:rPr>
          <w:szCs w:val="22"/>
        </w:rPr>
      </w:pPr>
    </w:p>
    <w:p w:rsidR="004C50DC" w:rsidRDefault="004C50DC" w:rsidP="004C50DC">
      <w:pPr>
        <w:pStyle w:val="Citation0"/>
      </w:pPr>
      <w:r w:rsidRPr="00E8358C">
        <w:t xml:space="preserve">La danse nègre est venue avec ceux d’Afrique à Saint-Domingue, et pour cette raison même elle est commune à ceux qui sont nés dans la colonie et qui la pratiquent presque en naissant : on l’y appelle </w:t>
      </w:r>
      <w:r w:rsidRPr="00E8358C">
        <w:rPr>
          <w:i/>
        </w:rPr>
        <w:t>C</w:t>
      </w:r>
      <w:r w:rsidRPr="00E8358C">
        <w:rPr>
          <w:i/>
        </w:rPr>
        <w:t>a</w:t>
      </w:r>
      <w:r w:rsidRPr="00E8358C">
        <w:rPr>
          <w:i/>
        </w:rPr>
        <w:t>lenda</w:t>
      </w:r>
      <w:r w:rsidRPr="00E8358C">
        <w:t xml:space="preserve">. Pour danser le </w:t>
      </w:r>
      <w:r w:rsidRPr="00E8358C">
        <w:rPr>
          <w:i/>
        </w:rPr>
        <w:t>Calenda</w:t>
      </w:r>
      <w:r w:rsidRPr="00E8358C">
        <w:t>, les Nègres ont deux tambours faits, quand ils le peuvent, avec des morceaux de bois creux d’une seule pièce</w:t>
      </w:r>
      <w:r>
        <w:t> </w:t>
      </w:r>
      <w:r>
        <w:rPr>
          <w:rStyle w:val="Appelnotedebasdep"/>
        </w:rPr>
        <w:footnoteReference w:id="833"/>
      </w:r>
      <w:r w:rsidRPr="00E8358C">
        <w:t>.</w:t>
      </w:r>
    </w:p>
    <w:p w:rsidR="004C50DC" w:rsidRPr="00E8358C" w:rsidRDefault="004C50DC" w:rsidP="004C50DC">
      <w:pPr>
        <w:pStyle w:val="Citation0"/>
      </w:pPr>
    </w:p>
    <w:p w:rsidR="004C50DC" w:rsidRPr="00E8358C" w:rsidRDefault="004C50DC" w:rsidP="004C50DC">
      <w:pPr>
        <w:spacing w:before="120" w:after="120"/>
        <w:jc w:val="both"/>
        <w:rPr>
          <w:lang w:eastAsia="ja-JP"/>
        </w:rPr>
      </w:pPr>
      <w:r w:rsidRPr="00E8358C">
        <w:t>La danse calenda était surtout dansée par les esclaves « munis d’un billet de permission (jusqu’à 21 heures) »</w:t>
      </w:r>
      <w:r>
        <w:t> </w:t>
      </w:r>
      <w:r>
        <w:rPr>
          <w:rStyle w:val="Appelnotedebasdep"/>
        </w:rPr>
        <w:footnoteReference w:id="834"/>
      </w:r>
      <w:r w:rsidRPr="00E8358C">
        <w:t xml:space="preserve"> ou en absence de leur ma</w:t>
      </w:r>
      <w:r w:rsidRPr="00E8358C">
        <w:t>î</w:t>
      </w:r>
      <w:r w:rsidRPr="00E8358C">
        <w:t xml:space="preserve">tre. </w:t>
      </w:r>
      <w:r w:rsidRPr="00E8358C">
        <w:rPr>
          <w:lang w:eastAsia="ja-JP"/>
        </w:rPr>
        <w:t xml:space="preserve">Cette danse rappelle vaguement les pas de danse du </w:t>
      </w:r>
      <w:r w:rsidRPr="00E8358C">
        <w:rPr>
          <w:i/>
          <w:lang w:eastAsia="ja-JP"/>
        </w:rPr>
        <w:t>kongo</w:t>
      </w:r>
      <w:r w:rsidRPr="00E8358C">
        <w:rPr>
          <w:lang w:eastAsia="ja-JP"/>
        </w:rPr>
        <w:t xml:space="preserve">.  </w:t>
      </w:r>
    </w:p>
    <w:p w:rsidR="004C50DC" w:rsidRDefault="004C50DC" w:rsidP="004C50DC">
      <w:pPr>
        <w:spacing w:before="120" w:after="120"/>
        <w:jc w:val="both"/>
      </w:pPr>
      <w:r w:rsidRPr="00E8358C">
        <w:rPr>
          <w:lang w:eastAsia="ja-JP"/>
        </w:rPr>
        <w:t>La patience, la persévérance et la solidarité trouvent toutes leur place dans les proverbes haïtiens en rapport avec le passé colonial. L’expression « Y</w:t>
      </w:r>
      <w:r w:rsidRPr="00E8358C">
        <w:t xml:space="preserve">on pa kita, </w:t>
      </w:r>
      <w:r w:rsidRPr="00E8358C">
        <w:rPr>
          <w:lang w:eastAsia="ja-JP"/>
        </w:rPr>
        <w:t>yon</w:t>
      </w:r>
      <w:r w:rsidRPr="00E8358C">
        <w:t xml:space="preserve"> pa nago » traduit aujourd’hui un nouveau symbole de l’unité. Les manifestations « kita nago »</w:t>
      </w:r>
      <w:r>
        <w:t> </w:t>
      </w:r>
      <w:r>
        <w:rPr>
          <w:rStyle w:val="Appelnotedebasdep"/>
        </w:rPr>
        <w:footnoteReference w:id="835"/>
      </w:r>
      <w:r>
        <w:t xml:space="preserve"> </w:t>
      </w:r>
      <w:r w:rsidRPr="00E8358C">
        <w:t>ont eu un grand écho en 2013. Elles ont pu démontrer, une fois de plus, la puissance de la solidarité inscrite dans la devise adoptée par Haïti, « l’union fait la force » (</w:t>
      </w:r>
      <w:r w:rsidRPr="00E8358C">
        <w:rPr>
          <w:i/>
        </w:rPr>
        <w:t xml:space="preserve">Men anpil chay pa lou </w:t>
      </w:r>
      <w:r w:rsidRPr="00E8358C">
        <w:t>ou encore</w:t>
      </w:r>
      <w:r w:rsidRPr="00E8358C">
        <w:rPr>
          <w:i/>
        </w:rPr>
        <w:t xml:space="preserve"> Yon sèl dwèt pa manje kalalou</w:t>
      </w:r>
      <w:r w:rsidRPr="00E8358C">
        <w:t>) (Figure 42).</w:t>
      </w:r>
    </w:p>
    <w:p w:rsidR="004C50DC" w:rsidRDefault="004C50DC" w:rsidP="004C50DC">
      <w:pPr>
        <w:spacing w:before="120" w:after="120"/>
        <w:jc w:val="both"/>
      </w:pPr>
    </w:p>
    <w:p w:rsidR="004C50DC" w:rsidRDefault="004C50DC" w:rsidP="004C50DC">
      <w:pPr>
        <w:spacing w:before="120" w:after="120"/>
        <w:jc w:val="both"/>
      </w:pPr>
      <w:r>
        <w:t>[321]</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980180" cy="2646680"/>
            <wp:effectExtent l="25400" t="25400" r="7620" b="7620"/>
            <wp:docPr id="50" name="Image 1" descr="kita-nago-from-Kita-Nago-on-Facebo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kita-nago-from-Kita-Nago-on-Facebook"/>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80180" cy="264668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381" w:name="_Toc417146084"/>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1"/>
      </w:pPr>
      <w:bookmarkStart w:id="382" w:name="Memoire_fig_42"/>
      <w:r w:rsidRPr="00667AFA">
        <w:t xml:space="preserve">Figure </w:t>
      </w:r>
      <w:r w:rsidRPr="00667AFA">
        <w:fldChar w:fldCharType="begin"/>
      </w:r>
      <w:r w:rsidR="00EF1554">
        <w:instrText>SEQ</w:instrText>
      </w:r>
      <w:r w:rsidRPr="00667AFA">
        <w:instrText xml:space="preserve"> Figure \* ARABIC </w:instrText>
      </w:r>
      <w:r w:rsidRPr="00667AFA">
        <w:fldChar w:fldCharType="separate"/>
      </w:r>
      <w:r>
        <w:rPr>
          <w:noProof/>
        </w:rPr>
        <w:t>42</w:t>
      </w:r>
      <w:r w:rsidRPr="00667AFA">
        <w:fldChar w:fldCharType="end"/>
      </w:r>
      <w:r w:rsidRPr="00667AFA">
        <w:t>.</w:t>
      </w:r>
      <w:r>
        <w:t xml:space="preserve"> </w:t>
      </w:r>
      <w:r w:rsidRPr="00667AFA">
        <w:t>Femmes transportant le tronc d’arbre dans la manife</w:t>
      </w:r>
      <w:r w:rsidRPr="00667AFA">
        <w:t>s</w:t>
      </w:r>
      <w:r w:rsidRPr="00667AFA">
        <w:t>tation « Kita Nago »</w:t>
      </w:r>
      <w:bookmarkEnd w:id="381"/>
      <w:r>
        <w:t xml:space="preserve">. </w:t>
      </w:r>
      <w:r w:rsidRPr="00E8358C">
        <w:rPr>
          <w:szCs w:val="18"/>
        </w:rPr>
        <w:t>Phototographie Alter Presse</w:t>
      </w:r>
      <w:r>
        <w:rPr>
          <w:i w:val="0"/>
          <w:szCs w:val="18"/>
        </w:rPr>
        <w:t> </w:t>
      </w:r>
      <w:r>
        <w:rPr>
          <w:rStyle w:val="Appelnotedebasdep"/>
          <w:i w:val="0"/>
          <w:szCs w:val="18"/>
        </w:rPr>
        <w:footnoteReference w:id="836"/>
      </w:r>
    </w:p>
    <w:bookmarkEnd w:id="382"/>
    <w:p w:rsidR="004C50DC" w:rsidRPr="00E8358C" w:rsidRDefault="004C50DC" w:rsidP="004C50DC">
      <w:pPr>
        <w:spacing w:before="120" w:after="120"/>
        <w:jc w:val="both"/>
        <w:rPr>
          <w:b/>
        </w:rPr>
      </w:pPr>
    </w:p>
    <w:p w:rsidR="004C50DC" w:rsidRPr="00E8358C" w:rsidRDefault="004C50DC" w:rsidP="004C50DC">
      <w:pPr>
        <w:spacing w:before="120" w:after="120"/>
        <w:ind w:left="720" w:hanging="360"/>
        <w:jc w:val="both"/>
      </w:pPr>
      <w:r>
        <w:t>-</w:t>
      </w:r>
      <w:r>
        <w:tab/>
      </w:r>
      <w:r w:rsidRPr="00E8358C">
        <w:rPr>
          <w:i/>
        </w:rPr>
        <w:t>Milat pòv se nèg, nèg rich se milat</w:t>
      </w:r>
      <w:r w:rsidRPr="00E8358C">
        <w:t xml:space="preserve"> (« Le mulâtre pauvre est un Nègre, le Nègre riche est un mulâtre »). Cette expression re</w:t>
      </w:r>
      <w:r w:rsidRPr="00E8358C">
        <w:t>n</w:t>
      </w:r>
      <w:r w:rsidRPr="00E8358C">
        <w:t>voie à la problématique de couleur en Haïti qui a sa source dans le passé col</w:t>
      </w:r>
      <w:r w:rsidRPr="00E8358C">
        <w:t>o</w:t>
      </w:r>
      <w:r w:rsidRPr="00E8358C">
        <w:t>nial esclavagiste. Ce proverbe traduit le fait que la question de couleur repose sur des motifs plutôt économiques, c’est-à-dire que c’est la r</w:t>
      </w:r>
      <w:r w:rsidRPr="00E8358C">
        <w:t>i</w:t>
      </w:r>
      <w:r w:rsidRPr="00E8358C">
        <w:t xml:space="preserve">chesse qui détermine le niveau social et la couleur épidermique des Haïtiens. </w:t>
      </w:r>
    </w:p>
    <w:p w:rsidR="004C50DC" w:rsidRDefault="004C50DC" w:rsidP="004C50DC">
      <w:pPr>
        <w:spacing w:before="120" w:after="120"/>
        <w:jc w:val="both"/>
      </w:pPr>
    </w:p>
    <w:p w:rsidR="004C50DC" w:rsidRDefault="004C50DC" w:rsidP="004C50DC">
      <w:pPr>
        <w:spacing w:before="120" w:after="120"/>
        <w:jc w:val="both"/>
      </w:pPr>
      <w:r w:rsidRPr="00E8358C">
        <w:t>Pour répondre à l’accusation de génocide des Blancs dans la col</w:t>
      </w:r>
      <w:r w:rsidRPr="00E8358C">
        <w:t>o</w:t>
      </w:r>
      <w:r w:rsidRPr="00E8358C">
        <w:t>nie de Saint-Domingue, souvent portée contre Jean-Jacques Dessal</w:t>
      </w:r>
      <w:r w:rsidRPr="00E8358C">
        <w:t>i</w:t>
      </w:r>
      <w:r w:rsidRPr="00E8358C">
        <w:t>nes et les autres généraux de l’armée indigène, Pierre, étudiant en m</w:t>
      </w:r>
      <w:r w:rsidRPr="00E8358C">
        <w:t>é</w:t>
      </w:r>
      <w:r w:rsidRPr="00E8358C">
        <w:t>decine, n’hésite pas à avancer :</w:t>
      </w:r>
    </w:p>
    <w:p w:rsidR="004C50DC" w:rsidRPr="00E8358C" w:rsidRDefault="004C50DC" w:rsidP="004C50DC">
      <w:pPr>
        <w:spacing w:before="120" w:after="120"/>
        <w:jc w:val="both"/>
      </w:pPr>
    </w:p>
    <w:p w:rsidR="004C50DC" w:rsidRPr="00E8358C" w:rsidRDefault="004C50DC" w:rsidP="004C50DC">
      <w:pPr>
        <w:pStyle w:val="Citation0"/>
      </w:pPr>
      <w:r w:rsidRPr="00E8358C">
        <w:t>M pa kwè te gen jenosid la. Li toujou fasil pou n kritike sa zanzèt ayisyen yo te fè pou bay libète a. Men yo bliye tout mechanste, konbyen nèg e</w:t>
      </w:r>
      <w:r w:rsidRPr="00E8358C">
        <w:t>s</w:t>
      </w:r>
      <w:r w:rsidRPr="00E8358C">
        <w:t>klav yo tiye, tòtire, imilye, pann, fè chyen manje yo. Li t ap vreman enjis si se konsa nou konprann li san n pa wè kontèks kol</w:t>
      </w:r>
      <w:r w:rsidRPr="00E8358C">
        <w:t>o</w:t>
      </w:r>
      <w:r w:rsidRPr="00E8358C">
        <w:t>nyal esklavajis ki fè sa rive a. Ebyen pou mwen se repons ak sa yo te fè yo pase nan plant</w:t>
      </w:r>
      <w:r w:rsidRPr="00E8358C">
        <w:t>a</w:t>
      </w:r>
      <w:r w:rsidRPr="00E8358C">
        <w:t xml:space="preserve">syon, nan bitasyon, nan chan kann yo pandan plis pase 200 lane.  </w:t>
      </w:r>
    </w:p>
    <w:p w:rsidR="004C50DC" w:rsidRDefault="004C50DC" w:rsidP="004C50DC">
      <w:pPr>
        <w:pStyle w:val="Citation0"/>
      </w:pPr>
      <w:r w:rsidRPr="00E8358C">
        <w:t>[Je ne crois pas qu’il y ait eu de génocide ici. C’est toujours facile de crit</w:t>
      </w:r>
      <w:r w:rsidRPr="00E8358C">
        <w:t>i</w:t>
      </w:r>
      <w:r w:rsidRPr="00E8358C">
        <w:t>quer les actions des pères de la patrie haïtienne pour libérer la colonie de l’esclavagisme français. Mais on oublie toujours les atroc</w:t>
      </w:r>
      <w:r w:rsidRPr="00E8358C">
        <w:t>i</w:t>
      </w:r>
      <w:r w:rsidRPr="00E8358C">
        <w:t xml:space="preserve">tés, le nombre de Noirs esclaves qui ont été exécutés, torturés, tués, humiliés, pendus et pourchassés par des chiens dressés. C’est </w:t>
      </w:r>
      <w:r>
        <w:t xml:space="preserve">[322] </w:t>
      </w:r>
      <w:r w:rsidRPr="00E8358C">
        <w:t>vraiment injuste de le comprendre ainsi sans tenir compte du contexte colonial esclavagiste pour bien asseoir les analyses. Pour moi, il faut voir dans ces actions la réponse aux mauvais traitements et aux atroc</w:t>
      </w:r>
      <w:r w:rsidRPr="00E8358C">
        <w:t>i</w:t>
      </w:r>
      <w:r w:rsidRPr="00E8358C">
        <w:t>tés infligés aux esclaves par certains colons durant plus de deux cents ans].</w:t>
      </w:r>
    </w:p>
    <w:p w:rsidR="004C50DC" w:rsidRDefault="004C50DC" w:rsidP="004C50DC">
      <w:pPr>
        <w:pStyle w:val="Citation0c"/>
      </w:pPr>
      <w:r w:rsidRPr="00E8358C">
        <w:t>(Pierre, entrevue, Tabarre, 29 septembre 2013)</w:t>
      </w:r>
    </w:p>
    <w:p w:rsidR="004C50DC" w:rsidRPr="00E8358C" w:rsidRDefault="004C50DC" w:rsidP="004C50DC">
      <w:pPr>
        <w:pStyle w:val="Citation0c"/>
      </w:pPr>
    </w:p>
    <w:p w:rsidR="004C50DC" w:rsidRPr="00E8358C" w:rsidRDefault="004C50DC" w:rsidP="004C50DC">
      <w:pPr>
        <w:spacing w:before="120" w:after="120"/>
        <w:jc w:val="both"/>
      </w:pPr>
      <w:r w:rsidRPr="00E8358C">
        <w:t>Certains critiques prennent peu en compte le contexte social et hi</w:t>
      </w:r>
      <w:r w:rsidRPr="00E8358C">
        <w:t>s</w:t>
      </w:r>
      <w:r w:rsidRPr="00E8358C">
        <w:t>torique de la dernière décennie du XVIII</w:t>
      </w:r>
      <w:r w:rsidRPr="00E8358C">
        <w:rPr>
          <w:vertAlign w:val="superscript"/>
        </w:rPr>
        <w:t>e</w:t>
      </w:r>
      <w:r w:rsidRPr="00E8358C">
        <w:t xml:space="preserve"> siècle à Saint-Domingue et du début du XIX</w:t>
      </w:r>
      <w:r w:rsidRPr="00E8358C">
        <w:rPr>
          <w:vertAlign w:val="superscript"/>
        </w:rPr>
        <w:t>e</w:t>
      </w:r>
      <w:r w:rsidRPr="00E8358C">
        <w:t xml:space="preserve"> siècle en Haïti avant d’émettre leur jugement. D</w:t>
      </w:r>
      <w:r w:rsidRPr="00E8358C">
        <w:t>u</w:t>
      </w:r>
      <w:r w:rsidRPr="00E8358C">
        <w:t>rant la guerre de l’Indépendance, des Blancs, notamment des éduc</w:t>
      </w:r>
      <w:r w:rsidRPr="00E8358C">
        <w:t>a</w:t>
      </w:r>
      <w:r w:rsidRPr="00E8358C">
        <w:t>teurs ou des médecins et naturalistes, ont été épargnés malgré les o</w:t>
      </w:r>
      <w:r w:rsidRPr="00E8358C">
        <w:t>r</w:t>
      </w:r>
      <w:r w:rsidRPr="00E8358C">
        <w:t xml:space="preserve">dres révolutionnaires de Dessalines : </w:t>
      </w:r>
      <w:r w:rsidRPr="00E8358C">
        <w:rPr>
          <w:i/>
        </w:rPr>
        <w:t>koupe tèt, boule kay</w:t>
      </w:r>
      <w:r w:rsidRPr="00E8358C">
        <w:t xml:space="preserve"> (« décapitez-les, brûlez leurs maisons »). Ces Blancs ont été aidés par des esclaves ou même des proches de Dessalines. Par exemple, M</w:t>
      </w:r>
      <w:r w:rsidRPr="00E8358C">
        <w:t>i</w:t>
      </w:r>
      <w:r w:rsidRPr="00E8358C">
        <w:t>chel Étienne Descourtilz témoigne de sa reconnaissance envers Claire-Heureuse, la femme de Dessalines, chez qui il s’est réfugié en se c</w:t>
      </w:r>
      <w:r w:rsidRPr="00E8358C">
        <w:t>a</w:t>
      </w:r>
      <w:r w:rsidRPr="00E8358C">
        <w:t>chant sous un lit</w:t>
      </w:r>
      <w:r>
        <w:t> </w:t>
      </w:r>
      <w:r w:rsidRPr="00E8358C">
        <w:rPr>
          <w:rStyle w:val="Appelnotedebasdep"/>
        </w:rPr>
        <w:footnoteReference w:id="837"/>
      </w:r>
      <w:r w:rsidRPr="00E8358C">
        <w:t>. Certes, on n’ignore pas que durant cette période « l’ivresse du sang devint la psychose collective dont la communauté tout entière fut affectée »</w:t>
      </w:r>
      <w:r>
        <w:t> </w:t>
      </w:r>
      <w:r w:rsidRPr="00E8358C">
        <w:rPr>
          <w:rStyle w:val="Appelnotedebasdep"/>
        </w:rPr>
        <w:footnoteReference w:id="838"/>
      </w:r>
      <w:r w:rsidRPr="00E8358C">
        <w:t>, comme l’avait souligné Jean Price-Mars.</w:t>
      </w:r>
    </w:p>
    <w:p w:rsidR="004C50DC" w:rsidRDefault="004C50DC" w:rsidP="004C50DC">
      <w:pPr>
        <w:spacing w:before="120" w:after="120"/>
        <w:jc w:val="both"/>
      </w:pPr>
      <w:r w:rsidRPr="00E8358C">
        <w:t>Leslie Péan croit que « cette mutation est nécessaire pour que les deux souffrances de l’ancien esclave et de l’ancien maître puissent être partagées »</w:t>
      </w:r>
      <w:r>
        <w:t> </w:t>
      </w:r>
      <w:r w:rsidRPr="00E8358C">
        <w:rPr>
          <w:rStyle w:val="Appelnotedebasdep"/>
        </w:rPr>
        <w:footnoteReference w:id="839"/>
      </w:r>
      <w:r w:rsidRPr="00E8358C">
        <w:t>. Ainsi, les places sont interchangeables entre bou</w:t>
      </w:r>
      <w:r w:rsidRPr="00E8358C">
        <w:t>r</w:t>
      </w:r>
      <w:r w:rsidRPr="00E8358C">
        <w:t>reaux et victimes dans le désir de meurtre</w:t>
      </w:r>
      <w:r>
        <w:t> </w:t>
      </w:r>
      <w:r w:rsidRPr="00E8358C">
        <w:rPr>
          <w:rStyle w:val="Appelnotedebasdep"/>
        </w:rPr>
        <w:footnoteReference w:id="840"/>
      </w:r>
      <w:r w:rsidRPr="00E8358C">
        <w:t xml:space="preserve">. Le proverbe  </w:t>
      </w:r>
      <w:r w:rsidRPr="00E8358C">
        <w:rPr>
          <w:i/>
        </w:rPr>
        <w:t xml:space="preserve">Sa nèg fè nèg Bondye ri </w:t>
      </w:r>
      <w:r w:rsidRPr="00E8358C">
        <w:t xml:space="preserve">(« Ce que l’homme fait à l’homme fait rire le Bon Dieu ») traduit la situation de vengeance des esclaves contre les Blancs. Il faut reconnaître également que le sceau symbolique del’esclavage était encore visible sur la peau des combattants aguerris et déterminés : </w:t>
      </w:r>
      <w:r w:rsidRPr="00E8358C">
        <w:rPr>
          <w:i/>
        </w:rPr>
        <w:t>Bay kou bliye, pote mak sonje</w:t>
      </w:r>
      <w:r>
        <w:t>.</w:t>
      </w:r>
    </w:p>
    <w:p w:rsidR="004C50DC" w:rsidRPr="00E8358C" w:rsidRDefault="004C50DC" w:rsidP="004C50DC">
      <w:pPr>
        <w:spacing w:before="120" w:after="120"/>
        <w:jc w:val="both"/>
      </w:pPr>
    </w:p>
    <w:p w:rsidR="004C50DC" w:rsidRPr="00667AFA" w:rsidRDefault="004C50DC" w:rsidP="004C50DC">
      <w:pPr>
        <w:pStyle w:val="b"/>
      </w:pPr>
      <w:bookmarkStart w:id="383" w:name="_Toc423347349"/>
      <w:bookmarkStart w:id="384" w:name="_Toc442280530"/>
      <w:r w:rsidRPr="00667AFA">
        <w:t>Contes</w:t>
      </w:r>
      <w:bookmarkEnd w:id="383"/>
      <w:bookmarkEnd w:id="384"/>
    </w:p>
    <w:p w:rsidR="004C50DC" w:rsidRDefault="004C50DC" w:rsidP="004C50DC">
      <w:pPr>
        <w:spacing w:before="120" w:after="120"/>
        <w:jc w:val="both"/>
      </w:pPr>
    </w:p>
    <w:p w:rsidR="004C50DC" w:rsidRPr="00E8358C" w:rsidRDefault="004C50DC" w:rsidP="004C50DC">
      <w:pPr>
        <w:spacing w:before="120" w:after="120"/>
        <w:jc w:val="both"/>
      </w:pPr>
      <w:r w:rsidRPr="00E8358C">
        <w:t>Le conte, à l’origine, est défini comme un récit oral court qui exp</w:t>
      </w:r>
      <w:r w:rsidRPr="00E8358C">
        <w:t>o</w:t>
      </w:r>
      <w:r w:rsidRPr="00E8358C">
        <w:t xml:space="preserve">se une histoire ou des événements issus de l’imaginaire. Il est donc symbolique et ne peut être tenu pour vrai. </w:t>
      </w:r>
      <w:r>
        <w:t xml:space="preserve">[323] </w:t>
      </w:r>
      <w:r w:rsidRPr="00E8358C">
        <w:t>Toutefois, le conte reste vivant et peut permettre de comprendre la société dont il est le fruit. Cette caractéristique d’objet social lie le conte aux autres prat</w:t>
      </w:r>
      <w:r w:rsidRPr="00E8358C">
        <w:t>i</w:t>
      </w:r>
      <w:r w:rsidRPr="00E8358C">
        <w:t>ques culturelles qui constituent les mémoires. Selon Jean Cauvin, le conte est une production commune, typique d’une société orale. Il a un but à la fois éducatif (parce qu’il traite des problèmes humains par des aventures, propose une morale, transmet les mémoires) et ludique (parce qu’il divertit les gens)</w:t>
      </w:r>
      <w:r>
        <w:t> </w:t>
      </w:r>
      <w:r w:rsidRPr="00E8358C">
        <w:rPr>
          <w:rStyle w:val="Appelnotedebasdep"/>
        </w:rPr>
        <w:footnoteReference w:id="841"/>
      </w:r>
      <w:r w:rsidRPr="00E8358C">
        <w:t>. On s’accorde aujourd’hui sur le fait que le conte passe de la narration populaire à la tradition littéraire. Les histoires traditionnelles populaires haïtiennes renvoient à un passé qui remonte à plusieurs siècles. Elles ont été transcrites par des écrivains tels qu’Alibée Féry</w:t>
      </w:r>
      <w:r>
        <w:t> </w:t>
      </w:r>
      <w:r w:rsidRPr="00E8358C">
        <w:rPr>
          <w:rStyle w:val="Appelnotedebasdep"/>
        </w:rPr>
        <w:footnoteReference w:id="842"/>
      </w:r>
      <w:r w:rsidRPr="00E8358C">
        <w:t>, Mimi Barthelemy</w:t>
      </w:r>
      <w:r>
        <w:t> </w:t>
      </w:r>
      <w:r>
        <w:rPr>
          <w:rStyle w:val="Appelnotedebasdep"/>
        </w:rPr>
        <w:footnoteReference w:id="843"/>
      </w:r>
      <w:r w:rsidRPr="00E8358C">
        <w:t>, Carl Bouard</w:t>
      </w:r>
      <w:r>
        <w:t> </w:t>
      </w:r>
      <w:r>
        <w:rPr>
          <w:rStyle w:val="Appelnotedebasdep"/>
        </w:rPr>
        <w:footnoteReference w:id="844"/>
      </w:r>
      <w:r w:rsidRPr="00E8358C">
        <w:t xml:space="preserve"> et Charles Perrault</w:t>
      </w:r>
      <w:r>
        <w:t> </w:t>
      </w:r>
      <w:r>
        <w:rPr>
          <w:rStyle w:val="Appelnotedebasdep"/>
        </w:rPr>
        <w:footnoteReference w:id="845"/>
      </w:r>
      <w:r w:rsidRPr="00E8358C">
        <w:t>. D’autres ont analysé leur utilisation sociopolitique, co</w:t>
      </w:r>
      <w:r w:rsidRPr="00E8358C">
        <w:t>m</w:t>
      </w:r>
      <w:r w:rsidRPr="00E8358C">
        <w:t>me Laënnec Hurbon</w:t>
      </w:r>
      <w:r>
        <w:t> </w:t>
      </w:r>
      <w:r>
        <w:rPr>
          <w:rStyle w:val="Appelnotedebasdep"/>
        </w:rPr>
        <w:footnoteReference w:id="846"/>
      </w:r>
      <w:r w:rsidRPr="00E8358C">
        <w:t>. Cependant, force est de constater que, de plus en plus, les auteurs haïtiens inventent ou réinventent des contes que l’on retrouve en librairie ou en bibliothèque sous forme d’albums qui re</w:t>
      </w:r>
      <w:r w:rsidRPr="00E8358C">
        <w:t>n</w:t>
      </w:r>
      <w:r w:rsidRPr="00E8358C">
        <w:t>trent dans le domaine de la « littérature jeunesse »</w:t>
      </w:r>
      <w:r>
        <w:t> </w:t>
      </w:r>
      <w:r>
        <w:rPr>
          <w:rStyle w:val="Appelnotedebasdep"/>
        </w:rPr>
        <w:footnoteReference w:id="847"/>
      </w:r>
      <w:r w:rsidRPr="00E8358C">
        <w:t>, ce que confirme Dominique Demers : « le conte réinventé […], qui cha</w:t>
      </w:r>
      <w:r w:rsidRPr="00E8358C">
        <w:t>m</w:t>
      </w:r>
      <w:r w:rsidRPr="00E8358C">
        <w:t>boule tout […] semble vouloir prendre racine en littérature de jeunesse »</w:t>
      </w:r>
      <w:r>
        <w:t> </w:t>
      </w:r>
      <w:r>
        <w:rPr>
          <w:rStyle w:val="Appelnotedebasdep"/>
        </w:rPr>
        <w:footnoteReference w:id="848"/>
      </w:r>
      <w:r w:rsidRPr="00E8358C">
        <w:t>. Ce</w:t>
      </w:r>
      <w:r w:rsidRPr="00E8358C">
        <w:t>t</w:t>
      </w:r>
      <w:r w:rsidRPr="00E8358C">
        <w:t>te tendance risque de faire perdre aux contes populaires leurs valeurs historiques, sociales ou morales, si l’auteur occulte les réalités du m</w:t>
      </w:r>
      <w:r w:rsidRPr="00E8358C">
        <w:t>i</w:t>
      </w:r>
      <w:r w:rsidRPr="00E8358C">
        <w:t>lieu pour lequel il écrit.</w:t>
      </w:r>
    </w:p>
    <w:p w:rsidR="004C50DC" w:rsidRPr="00E8358C" w:rsidRDefault="004C50DC" w:rsidP="004C50DC">
      <w:pPr>
        <w:spacing w:before="120" w:after="120"/>
        <w:jc w:val="both"/>
      </w:pPr>
      <w:r w:rsidRPr="00E8358C">
        <w:t>En Haïti, à la tombée de la nuit et dans un contexte de camaraderie en milieu rural et de moins en moins en cercle urbain, on raconte des contes (</w:t>
      </w:r>
      <w:r w:rsidRPr="00E8358C">
        <w:rPr>
          <w:i/>
        </w:rPr>
        <w:t>tire kont</w:t>
      </w:r>
      <w:r w:rsidRPr="00E8358C">
        <w:t>). Par exemple, à Jérémie, quand j’étais enfant, on se racontait des contes entre amis et on jouait aux devinettes. C’était avec un immense plaisir que nous écoutions les récits que nous r</w:t>
      </w:r>
      <w:r w:rsidRPr="00E8358C">
        <w:t>a</w:t>
      </w:r>
      <w:r w:rsidRPr="00E8358C">
        <w:t>contaient parfois les adultes. En milieu rural, c’est un moment de r</w:t>
      </w:r>
      <w:r w:rsidRPr="00E8358C">
        <w:t>e</w:t>
      </w:r>
      <w:r w:rsidRPr="00E8358C">
        <w:t>pos favorable à la transmission de la</w:t>
      </w:r>
      <w:r>
        <w:t xml:space="preserve"> [324]</w:t>
      </w:r>
      <w:r w:rsidRPr="00E8358C">
        <w:t xml:space="preserve"> mémoire et  du « vivre e</w:t>
      </w:r>
      <w:r w:rsidRPr="00E8358C">
        <w:t>n</w:t>
      </w:r>
      <w:r w:rsidRPr="00E8358C">
        <w:t>semble » que les plus vieux (</w:t>
      </w:r>
      <w:r w:rsidRPr="00E8358C">
        <w:rPr>
          <w:i/>
        </w:rPr>
        <w:t>grandèt</w:t>
      </w:r>
      <w:r w:rsidRPr="00E8358C">
        <w:t>) transmettent aux jeunes. Car il faut se connaître pour pouvoir mieux s’ouvrir aux autres et se co</w:t>
      </w:r>
      <w:r w:rsidRPr="00E8358C">
        <w:t>m</w:t>
      </w:r>
      <w:r w:rsidRPr="00E8358C">
        <w:t xml:space="preserve">prendre. Le conte est l’un des moyens qui permettent de conserver des éléments mémoriels de l’esclavage en Haïti. C’est un patrimoine oral important qui laisse transparaître une certaine philosophie haïtienne. Malheureusement, cette pratique culturelle est menacée de disparition  aujourd’hui. </w:t>
      </w:r>
    </w:p>
    <w:p w:rsidR="004C50DC" w:rsidRPr="00E8358C" w:rsidRDefault="004C50DC" w:rsidP="004C50DC">
      <w:pPr>
        <w:spacing w:before="120" w:after="120"/>
        <w:jc w:val="both"/>
      </w:pPr>
      <w:r w:rsidRPr="00E8358C">
        <w:t>La mémoire de l’esclavage n’est pas seulement l’aspect doulo</w:t>
      </w:r>
      <w:r w:rsidRPr="00E8358C">
        <w:t>u</w:t>
      </w:r>
      <w:r w:rsidRPr="00E8358C">
        <w:t>reux du passé colonial. Transportés dans la colonie de Saint-Domingue, les esclaves africains n’avaient pas de richesses matérie</w:t>
      </w:r>
      <w:r w:rsidRPr="00E8358C">
        <w:t>l</w:t>
      </w:r>
      <w:r w:rsidRPr="00E8358C">
        <w:t>les ; ils n’avaient pas non plus le droit à la propriété et étaient vêtus de haillons. Ils possédaient, par contre, une culture très ancienne qu’ils ont pu adapter dans la colonie de Saint-Domingue et plus tard en Ha</w:t>
      </w:r>
      <w:r w:rsidRPr="00E8358C">
        <w:t>ï</w:t>
      </w:r>
      <w:r w:rsidRPr="00E8358C">
        <w:t>ti. Par exemple, la tradition populaire anonyme haïtienne continue à transmettre des connaissances à travers les contes de« Bouki et Mal</w:t>
      </w:r>
      <w:r w:rsidRPr="00E8358C">
        <w:t>i</w:t>
      </w:r>
      <w:r w:rsidRPr="00E8358C">
        <w:t>ce » qui mettent en lumière certaines leçons tirées du passé colonial. Les histoires de « Bouki et Malice » font partie du patrimoine mém</w:t>
      </w:r>
      <w:r w:rsidRPr="00E8358C">
        <w:t>o</w:t>
      </w:r>
      <w:r w:rsidRPr="00E8358C">
        <w:t xml:space="preserve">riel haïtien. </w:t>
      </w:r>
    </w:p>
    <w:p w:rsidR="004C50DC" w:rsidRPr="00E8358C" w:rsidRDefault="004C50DC" w:rsidP="004C50DC">
      <w:pPr>
        <w:spacing w:before="120" w:after="120"/>
        <w:jc w:val="both"/>
      </w:pPr>
      <w:r w:rsidRPr="00E8358C">
        <w:t>Les contes participent à la construction du savoir et des savoir-faire haïtiens tels que les façons de manger, vivre, parler, se comporter en société. Comment traiter une maladie, développer une pharmacopée traditionnelle haïtienne ou encore préparer une décoction… ce sont également des sujets dont traitent souvent les contes. Ils permettent aussi d’établir une différence entre l’esclave créole (esclave né dans la colonie de Saint-Domingue, considéré comme plus instruit et civilisé) et l’esclave bossale (esclave né en Afrique « à l’état sauvage »)</w:t>
      </w:r>
      <w:r>
        <w:t> </w:t>
      </w:r>
      <w:r>
        <w:rPr>
          <w:rStyle w:val="Appelnotedebasdep"/>
        </w:rPr>
        <w:footnoteReference w:id="849"/>
      </w:r>
      <w:r w:rsidRPr="00E8358C">
        <w:t>, e</w:t>
      </w:r>
      <w:r w:rsidRPr="00E8358C">
        <w:t>n</w:t>
      </w:r>
      <w:r w:rsidRPr="00E8358C">
        <w:t>tre le paysan et le citadin haïtiens étudiés par Suzanne Comhaire-Sylvain à travers « Bouqui et Malice ». Dans la préface de son ouvr</w:t>
      </w:r>
      <w:r w:rsidRPr="00E8358C">
        <w:t>a</w:t>
      </w:r>
      <w:r w:rsidRPr="00E8358C">
        <w:t xml:space="preserve">ge, </w:t>
      </w:r>
      <w:r w:rsidRPr="00E8358C">
        <w:rPr>
          <w:i/>
        </w:rPr>
        <w:t>Le Roman de Bouqui</w:t>
      </w:r>
      <w:r w:rsidRPr="00E8358C">
        <w:t>, elle affirme :</w:t>
      </w:r>
    </w:p>
    <w:p w:rsidR="004C50DC" w:rsidRDefault="004C50DC" w:rsidP="004C50DC">
      <w:pPr>
        <w:pStyle w:val="Citation0"/>
      </w:pPr>
    </w:p>
    <w:p w:rsidR="004C50DC" w:rsidRDefault="004C50DC" w:rsidP="004C50DC">
      <w:pPr>
        <w:pStyle w:val="Citation0"/>
      </w:pPr>
      <w:r w:rsidRPr="00E8358C">
        <w:t>En Haïti […] Bouqui opposé à Malice, ce n’est pas seulement la force o</w:t>
      </w:r>
      <w:r w:rsidRPr="00E8358C">
        <w:t>p</w:t>
      </w:r>
      <w:r w:rsidRPr="00E8358C">
        <w:t xml:space="preserve">posée à la ruse, c’est aussi le paysan opposé au citadin, l’homme inculte au </w:t>
      </w:r>
      <w:r w:rsidRPr="00E8358C">
        <w:rPr>
          <w:i/>
        </w:rPr>
        <w:t>savé (savant)</w:t>
      </w:r>
      <w:r w:rsidRPr="00E8358C">
        <w:t xml:space="preserve">, comme il y a deux siècles c’était déjà l’esclave bossale opposé à l’esclave créole. […] </w:t>
      </w:r>
      <w:r>
        <w:t xml:space="preserve">[325] </w:t>
      </w:r>
      <w:r w:rsidRPr="00E8358C">
        <w:t>Le paysan admire Malice, mais il a pour Bouqui une pitié attendrie</w:t>
      </w:r>
      <w:r>
        <w:t> </w:t>
      </w:r>
      <w:r w:rsidRPr="00E8358C">
        <w:rPr>
          <w:rStyle w:val="Appelnotedebasdep"/>
          <w:szCs w:val="22"/>
        </w:rPr>
        <w:footnoteReference w:id="850"/>
      </w:r>
      <w:r w:rsidRPr="00E8358C">
        <w:t xml:space="preserve">. </w:t>
      </w:r>
    </w:p>
    <w:p w:rsidR="004C50DC" w:rsidRPr="00E8358C" w:rsidRDefault="004C50DC" w:rsidP="004C50DC">
      <w:pPr>
        <w:pStyle w:val="Citation0"/>
      </w:pPr>
    </w:p>
    <w:p w:rsidR="004C50DC" w:rsidRDefault="004C50DC" w:rsidP="004C50DC">
      <w:pPr>
        <w:spacing w:before="120" w:after="120"/>
        <w:jc w:val="both"/>
      </w:pPr>
      <w:r w:rsidRPr="00E8358C">
        <w:t>De l’avis de Valérie, 47 ans, éducatrice, l’histoire de « Bouki et Malice »</w:t>
      </w:r>
      <w:r>
        <w:t xml:space="preserve"> </w:t>
      </w:r>
      <w:r w:rsidRPr="00E8358C">
        <w:t>(</w:t>
      </w:r>
      <w:r w:rsidRPr="00E8358C">
        <w:rPr>
          <w:i/>
        </w:rPr>
        <w:t>Bouki ak Malice</w:t>
      </w:r>
      <w:r w:rsidRPr="00E8358C">
        <w:t>) nous amène aussi dans un espace social et politique haïtien où le plus intelligent est celui qui sait comment confondre l’Autre, comment se tirer facilement d’affaire.</w:t>
      </w:r>
    </w:p>
    <w:p w:rsidR="004C50DC" w:rsidRPr="00E8358C" w:rsidRDefault="004C50DC" w:rsidP="004C50DC">
      <w:pPr>
        <w:spacing w:before="120" w:after="120"/>
        <w:jc w:val="both"/>
      </w:pPr>
    </w:p>
    <w:p w:rsidR="004C50DC" w:rsidRPr="00E8358C" w:rsidRDefault="004C50DC" w:rsidP="004C50DC">
      <w:pPr>
        <w:pStyle w:val="Citation0"/>
      </w:pPr>
      <w:r w:rsidRPr="00E8358C">
        <w:t xml:space="preserve">Les </w:t>
      </w:r>
      <w:r w:rsidRPr="00E8358C">
        <w:rPr>
          <w:i/>
        </w:rPr>
        <w:t>Bouki</w:t>
      </w:r>
      <w:r w:rsidRPr="00E8358C">
        <w:t>sont majoritaires en Haïti. Les paysans, les fils et filles du pays qui n’ont pas eu la chance d’aller à l’école, les ouvriers e</w:t>
      </w:r>
      <w:r w:rsidRPr="00E8358C">
        <w:t>x</w:t>
      </w:r>
      <w:r w:rsidRPr="00E8358C">
        <w:t>ploités dans les manufactures et la population silencieuse du pays sont en général consid</w:t>
      </w:r>
      <w:r w:rsidRPr="00E8358C">
        <w:t>é</w:t>
      </w:r>
      <w:r w:rsidRPr="00E8358C">
        <w:t xml:space="preserve">rés comme des </w:t>
      </w:r>
      <w:r w:rsidRPr="00E8358C">
        <w:rPr>
          <w:i/>
        </w:rPr>
        <w:t xml:space="preserve">Bouki, </w:t>
      </w:r>
      <w:r w:rsidRPr="00E8358C">
        <w:t xml:space="preserve">des aliénés. Les </w:t>
      </w:r>
      <w:r w:rsidRPr="00E8358C">
        <w:rPr>
          <w:i/>
        </w:rPr>
        <w:t>Malice</w:t>
      </w:r>
      <w:r w:rsidRPr="00E8358C">
        <w:t xml:space="preserve"> sont des intellectuels ou des pseudo-intellectuels, des politiciens véreux, des coquins, ceux qui croient détenir toutes les connaissances et s’en servent au détriment des autres. Du temps de la colonie, les propriéta</w:t>
      </w:r>
      <w:r w:rsidRPr="00E8358C">
        <w:t>i</w:t>
      </w:r>
      <w:r w:rsidRPr="00E8358C">
        <w:t xml:space="preserve">res des plantations croyaient être des </w:t>
      </w:r>
      <w:r w:rsidRPr="00E8358C">
        <w:rPr>
          <w:i/>
        </w:rPr>
        <w:t>Malice</w:t>
      </w:r>
      <w:r w:rsidRPr="00E8358C">
        <w:t xml:space="preserve"> pour exploiter les escl</w:t>
      </w:r>
      <w:r w:rsidRPr="00E8358C">
        <w:t>a</w:t>
      </w:r>
      <w:r w:rsidRPr="00E8358C">
        <w:t xml:space="preserve">ves </w:t>
      </w:r>
      <w:r w:rsidRPr="00E8358C">
        <w:rPr>
          <w:i/>
        </w:rPr>
        <w:t>Bouki</w:t>
      </w:r>
      <w:r w:rsidRPr="00E8358C">
        <w:t>, dépourvus de dignité et de valeur humaine.</w:t>
      </w:r>
    </w:p>
    <w:p w:rsidR="004C50DC" w:rsidRDefault="004C50DC" w:rsidP="004C50DC">
      <w:pPr>
        <w:pStyle w:val="Citation0"/>
      </w:pPr>
      <w:r w:rsidRPr="00E8358C">
        <w:t>(Valérie, entrevue, Port-au-Prince, 26 juin 2014)</w:t>
      </w:r>
    </w:p>
    <w:p w:rsidR="004C50DC" w:rsidRPr="00E8358C" w:rsidRDefault="004C50DC" w:rsidP="004C50DC">
      <w:pPr>
        <w:spacing w:before="120" w:after="120"/>
        <w:jc w:val="both"/>
        <w:rPr>
          <w:szCs w:val="22"/>
        </w:rPr>
      </w:pPr>
    </w:p>
    <w:p w:rsidR="004C50DC" w:rsidRPr="00E8358C" w:rsidRDefault="004C50DC" w:rsidP="004C50DC">
      <w:pPr>
        <w:pStyle w:val="planche"/>
      </w:pPr>
      <w:bookmarkStart w:id="385" w:name="_Toc423347350"/>
      <w:bookmarkStart w:id="386" w:name="_Toc442280531"/>
      <w:bookmarkStart w:id="387" w:name="_Toc406489711"/>
      <w:bookmarkStart w:id="388" w:name="Memoire_chap_VI_3"/>
      <w:r>
        <w:t>6.3. La mémoire de l’esclavage</w:t>
      </w:r>
      <w:r>
        <w:br/>
      </w:r>
      <w:r w:rsidRPr="00E8358C">
        <w:t>dans les expressions artistiques et culturelles</w:t>
      </w:r>
      <w:bookmarkEnd w:id="385"/>
      <w:bookmarkEnd w:id="386"/>
    </w:p>
    <w:bookmarkEnd w:id="388"/>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Les formes d’expressions artistiques qui tiennent compte du passé colonial sont nombreuses dans l’environnement culturel haïtien. Elles dénoncent une situation sociopolitique malheureuse ou revendiquent l’origine africaine, ou encore font apparaître des marqueurs identita</w:t>
      </w:r>
      <w:r w:rsidRPr="00E8358C">
        <w:t>i</w:t>
      </w:r>
      <w:r w:rsidRPr="00E8358C">
        <w:t>res haïtiens. Les expressions culturelles exposent aussi des contenus en lien avec le passé colonial esclavagiste. Dans cet univers de créat</w:t>
      </w:r>
      <w:r w:rsidRPr="00E8358C">
        <w:t>i</w:t>
      </w:r>
      <w:r w:rsidRPr="00E8358C">
        <w:t>vité artistique, les groupes musicaux, les peintres, les artisans, les compositeurs, les chanteurs et les danseurs mettent en scène les m</w:t>
      </w:r>
      <w:r w:rsidRPr="00E8358C">
        <w:t>é</w:t>
      </w:r>
      <w:r w:rsidRPr="00E8358C">
        <w:t>moires de l’esclavage. Dans le cadre de cette thèse, nous concentrons nos analyses sur des formes d’expressions c</w:t>
      </w:r>
      <w:r>
        <w:t>omme la musique et la peinture.</w:t>
      </w:r>
    </w:p>
    <w:p w:rsidR="004C50DC" w:rsidRPr="00E8358C" w:rsidRDefault="004C50DC" w:rsidP="004C50DC">
      <w:pPr>
        <w:spacing w:before="120" w:after="120"/>
        <w:jc w:val="both"/>
      </w:pPr>
    </w:p>
    <w:p w:rsidR="004C50DC" w:rsidRPr="00667AFA" w:rsidRDefault="004C50DC" w:rsidP="004C50DC">
      <w:pPr>
        <w:pStyle w:val="b"/>
      </w:pPr>
      <w:bookmarkStart w:id="389" w:name="_Toc423347351"/>
      <w:bookmarkStart w:id="390" w:name="_Toc442280532"/>
      <w:r w:rsidRPr="00667AFA">
        <w:t>Musique</w:t>
      </w:r>
      <w:bookmarkEnd w:id="389"/>
      <w:bookmarkEnd w:id="390"/>
    </w:p>
    <w:p w:rsidR="004C50DC" w:rsidRDefault="004C50DC" w:rsidP="004C50DC">
      <w:pPr>
        <w:spacing w:before="120" w:after="120"/>
        <w:jc w:val="both"/>
      </w:pPr>
    </w:p>
    <w:p w:rsidR="004C50DC" w:rsidRDefault="004C50DC" w:rsidP="004C50DC">
      <w:pPr>
        <w:spacing w:before="120" w:after="120"/>
        <w:jc w:val="both"/>
      </w:pPr>
      <w:r w:rsidRPr="00E8358C">
        <w:t>En Haïti, la musique est utilisée comme un canal pédagogique pour transmettre la mémoire. Les groupes musicaux se réclamant de la « mouvance racine » sont les premiers à s’engager dans cette voie</w:t>
      </w:r>
      <w:r w:rsidRPr="00E8358C">
        <w:rPr>
          <w:i/>
        </w:rPr>
        <w:t xml:space="preserve">. </w:t>
      </w:r>
      <w:r w:rsidRPr="00E8358C">
        <w:t>Michel-Rolph Trouillot pense qu’ils sont influencés par les idées po</w:t>
      </w:r>
      <w:r w:rsidRPr="00E8358C">
        <w:t>r</w:t>
      </w:r>
      <w:r w:rsidRPr="00E8358C">
        <w:t xml:space="preserve">tées par l’école indigéniste dont </w:t>
      </w:r>
      <w:r w:rsidRPr="00E8358C">
        <w:rPr>
          <w:i/>
        </w:rPr>
        <w:t>Boukman Eksperyans</w:t>
      </w:r>
      <w:r w:rsidRPr="00E8358C">
        <w:t xml:space="preserve"> est le groupe</w:t>
      </w:r>
      <w:r>
        <w:t xml:space="preserve"> [326]</w:t>
      </w:r>
      <w:r w:rsidRPr="00E8358C">
        <w:t xml:space="preserve"> emblématique</w:t>
      </w:r>
      <w:r>
        <w:t> </w:t>
      </w:r>
      <w:r>
        <w:rPr>
          <w:rStyle w:val="Appelnotedebasdep"/>
        </w:rPr>
        <w:footnoteReference w:id="851"/>
      </w:r>
      <w:r w:rsidRPr="00E8358C">
        <w:t xml:space="preserve">. Si on analyse le contenu des chants comme </w:t>
      </w:r>
      <w:r w:rsidRPr="00E8358C">
        <w:rPr>
          <w:i/>
        </w:rPr>
        <w:t>Kreyòl, Zanzèt nou yo, Ganga, Jou nou revolte</w:t>
      </w:r>
      <w:r w:rsidRPr="00E8358C">
        <w:t>, on remarque que l’Afrique et l’esclavage sont les thèmes essentiels de ces compos</w:t>
      </w:r>
      <w:r w:rsidRPr="00E8358C">
        <w:t>i</w:t>
      </w:r>
      <w:r w:rsidRPr="00E8358C">
        <w:t xml:space="preserve">tions. Dans </w:t>
      </w:r>
      <w:r w:rsidRPr="00E8358C">
        <w:rPr>
          <w:i/>
        </w:rPr>
        <w:t xml:space="preserve">Kreyòl, </w:t>
      </w:r>
      <w:r w:rsidRPr="00E8358C">
        <w:t>la revendication de l’origine et de la culture afr</w:t>
      </w:r>
      <w:r w:rsidRPr="00E8358C">
        <w:t>i</w:t>
      </w:r>
      <w:r w:rsidRPr="00E8358C">
        <w:t xml:space="preserve">caine est présente. Comme le titre l’indique, la langue créole doit être l’élément unificateur de l’ensemble des citoyens. Ils dénoncent donc les Haïtiens qui rejettent la langue créole au profit du français, </w:t>
      </w:r>
      <w:r>
        <w:t>de l’anglais ou de l’espagnol.</w:t>
      </w:r>
    </w:p>
    <w:p w:rsidR="004C50DC" w:rsidRPr="00E8358C" w:rsidRDefault="004C50DC" w:rsidP="004C50DC">
      <w:pPr>
        <w:spacing w:before="120" w:after="120"/>
        <w:jc w:val="both"/>
      </w:pPr>
    </w:p>
    <w:p w:rsidR="004C50DC" w:rsidRPr="009A5B70" w:rsidRDefault="004C50DC" w:rsidP="004C50DC">
      <w:pPr>
        <w:ind w:firstLine="0"/>
        <w:jc w:val="center"/>
        <w:rPr>
          <w:i/>
          <w:sz w:val="24"/>
          <w:szCs w:val="22"/>
        </w:rPr>
      </w:pPr>
      <w:bookmarkStart w:id="391" w:name="_Toc421022300"/>
      <w:bookmarkStart w:id="392" w:name="_Toc423347352"/>
      <w:bookmarkStart w:id="393" w:name="_Toc423348285"/>
      <w:bookmarkStart w:id="394" w:name="_Toc442280533"/>
      <w:r w:rsidRPr="009A5B70">
        <w:rPr>
          <w:i/>
          <w:sz w:val="24"/>
          <w:szCs w:val="22"/>
          <w:u w:val="single"/>
        </w:rPr>
        <w:t>Kreyòl</w:t>
      </w:r>
      <w:bookmarkEnd w:id="391"/>
      <w:bookmarkEnd w:id="392"/>
      <w:bookmarkEnd w:id="393"/>
      <w:bookmarkEnd w:id="394"/>
    </w:p>
    <w:p w:rsidR="004C50DC" w:rsidRPr="009A5B70" w:rsidRDefault="004C50DC" w:rsidP="004C50DC">
      <w:pPr>
        <w:ind w:firstLine="0"/>
        <w:jc w:val="center"/>
        <w:rPr>
          <w:i/>
          <w:sz w:val="24"/>
          <w:szCs w:val="22"/>
        </w:rPr>
      </w:pPr>
      <w:bookmarkStart w:id="395" w:name="_Toc421022301"/>
      <w:bookmarkStart w:id="396" w:name="_Toc423347353"/>
      <w:bookmarkStart w:id="397" w:name="_Toc423348286"/>
      <w:bookmarkStart w:id="398" w:name="_Toc442280534"/>
      <w:r w:rsidRPr="009A5B70">
        <w:rPr>
          <w:i/>
          <w:sz w:val="24"/>
          <w:szCs w:val="22"/>
        </w:rPr>
        <w:t>Ayisyen yo pito pale franse olye yo pale kreyòl,</w:t>
      </w:r>
      <w:bookmarkEnd w:id="395"/>
      <w:bookmarkEnd w:id="396"/>
      <w:bookmarkEnd w:id="397"/>
      <w:bookmarkEnd w:id="398"/>
    </w:p>
    <w:p w:rsidR="004C50DC" w:rsidRPr="009A5B70" w:rsidRDefault="004C50DC" w:rsidP="004C50DC">
      <w:pPr>
        <w:ind w:firstLine="0"/>
        <w:jc w:val="center"/>
        <w:rPr>
          <w:i/>
          <w:sz w:val="24"/>
          <w:szCs w:val="22"/>
        </w:rPr>
      </w:pPr>
      <w:r w:rsidRPr="009A5B70">
        <w:rPr>
          <w:i/>
          <w:sz w:val="24"/>
          <w:szCs w:val="22"/>
        </w:rPr>
        <w:t>Ayisyen yo pito pale angle olye yo pale kreyòl,</w:t>
      </w:r>
    </w:p>
    <w:p w:rsidR="004C50DC" w:rsidRPr="009A5B70" w:rsidRDefault="004C50DC" w:rsidP="004C50DC">
      <w:pPr>
        <w:ind w:firstLine="0"/>
        <w:jc w:val="center"/>
        <w:rPr>
          <w:i/>
          <w:sz w:val="24"/>
          <w:szCs w:val="22"/>
        </w:rPr>
      </w:pPr>
      <w:r w:rsidRPr="009A5B70">
        <w:rPr>
          <w:i/>
          <w:sz w:val="24"/>
          <w:szCs w:val="22"/>
        </w:rPr>
        <w:t>Aysiyen yo pito panyòl alye yo pale kreyòl […]</w:t>
      </w:r>
    </w:p>
    <w:p w:rsidR="004C50DC" w:rsidRPr="009A5B70" w:rsidRDefault="004C50DC" w:rsidP="004C50DC">
      <w:pPr>
        <w:ind w:firstLine="0"/>
        <w:jc w:val="center"/>
        <w:rPr>
          <w:i/>
          <w:sz w:val="24"/>
          <w:szCs w:val="22"/>
        </w:rPr>
      </w:pPr>
      <w:r w:rsidRPr="009A5B70">
        <w:rPr>
          <w:i/>
          <w:sz w:val="24"/>
          <w:szCs w:val="22"/>
        </w:rPr>
        <w:t>Se menm nou menm nan</w:t>
      </w:r>
    </w:p>
    <w:p w:rsidR="004C50DC" w:rsidRPr="009A5B70" w:rsidRDefault="004C50DC" w:rsidP="004C50DC">
      <w:pPr>
        <w:ind w:firstLine="0"/>
        <w:jc w:val="center"/>
        <w:rPr>
          <w:i/>
          <w:sz w:val="24"/>
          <w:szCs w:val="22"/>
        </w:rPr>
      </w:pPr>
      <w:r w:rsidRPr="009A5B70">
        <w:rPr>
          <w:i/>
          <w:sz w:val="24"/>
          <w:szCs w:val="22"/>
        </w:rPr>
        <w:t>Wi se menm nou menm nan kreyòl nou ye.</w:t>
      </w:r>
    </w:p>
    <w:p w:rsidR="004C50DC" w:rsidRPr="009A5B70" w:rsidRDefault="004C50DC" w:rsidP="004C50DC">
      <w:pPr>
        <w:ind w:firstLine="0"/>
        <w:jc w:val="center"/>
        <w:rPr>
          <w:i/>
          <w:sz w:val="24"/>
          <w:szCs w:val="22"/>
        </w:rPr>
      </w:pPr>
      <w:r w:rsidRPr="009A5B70">
        <w:rPr>
          <w:i/>
          <w:sz w:val="24"/>
          <w:szCs w:val="22"/>
        </w:rPr>
        <w:t>Se kreyòl nou ye, nou p ap janm konsa.</w:t>
      </w:r>
    </w:p>
    <w:p w:rsidR="004C50DC" w:rsidRPr="009A5B70" w:rsidRDefault="004C50DC" w:rsidP="004C50DC">
      <w:pPr>
        <w:ind w:firstLine="0"/>
        <w:jc w:val="center"/>
        <w:rPr>
          <w:i/>
          <w:sz w:val="24"/>
          <w:szCs w:val="22"/>
        </w:rPr>
      </w:pPr>
      <w:r w:rsidRPr="009A5B70">
        <w:rPr>
          <w:i/>
          <w:sz w:val="24"/>
          <w:szCs w:val="22"/>
        </w:rPr>
        <w:t>Natif kongo nou ye sa n pra l fè la</w:t>
      </w:r>
    </w:p>
    <w:p w:rsidR="004C50DC" w:rsidRPr="009A5B70" w:rsidRDefault="004C50DC" w:rsidP="004C50DC">
      <w:pPr>
        <w:ind w:firstLine="0"/>
        <w:jc w:val="center"/>
        <w:rPr>
          <w:i/>
          <w:sz w:val="24"/>
          <w:szCs w:val="22"/>
        </w:rPr>
      </w:pPr>
      <w:r w:rsidRPr="009A5B70">
        <w:rPr>
          <w:i/>
          <w:sz w:val="24"/>
          <w:szCs w:val="22"/>
        </w:rPr>
        <w:t>Yaya ti Kongo, nèg Ginen, nèg Nago</w:t>
      </w:r>
    </w:p>
    <w:p w:rsidR="004C50DC" w:rsidRPr="009A5B70" w:rsidRDefault="004C50DC" w:rsidP="004C50DC">
      <w:pPr>
        <w:ind w:firstLine="0"/>
        <w:jc w:val="center"/>
        <w:rPr>
          <w:i/>
          <w:sz w:val="24"/>
          <w:szCs w:val="22"/>
        </w:rPr>
      </w:pPr>
      <w:r w:rsidRPr="009A5B70">
        <w:rPr>
          <w:i/>
          <w:sz w:val="24"/>
          <w:szCs w:val="22"/>
        </w:rPr>
        <w:t>Anmwey Jean Petro nèg Dahomey, nèg Kongo yo […]</w:t>
      </w:r>
    </w:p>
    <w:p w:rsidR="004C50DC" w:rsidRPr="009A5B70" w:rsidRDefault="004C50DC" w:rsidP="004C50DC">
      <w:pPr>
        <w:ind w:firstLine="0"/>
        <w:jc w:val="center"/>
        <w:rPr>
          <w:i/>
          <w:sz w:val="24"/>
          <w:szCs w:val="22"/>
        </w:rPr>
      </w:pPr>
      <w:r w:rsidRPr="009A5B70">
        <w:rPr>
          <w:i/>
          <w:sz w:val="24"/>
          <w:szCs w:val="22"/>
        </w:rPr>
        <w:t>Kote nou soti ? Lafrik,</w:t>
      </w:r>
    </w:p>
    <w:p w:rsidR="004C50DC" w:rsidRPr="009A5B70" w:rsidRDefault="004C50DC" w:rsidP="004C50DC">
      <w:pPr>
        <w:ind w:firstLine="0"/>
        <w:jc w:val="center"/>
        <w:rPr>
          <w:i/>
          <w:sz w:val="24"/>
          <w:szCs w:val="22"/>
        </w:rPr>
      </w:pPr>
      <w:r w:rsidRPr="009A5B70">
        <w:rPr>
          <w:i/>
          <w:sz w:val="24"/>
          <w:szCs w:val="22"/>
        </w:rPr>
        <w:t>Kote nou prale ? Lafrik</w:t>
      </w:r>
    </w:p>
    <w:p w:rsidR="004C50DC" w:rsidRPr="009A5B70" w:rsidRDefault="004C50DC" w:rsidP="004C50DC">
      <w:pPr>
        <w:ind w:firstLine="0"/>
        <w:jc w:val="center"/>
        <w:rPr>
          <w:b/>
          <w:i/>
          <w:sz w:val="24"/>
          <w:szCs w:val="22"/>
        </w:rPr>
      </w:pPr>
      <w:r w:rsidRPr="009A5B70">
        <w:rPr>
          <w:b/>
          <w:i/>
          <w:sz w:val="24"/>
          <w:szCs w:val="22"/>
        </w:rPr>
        <w:t>Boukman Eksperyans, 1991</w:t>
      </w:r>
    </w:p>
    <w:p w:rsidR="004C50DC" w:rsidRPr="009A5B70" w:rsidRDefault="004C50DC" w:rsidP="004C50DC">
      <w:pPr>
        <w:pStyle w:val="paroles"/>
      </w:pPr>
    </w:p>
    <w:p w:rsidR="004C50DC" w:rsidRPr="009A5B70" w:rsidRDefault="004C50DC" w:rsidP="004C50DC">
      <w:pPr>
        <w:ind w:firstLine="0"/>
        <w:jc w:val="center"/>
        <w:rPr>
          <w:b/>
          <w:i/>
          <w:sz w:val="24"/>
          <w:szCs w:val="22"/>
          <w:u w:val="single"/>
        </w:rPr>
      </w:pPr>
      <w:r w:rsidRPr="009A5B70">
        <w:rPr>
          <w:i/>
          <w:sz w:val="24"/>
          <w:szCs w:val="22"/>
        </w:rPr>
        <w:t>[</w:t>
      </w:r>
      <w:r w:rsidRPr="009A5B70">
        <w:rPr>
          <w:b/>
          <w:i/>
          <w:sz w:val="24"/>
          <w:szCs w:val="22"/>
          <w:u w:val="single"/>
        </w:rPr>
        <w:t>Créole</w:t>
      </w:r>
    </w:p>
    <w:p w:rsidR="004C50DC" w:rsidRPr="009A5B70" w:rsidRDefault="004C50DC" w:rsidP="004C50DC">
      <w:pPr>
        <w:ind w:firstLine="0"/>
        <w:jc w:val="center"/>
        <w:rPr>
          <w:sz w:val="24"/>
          <w:szCs w:val="22"/>
        </w:rPr>
      </w:pPr>
      <w:r w:rsidRPr="009A5B70">
        <w:rPr>
          <w:sz w:val="24"/>
          <w:szCs w:val="22"/>
        </w:rPr>
        <w:t>Les Haïtiens préfèrent le français au créole,</w:t>
      </w:r>
    </w:p>
    <w:p w:rsidR="004C50DC" w:rsidRPr="009A5B70" w:rsidRDefault="004C50DC" w:rsidP="004C50DC">
      <w:pPr>
        <w:ind w:firstLine="0"/>
        <w:jc w:val="center"/>
        <w:rPr>
          <w:sz w:val="24"/>
          <w:szCs w:val="22"/>
        </w:rPr>
      </w:pPr>
      <w:r w:rsidRPr="009A5B70">
        <w:rPr>
          <w:sz w:val="24"/>
          <w:szCs w:val="22"/>
        </w:rPr>
        <w:t>Les Haïtiens préfèrent l’anglais au créole,</w:t>
      </w:r>
    </w:p>
    <w:p w:rsidR="004C50DC" w:rsidRPr="009A5B70" w:rsidRDefault="004C50DC" w:rsidP="004C50DC">
      <w:pPr>
        <w:ind w:firstLine="0"/>
        <w:jc w:val="center"/>
        <w:rPr>
          <w:sz w:val="24"/>
          <w:szCs w:val="22"/>
        </w:rPr>
      </w:pPr>
      <w:r w:rsidRPr="009A5B70">
        <w:rPr>
          <w:sz w:val="24"/>
          <w:szCs w:val="22"/>
        </w:rPr>
        <w:t>Les Haïtiens préfèrent l’espagnol au créole […]</w:t>
      </w:r>
    </w:p>
    <w:p w:rsidR="004C50DC" w:rsidRPr="009A5B70" w:rsidRDefault="004C50DC" w:rsidP="004C50DC">
      <w:pPr>
        <w:ind w:firstLine="0"/>
        <w:jc w:val="center"/>
        <w:rPr>
          <w:sz w:val="24"/>
          <w:szCs w:val="22"/>
        </w:rPr>
      </w:pPr>
      <w:r w:rsidRPr="009A5B70">
        <w:rPr>
          <w:sz w:val="24"/>
          <w:szCs w:val="22"/>
        </w:rPr>
        <w:t>Alors qu’ils sont tous des Créoles</w:t>
      </w:r>
    </w:p>
    <w:p w:rsidR="004C50DC" w:rsidRPr="009A5B70" w:rsidRDefault="004C50DC" w:rsidP="004C50DC">
      <w:pPr>
        <w:ind w:firstLine="0"/>
        <w:jc w:val="center"/>
        <w:rPr>
          <w:sz w:val="24"/>
          <w:szCs w:val="22"/>
        </w:rPr>
      </w:pPr>
      <w:r w:rsidRPr="009A5B70">
        <w:rPr>
          <w:sz w:val="24"/>
          <w:szCs w:val="22"/>
        </w:rPr>
        <w:t>Ils sont de véritables Créoles.</w:t>
      </w:r>
    </w:p>
    <w:p w:rsidR="004C50DC" w:rsidRPr="009A5B70" w:rsidRDefault="004C50DC" w:rsidP="004C50DC">
      <w:pPr>
        <w:ind w:firstLine="0"/>
        <w:jc w:val="center"/>
        <w:rPr>
          <w:sz w:val="24"/>
          <w:szCs w:val="22"/>
        </w:rPr>
      </w:pPr>
      <w:r w:rsidRPr="009A5B70">
        <w:rPr>
          <w:sz w:val="24"/>
          <w:szCs w:val="22"/>
        </w:rPr>
        <w:t>Nous sommes des Créoles, nous parlons le créole.</w:t>
      </w:r>
    </w:p>
    <w:p w:rsidR="004C50DC" w:rsidRPr="009A5B70" w:rsidRDefault="004C50DC" w:rsidP="004C50DC">
      <w:pPr>
        <w:ind w:firstLine="0"/>
        <w:jc w:val="center"/>
        <w:rPr>
          <w:sz w:val="24"/>
          <w:szCs w:val="22"/>
        </w:rPr>
      </w:pPr>
      <w:r w:rsidRPr="009A5B70">
        <w:rPr>
          <w:sz w:val="24"/>
          <w:szCs w:val="22"/>
        </w:rPr>
        <w:t>Nous sommes natifs de Congo</w:t>
      </w:r>
    </w:p>
    <w:p w:rsidR="004C50DC" w:rsidRPr="009A5B70" w:rsidRDefault="004C50DC" w:rsidP="004C50DC">
      <w:pPr>
        <w:ind w:firstLine="0"/>
        <w:jc w:val="center"/>
        <w:rPr>
          <w:sz w:val="24"/>
          <w:szCs w:val="22"/>
        </w:rPr>
      </w:pPr>
      <w:r w:rsidRPr="009A5B70">
        <w:rPr>
          <w:sz w:val="24"/>
          <w:szCs w:val="22"/>
        </w:rPr>
        <w:t>Yaya petit Congo, Nègre de Guinée, Nègre de Nago</w:t>
      </w:r>
    </w:p>
    <w:p w:rsidR="004C50DC" w:rsidRPr="009A5B70" w:rsidRDefault="004C50DC" w:rsidP="004C50DC">
      <w:pPr>
        <w:ind w:firstLine="0"/>
        <w:jc w:val="center"/>
        <w:rPr>
          <w:sz w:val="24"/>
          <w:szCs w:val="22"/>
        </w:rPr>
      </w:pPr>
      <w:r w:rsidRPr="009A5B70">
        <w:rPr>
          <w:sz w:val="24"/>
          <w:szCs w:val="22"/>
        </w:rPr>
        <w:t>Jean Petro nègre de Dahomey, tous des Nègres de Congo […]</w:t>
      </w:r>
    </w:p>
    <w:p w:rsidR="004C50DC" w:rsidRPr="009A5B70" w:rsidRDefault="004C50DC" w:rsidP="004C50DC">
      <w:pPr>
        <w:ind w:firstLine="0"/>
        <w:jc w:val="center"/>
        <w:rPr>
          <w:sz w:val="24"/>
          <w:szCs w:val="22"/>
        </w:rPr>
      </w:pPr>
      <w:r w:rsidRPr="009A5B70">
        <w:rPr>
          <w:sz w:val="24"/>
          <w:szCs w:val="22"/>
        </w:rPr>
        <w:t>D’où viennent-ils ? D’Afrique</w:t>
      </w:r>
    </w:p>
    <w:p w:rsidR="004C50DC" w:rsidRPr="009A5B70" w:rsidRDefault="004C50DC" w:rsidP="004C50DC">
      <w:pPr>
        <w:ind w:firstLine="0"/>
        <w:jc w:val="center"/>
        <w:rPr>
          <w:sz w:val="24"/>
          <w:szCs w:val="22"/>
        </w:rPr>
      </w:pPr>
      <w:r w:rsidRPr="009A5B70">
        <w:rPr>
          <w:sz w:val="24"/>
          <w:szCs w:val="22"/>
        </w:rPr>
        <w:t>Où iront-ils ? En Afrique]</w:t>
      </w:r>
      <w:r>
        <w:rPr>
          <w:sz w:val="24"/>
          <w:szCs w:val="22"/>
        </w:rPr>
        <w:t> </w:t>
      </w:r>
      <w:r>
        <w:rPr>
          <w:rStyle w:val="Appelnotedebasdep"/>
          <w:szCs w:val="22"/>
        </w:rPr>
        <w:footnoteReference w:id="852"/>
      </w:r>
    </w:p>
    <w:p w:rsidR="004C50DC" w:rsidRPr="00FD20C4" w:rsidRDefault="004C50DC" w:rsidP="004C50DC">
      <w:pPr>
        <w:spacing w:before="120" w:after="120"/>
        <w:jc w:val="both"/>
      </w:pPr>
    </w:p>
    <w:p w:rsidR="004C50DC" w:rsidRDefault="004C50DC" w:rsidP="004C50DC">
      <w:pPr>
        <w:spacing w:before="120" w:after="120"/>
        <w:jc w:val="both"/>
      </w:pPr>
      <w:r w:rsidRPr="00E8358C">
        <w:t>En passant par l’idée de continuer la lutte contre les détracteurs d’Haïti et des Noirs (</w:t>
      </w:r>
      <w:r w:rsidRPr="00E8358C">
        <w:rPr>
          <w:i/>
        </w:rPr>
        <w:t>Ganga</w:t>
      </w:r>
      <w:r w:rsidRPr="00E8358C">
        <w:t>) ou (</w:t>
      </w:r>
      <w:r w:rsidRPr="00E8358C">
        <w:rPr>
          <w:i/>
        </w:rPr>
        <w:t>Bravo pou Ayiti</w:t>
      </w:r>
      <w:r w:rsidRPr="00E8358C">
        <w:t>), le groupe se di</w:t>
      </w:r>
      <w:r w:rsidRPr="00E8358C">
        <w:t>s</w:t>
      </w:r>
      <w:r w:rsidRPr="00E8358C">
        <w:t>tingue encore comme le défenseur de la population haïtienne, caract</w:t>
      </w:r>
      <w:r w:rsidRPr="00E8358C">
        <w:t>é</w:t>
      </w:r>
      <w:r w:rsidRPr="00E8358C">
        <w:t>risée particulièrement par sa bravoure.</w:t>
      </w:r>
    </w:p>
    <w:p w:rsidR="004C50DC" w:rsidRDefault="004C50DC" w:rsidP="004C50DC">
      <w:pPr>
        <w:spacing w:before="120" w:after="120"/>
        <w:jc w:val="both"/>
      </w:pPr>
      <w:r>
        <w:t>[327]</w:t>
      </w:r>
    </w:p>
    <w:p w:rsidR="004C50DC" w:rsidRPr="0095368E" w:rsidRDefault="004C50DC" w:rsidP="004C50DC">
      <w:pPr>
        <w:pStyle w:val="paroles"/>
      </w:pPr>
    </w:p>
    <w:p w:rsidR="004C50DC" w:rsidRPr="0095368E" w:rsidRDefault="004C50DC" w:rsidP="004C50DC">
      <w:pPr>
        <w:pStyle w:val="paroles"/>
      </w:pPr>
      <w:bookmarkStart w:id="399" w:name="_Toc421022302"/>
      <w:bookmarkStart w:id="400" w:name="_Toc423347354"/>
      <w:bookmarkStart w:id="401" w:name="_Toc423348287"/>
      <w:bookmarkStart w:id="402" w:name="_Toc442280535"/>
      <w:r w:rsidRPr="009A5B70">
        <w:rPr>
          <w:b/>
          <w:i/>
        </w:rPr>
        <w:t>Ganga</w:t>
      </w:r>
      <w:bookmarkEnd w:id="399"/>
      <w:bookmarkEnd w:id="400"/>
      <w:bookmarkEnd w:id="401"/>
      <w:bookmarkEnd w:id="402"/>
    </w:p>
    <w:p w:rsidR="004C50DC" w:rsidRPr="0095368E" w:rsidRDefault="004C50DC" w:rsidP="004C50DC">
      <w:pPr>
        <w:pStyle w:val="paroles"/>
        <w:rPr>
          <w:i/>
        </w:rPr>
      </w:pPr>
      <w:r w:rsidRPr="0095368E">
        <w:rPr>
          <w:i/>
        </w:rPr>
        <w:t>[…]Alon ti peyi dwòl</w:t>
      </w:r>
    </w:p>
    <w:p w:rsidR="004C50DC" w:rsidRPr="0095368E" w:rsidRDefault="004C50DC" w:rsidP="004C50DC">
      <w:pPr>
        <w:pStyle w:val="paroles"/>
        <w:rPr>
          <w:i/>
        </w:rPr>
      </w:pPr>
      <w:r w:rsidRPr="0095368E">
        <w:rPr>
          <w:i/>
        </w:rPr>
        <w:t>Chak fwa yo panse n koule</w:t>
      </w:r>
    </w:p>
    <w:p w:rsidR="004C50DC" w:rsidRPr="0095368E" w:rsidRDefault="004C50DC" w:rsidP="004C50DC">
      <w:pPr>
        <w:pStyle w:val="paroles"/>
        <w:rPr>
          <w:i/>
        </w:rPr>
      </w:pPr>
      <w:r w:rsidRPr="0095368E">
        <w:rPr>
          <w:i/>
        </w:rPr>
        <w:t>Yo wè n remonte.</w:t>
      </w:r>
    </w:p>
    <w:p w:rsidR="004C50DC" w:rsidRPr="0095368E" w:rsidRDefault="004C50DC" w:rsidP="004C50DC">
      <w:pPr>
        <w:pStyle w:val="paroles"/>
        <w:rPr>
          <w:i/>
        </w:rPr>
      </w:pPr>
      <w:r w:rsidRPr="0095368E">
        <w:rPr>
          <w:i/>
        </w:rPr>
        <w:t>Yon jou pou chasè, yon jou pou jibye</w:t>
      </w:r>
    </w:p>
    <w:p w:rsidR="004C50DC" w:rsidRPr="0095368E" w:rsidRDefault="004C50DC" w:rsidP="004C50DC">
      <w:pPr>
        <w:pStyle w:val="paroles"/>
        <w:rPr>
          <w:i/>
        </w:rPr>
      </w:pPr>
      <w:r w:rsidRPr="0095368E">
        <w:rPr>
          <w:i/>
        </w:rPr>
        <w:t>Wi se konsa Granmèt la vle l.</w:t>
      </w:r>
    </w:p>
    <w:p w:rsidR="004C50DC" w:rsidRPr="0095368E" w:rsidRDefault="004C50DC" w:rsidP="004C50DC">
      <w:pPr>
        <w:pStyle w:val="paroles"/>
        <w:rPr>
          <w:i/>
        </w:rPr>
      </w:pPr>
      <w:r w:rsidRPr="0095368E">
        <w:rPr>
          <w:i/>
        </w:rPr>
        <w:t>Kèlke swa sa yo eseye</w:t>
      </w:r>
    </w:p>
    <w:p w:rsidR="004C50DC" w:rsidRPr="0095368E" w:rsidRDefault="004C50DC" w:rsidP="004C50DC">
      <w:pPr>
        <w:pStyle w:val="paroles"/>
        <w:rPr>
          <w:i/>
        </w:rPr>
      </w:pPr>
      <w:r w:rsidRPr="0095368E">
        <w:rPr>
          <w:i/>
        </w:rPr>
        <w:t>Nèg kongo k ap toujou devan</w:t>
      </w:r>
    </w:p>
    <w:p w:rsidR="004C50DC" w:rsidRPr="0095368E" w:rsidRDefault="004C50DC" w:rsidP="004C50DC">
      <w:pPr>
        <w:pStyle w:val="paroles"/>
      </w:pPr>
      <w:r w:rsidRPr="0095368E">
        <w:rPr>
          <w:i/>
        </w:rPr>
        <w:t>Voye rele Ganga !</w:t>
      </w:r>
    </w:p>
    <w:p w:rsidR="004C50DC" w:rsidRDefault="004C50DC" w:rsidP="004C50DC">
      <w:pPr>
        <w:pStyle w:val="paroles"/>
        <w:rPr>
          <w:i/>
        </w:rPr>
      </w:pPr>
      <w:r w:rsidRPr="0095368E">
        <w:rPr>
          <w:i/>
        </w:rPr>
        <w:t>Boukman Eksperyans, 1992</w:t>
      </w:r>
    </w:p>
    <w:p w:rsidR="004C50DC" w:rsidRPr="0095368E" w:rsidRDefault="004C50DC" w:rsidP="004C50DC">
      <w:pPr>
        <w:pStyle w:val="paroles"/>
      </w:pPr>
    </w:p>
    <w:p w:rsidR="004C50DC" w:rsidRPr="0095368E" w:rsidRDefault="004C50DC" w:rsidP="004C50DC">
      <w:pPr>
        <w:pStyle w:val="paroles"/>
        <w:rPr>
          <w:i/>
        </w:rPr>
      </w:pPr>
      <w:r w:rsidRPr="0095368E">
        <w:t>[</w:t>
      </w:r>
      <w:r w:rsidRPr="009A5B70">
        <w:rPr>
          <w:b/>
          <w:i/>
        </w:rPr>
        <w:t>Ganga</w:t>
      </w:r>
    </w:p>
    <w:p w:rsidR="004C50DC" w:rsidRPr="0095368E" w:rsidRDefault="004C50DC" w:rsidP="004C50DC">
      <w:pPr>
        <w:pStyle w:val="paroles"/>
      </w:pPr>
      <w:r w:rsidRPr="0095368E">
        <w:t>[…] Haïti est un pays insaisissable.</w:t>
      </w:r>
    </w:p>
    <w:p w:rsidR="004C50DC" w:rsidRPr="0095368E" w:rsidRDefault="004C50DC" w:rsidP="004C50DC">
      <w:pPr>
        <w:pStyle w:val="paroles"/>
      </w:pPr>
      <w:r w:rsidRPr="0095368E">
        <w:t>Elle se relève toujours</w:t>
      </w:r>
    </w:p>
    <w:p w:rsidR="004C50DC" w:rsidRPr="0095368E" w:rsidRDefault="004C50DC" w:rsidP="004C50DC">
      <w:pPr>
        <w:pStyle w:val="paroles"/>
      </w:pPr>
      <w:r w:rsidRPr="0095368E">
        <w:t>Même après un événement particulièrement pénible</w:t>
      </w:r>
    </w:p>
    <w:p w:rsidR="004C50DC" w:rsidRPr="0095368E" w:rsidRDefault="004C50DC" w:rsidP="004C50DC">
      <w:pPr>
        <w:pStyle w:val="paroles"/>
      </w:pPr>
      <w:r w:rsidRPr="0095368E">
        <w:t>À la stupéfaction de tous.</w:t>
      </w:r>
    </w:p>
    <w:p w:rsidR="004C50DC" w:rsidRPr="0095368E" w:rsidRDefault="004C50DC" w:rsidP="004C50DC">
      <w:pPr>
        <w:pStyle w:val="paroles"/>
      </w:pPr>
      <w:r w:rsidRPr="0095368E">
        <w:t>Un jour pour les chasseurs, un jour pour les gibiers</w:t>
      </w:r>
    </w:p>
    <w:p w:rsidR="004C50DC" w:rsidRPr="0095368E" w:rsidRDefault="004C50DC" w:rsidP="004C50DC">
      <w:pPr>
        <w:pStyle w:val="paroles"/>
      </w:pPr>
      <w:r w:rsidRPr="0095368E">
        <w:t>Le Grand Maître l’a voulu ainsi.</w:t>
      </w:r>
    </w:p>
    <w:p w:rsidR="004C50DC" w:rsidRPr="0095368E" w:rsidRDefault="004C50DC" w:rsidP="004C50DC">
      <w:pPr>
        <w:pStyle w:val="paroles"/>
      </w:pPr>
      <w:r w:rsidRPr="0095368E">
        <w:t>Ils peuvent tout essayer,</w:t>
      </w:r>
    </w:p>
    <w:p w:rsidR="004C50DC" w:rsidRPr="0095368E" w:rsidRDefault="004C50DC" w:rsidP="004C50DC">
      <w:pPr>
        <w:pStyle w:val="paroles"/>
      </w:pPr>
      <w:r w:rsidRPr="0095368E">
        <w:t>Mais les Nègres de Congo seront toujours victorieux</w:t>
      </w:r>
    </w:p>
    <w:p w:rsidR="004C50DC" w:rsidRPr="0095368E" w:rsidRDefault="004C50DC" w:rsidP="004C50DC">
      <w:pPr>
        <w:pStyle w:val="paroles"/>
      </w:pPr>
      <w:r w:rsidRPr="0095368E">
        <w:t>Appelle Ganga !]</w:t>
      </w:r>
    </w:p>
    <w:p w:rsidR="004C50DC" w:rsidRPr="0095368E" w:rsidRDefault="004C50DC" w:rsidP="004C50DC">
      <w:pPr>
        <w:spacing w:before="120" w:after="120"/>
        <w:jc w:val="both"/>
      </w:pPr>
    </w:p>
    <w:p w:rsidR="004C50DC" w:rsidRDefault="004C50DC" w:rsidP="004C50DC">
      <w:pPr>
        <w:spacing w:before="120" w:after="120"/>
        <w:jc w:val="both"/>
      </w:pPr>
      <w:r w:rsidRPr="00E8358C">
        <w:t xml:space="preserve">Avec </w:t>
      </w:r>
      <w:r w:rsidRPr="00E8358C">
        <w:rPr>
          <w:i/>
        </w:rPr>
        <w:t xml:space="preserve">Jou nou revolte, </w:t>
      </w:r>
      <w:r w:rsidRPr="00E8358C">
        <w:t>Boukman Eksperyans énonce la nécessité d’une autre révolution face aux situations attristantes de la première République noire ; le groupe invite les Haïtiens à répéter le passé, dans l’objectif de restaurer la souveraineté nationale. L’harmonie e</w:t>
      </w:r>
      <w:r w:rsidRPr="00E8358C">
        <w:t>n</w:t>
      </w:r>
      <w:r w:rsidRPr="00E8358C">
        <w:t>tre les Haïti</w:t>
      </w:r>
      <w:r>
        <w:t>ens est la voie pour y arriver.</w:t>
      </w:r>
    </w:p>
    <w:p w:rsidR="004C50DC" w:rsidRPr="0095368E" w:rsidRDefault="004C50DC" w:rsidP="004C50DC">
      <w:pPr>
        <w:jc w:val="center"/>
      </w:pPr>
    </w:p>
    <w:p w:rsidR="004C50DC" w:rsidRPr="009A5B70" w:rsidRDefault="004C50DC" w:rsidP="004C50DC">
      <w:pPr>
        <w:pStyle w:val="paroles"/>
        <w:rPr>
          <w:b/>
        </w:rPr>
      </w:pPr>
      <w:bookmarkStart w:id="403" w:name="_Toc421022303"/>
      <w:bookmarkStart w:id="404" w:name="_Toc423347355"/>
      <w:bookmarkStart w:id="405" w:name="_Toc423348288"/>
      <w:bookmarkStart w:id="406" w:name="_Toc442280536"/>
      <w:r w:rsidRPr="009A5B70">
        <w:rPr>
          <w:b/>
        </w:rPr>
        <w:t>Jou nou revolte</w:t>
      </w:r>
      <w:bookmarkEnd w:id="403"/>
      <w:bookmarkEnd w:id="404"/>
      <w:bookmarkEnd w:id="405"/>
      <w:bookmarkEnd w:id="406"/>
    </w:p>
    <w:p w:rsidR="004C50DC" w:rsidRPr="0095368E" w:rsidRDefault="004C50DC" w:rsidP="004C50DC">
      <w:pPr>
        <w:pStyle w:val="paroles"/>
      </w:pPr>
      <w:bookmarkStart w:id="407" w:name="_Toc421022304"/>
      <w:bookmarkStart w:id="408" w:name="_Toc423347356"/>
      <w:bookmarkStart w:id="409" w:name="_Toc423348289"/>
      <w:bookmarkStart w:id="410" w:name="_Toc442280537"/>
      <w:r w:rsidRPr="0095368E">
        <w:t>Jou n a revolte, eeeee</w:t>
      </w:r>
      <w:bookmarkEnd w:id="407"/>
      <w:bookmarkEnd w:id="408"/>
      <w:bookmarkEnd w:id="409"/>
      <w:bookmarkEnd w:id="410"/>
    </w:p>
    <w:p w:rsidR="004C50DC" w:rsidRPr="0095368E" w:rsidRDefault="004C50DC" w:rsidP="004C50DC">
      <w:pPr>
        <w:pStyle w:val="paroles"/>
      </w:pPr>
      <w:r w:rsidRPr="0095368E">
        <w:t>Jou a rive pou n fè yon revolisyon</w:t>
      </w:r>
    </w:p>
    <w:p w:rsidR="004C50DC" w:rsidRPr="0095368E" w:rsidRDefault="004C50DC" w:rsidP="004C50DC">
      <w:pPr>
        <w:pStyle w:val="paroles"/>
      </w:pPr>
      <w:r w:rsidRPr="0095368E">
        <w:t>Pou n sispann kopye sou lot nasyon</w:t>
      </w:r>
    </w:p>
    <w:p w:rsidR="004C50DC" w:rsidRPr="0095368E" w:rsidRDefault="004C50DC" w:rsidP="004C50DC">
      <w:pPr>
        <w:pStyle w:val="paroles"/>
      </w:pPr>
      <w:r w:rsidRPr="0095368E">
        <w:t>Sa  fè lontan y ap di ki jan pou n viv o.</w:t>
      </w:r>
    </w:p>
    <w:p w:rsidR="004C50DC" w:rsidRPr="0095368E" w:rsidRDefault="004C50DC" w:rsidP="004C50DC">
      <w:pPr>
        <w:pStyle w:val="paroles"/>
      </w:pPr>
      <w:r w:rsidRPr="0095368E">
        <w:t>Pandan tan sa lakou yo fin tonbe, fin kraze</w:t>
      </w:r>
    </w:p>
    <w:p w:rsidR="004C50DC" w:rsidRPr="0095368E" w:rsidRDefault="004C50DC" w:rsidP="004C50DC">
      <w:pPr>
        <w:pStyle w:val="paroles"/>
      </w:pPr>
      <w:r w:rsidRPr="0095368E">
        <w:t>Jou a rive pou n kite Babilòn</w:t>
      </w:r>
    </w:p>
    <w:p w:rsidR="004C50DC" w:rsidRPr="0095368E" w:rsidRDefault="004C50DC" w:rsidP="004C50DC">
      <w:pPr>
        <w:pStyle w:val="paroles"/>
      </w:pPr>
      <w:r w:rsidRPr="0095368E">
        <w:t>Moman an rive pou n viv an twa pawòl […]</w:t>
      </w:r>
    </w:p>
    <w:p w:rsidR="004C50DC" w:rsidRDefault="004C50DC" w:rsidP="004C50DC">
      <w:pPr>
        <w:pStyle w:val="paroles"/>
      </w:pPr>
      <w:r w:rsidRPr="0095368E">
        <w:t>Boukman Eksperyans, 1992</w:t>
      </w:r>
    </w:p>
    <w:p w:rsidR="004C50DC" w:rsidRPr="0095368E" w:rsidRDefault="004C50DC" w:rsidP="004C50DC">
      <w:pPr>
        <w:pStyle w:val="paroles"/>
      </w:pPr>
    </w:p>
    <w:p w:rsidR="004C50DC" w:rsidRPr="009A5B70" w:rsidRDefault="004C50DC" w:rsidP="004C50DC">
      <w:pPr>
        <w:pStyle w:val="paroles"/>
        <w:rPr>
          <w:b/>
        </w:rPr>
      </w:pPr>
      <w:r w:rsidRPr="009A5B70">
        <w:rPr>
          <w:b/>
        </w:rPr>
        <w:t>[Au jour de la révolte</w:t>
      </w:r>
    </w:p>
    <w:p w:rsidR="004C50DC" w:rsidRPr="0095368E" w:rsidRDefault="004C50DC" w:rsidP="004C50DC">
      <w:pPr>
        <w:pStyle w:val="paroles"/>
      </w:pPr>
      <w:r w:rsidRPr="0095368E">
        <w:t>Au jour de la révolte,</w:t>
      </w:r>
    </w:p>
    <w:p w:rsidR="004C50DC" w:rsidRPr="0095368E" w:rsidRDefault="004C50DC" w:rsidP="004C50DC">
      <w:pPr>
        <w:pStyle w:val="paroles"/>
      </w:pPr>
      <w:r w:rsidRPr="0095368E">
        <w:t>Le jour est venu de faire la révolution.</w:t>
      </w:r>
    </w:p>
    <w:p w:rsidR="004C50DC" w:rsidRPr="0095368E" w:rsidRDefault="004C50DC" w:rsidP="004C50DC">
      <w:pPr>
        <w:pStyle w:val="paroles"/>
      </w:pPr>
      <w:r w:rsidRPr="0095368E">
        <w:t>Nous devons arrêter de copier les autres nations.</w:t>
      </w:r>
    </w:p>
    <w:p w:rsidR="004C50DC" w:rsidRPr="0095368E" w:rsidRDefault="004C50DC" w:rsidP="004C50DC">
      <w:pPr>
        <w:pStyle w:val="paroles"/>
      </w:pPr>
      <w:r w:rsidRPr="0095368E">
        <w:t>Depuis longtemps, elles nous dictent leur mode de vie.</w:t>
      </w:r>
    </w:p>
    <w:p w:rsidR="004C50DC" w:rsidRPr="0095368E" w:rsidRDefault="004C50DC" w:rsidP="004C50DC">
      <w:pPr>
        <w:pStyle w:val="paroles"/>
      </w:pPr>
      <w:r w:rsidRPr="0095368E">
        <w:t>En conséquence, les Lakou se dégradent et disparaissent.</w:t>
      </w:r>
    </w:p>
    <w:p w:rsidR="004C50DC" w:rsidRPr="0095368E" w:rsidRDefault="004C50DC" w:rsidP="004C50DC">
      <w:pPr>
        <w:pStyle w:val="paroles"/>
      </w:pPr>
      <w:r w:rsidRPr="0095368E">
        <w:t>Le temps est venu de quitter Babylone.</w:t>
      </w:r>
    </w:p>
    <w:p w:rsidR="004C50DC" w:rsidRPr="0095368E" w:rsidRDefault="004C50DC" w:rsidP="004C50DC">
      <w:pPr>
        <w:pStyle w:val="paroles"/>
      </w:pPr>
      <w:r w:rsidRPr="0095368E">
        <w:t>C’est le moment de vivre en trois paroles…]</w:t>
      </w:r>
    </w:p>
    <w:p w:rsidR="004C50DC" w:rsidRPr="0095368E" w:rsidRDefault="004C50DC" w:rsidP="004C50DC">
      <w:pPr>
        <w:spacing w:before="120" w:after="120"/>
        <w:jc w:val="both"/>
      </w:pPr>
    </w:p>
    <w:p w:rsidR="004C50DC" w:rsidRDefault="004C50DC" w:rsidP="004C50DC">
      <w:pPr>
        <w:spacing w:before="120" w:after="120"/>
        <w:jc w:val="both"/>
      </w:pPr>
      <w:r>
        <w:t>[328]</w:t>
      </w:r>
    </w:p>
    <w:p w:rsidR="004C50DC" w:rsidRPr="00E8358C" w:rsidRDefault="004C50DC" w:rsidP="004C50DC">
      <w:pPr>
        <w:spacing w:before="120" w:after="120"/>
        <w:jc w:val="both"/>
      </w:pPr>
      <w:r w:rsidRPr="00E8358C">
        <w:t>Il ne faut pas voir dans les allusions à l’Afrique que fait Boukman Eksperyans un prolongement de la résistance des esclaves de Saint-Domingue. Nous nous rendons compte que non seulement nous avons changé de « temps historique », mais que nous sommes dans le d</w:t>
      </w:r>
      <w:r w:rsidRPr="00E8358C">
        <w:t>o</w:t>
      </w:r>
      <w:r w:rsidRPr="00E8358C">
        <w:t>maine du discours symbolique et de la métaphore, puisque nous pa</w:t>
      </w:r>
      <w:r w:rsidRPr="00E8358C">
        <w:t>r</w:t>
      </w:r>
      <w:r w:rsidRPr="00E8358C">
        <w:t>lons de musique et d’art en général. Par exemple, cette Afrique sy</w:t>
      </w:r>
      <w:r w:rsidRPr="00E8358C">
        <w:t>m</w:t>
      </w:r>
      <w:r w:rsidRPr="00E8358C">
        <w:t xml:space="preserve">bolique peut évoquer le </w:t>
      </w:r>
      <w:r w:rsidRPr="00E8358C">
        <w:rPr>
          <w:i/>
        </w:rPr>
        <w:t>reggae</w:t>
      </w:r>
      <w:r w:rsidRPr="00E8358C">
        <w:t xml:space="preserve">, le </w:t>
      </w:r>
      <w:r w:rsidRPr="00E8358C">
        <w:rPr>
          <w:i/>
        </w:rPr>
        <w:t>rastafarisme</w:t>
      </w:r>
      <w:r w:rsidRPr="00E8358C">
        <w:t>. Toutefois, Boukman Eksperyans invite les Haïtiens à s’approprier les valeurs culturelles haïtiennes en tant qu’éléments d’affirmation de leur identité. Leurs ancêtres esclaves ont tracé la voie de la libération physique, ils do</w:t>
      </w:r>
      <w:r w:rsidRPr="00E8358C">
        <w:t>i</w:t>
      </w:r>
      <w:r w:rsidRPr="00E8358C">
        <w:t>vent maintenant mener la révolution mentale pour leur rendre ho</w:t>
      </w:r>
      <w:r w:rsidRPr="00E8358C">
        <w:t>m</w:t>
      </w:r>
      <w:r w:rsidRPr="00E8358C">
        <w:t>mage</w:t>
      </w:r>
      <w:r>
        <w:t> </w:t>
      </w:r>
      <w:r w:rsidRPr="00E8358C">
        <w:rPr>
          <w:rStyle w:val="Appelnotedebasdep"/>
        </w:rPr>
        <w:footnoteReference w:id="853"/>
      </w:r>
      <w:r w:rsidRPr="00E8358C">
        <w:t xml:space="preserve">. </w:t>
      </w:r>
    </w:p>
    <w:p w:rsidR="004C50DC" w:rsidRPr="00E8358C" w:rsidRDefault="004C50DC" w:rsidP="004C50DC">
      <w:pPr>
        <w:spacing w:before="120" w:after="120"/>
        <w:jc w:val="both"/>
      </w:pPr>
      <w:r w:rsidRPr="00E8358C">
        <w:t>D’autres artistes, comme Steve Brunache, Eddy François, Emm</w:t>
      </w:r>
      <w:r w:rsidRPr="00E8358C">
        <w:t>a</w:t>
      </w:r>
      <w:r w:rsidRPr="00E8358C">
        <w:t>nuel Antoine Jean-Baptiste (Ti Manno), ont eux aussi chanté la m</w:t>
      </w:r>
      <w:r w:rsidRPr="00E8358C">
        <w:t>é</w:t>
      </w:r>
      <w:r w:rsidRPr="00E8358C">
        <w:t>moire de l’esclavage. Steve Brunache, une des figures de la musique engagée, dans la chanson « </w:t>
      </w:r>
      <w:r w:rsidRPr="00E8358C">
        <w:rPr>
          <w:i/>
        </w:rPr>
        <w:t>Linyon</w:t>
      </w:r>
      <w:r w:rsidRPr="00E8358C">
        <w:t> », se penche sur le problème des « divisions » qui ont régné au sein de la société haïtienne durant les décennies qui ont suivi le départ du dictateur Jean-Claude Duvalier. Il demande une fois de plus au tambour qui a été l’instrument de ralli</w:t>
      </w:r>
      <w:r w:rsidRPr="00E8358C">
        <w:t>e</w:t>
      </w:r>
      <w:r w:rsidRPr="00E8358C">
        <w:t>ment dans les luttes haïtiennes de voler au secours de « l’union ». Il rejette toute idée voulant que les Haïtiens ne puissent pas s’entendre. Pour lui, le proverbe « </w:t>
      </w:r>
      <w:r w:rsidRPr="00E8358C">
        <w:rPr>
          <w:i/>
        </w:rPr>
        <w:t>depi nan Ginen nèg te rayi nèg</w:t>
      </w:r>
      <w:r w:rsidRPr="00E8358C">
        <w:t xml:space="preserve"> » est une pure invention coloniale pour inciterles esclaves à s’entre-déchirer. Il y a une sorte de déni de réalité dans cette approche. Tout est de la faute des autres, des ennemis du peuple haïtien. Cette conception continue à faire son chemin dans la famille haïtienne. </w:t>
      </w:r>
    </w:p>
    <w:p w:rsidR="004C50DC" w:rsidRDefault="004C50DC" w:rsidP="004C50DC">
      <w:pPr>
        <w:spacing w:before="120" w:after="120"/>
        <w:jc w:val="both"/>
      </w:pPr>
      <w:r w:rsidRPr="00E8358C">
        <w:t>L’origine de la division au sein de la société haïtienne, dit Steve Brunache, remonte à la Traite négrière et au conditionnement esclav</w:t>
      </w:r>
      <w:r w:rsidRPr="00E8358C">
        <w:t>a</w:t>
      </w:r>
      <w:r w:rsidRPr="00E8358C">
        <w:t xml:space="preserve">giste dans la colonie dominguoise. Il espère que le tambour se fera entendre et pourra </w:t>
      </w:r>
      <w:r>
        <w:t>encore rassembler les citoyens.</w:t>
      </w:r>
    </w:p>
    <w:p w:rsidR="004C50DC" w:rsidRPr="00E8358C" w:rsidRDefault="004C50DC" w:rsidP="004C50DC">
      <w:pPr>
        <w:spacing w:before="120" w:after="120"/>
        <w:jc w:val="both"/>
      </w:pPr>
    </w:p>
    <w:p w:rsidR="004C50DC" w:rsidRPr="009A5B70" w:rsidRDefault="004C50DC" w:rsidP="004C50DC">
      <w:pPr>
        <w:pStyle w:val="parolesib"/>
      </w:pPr>
      <w:r w:rsidRPr="009A5B70">
        <w:t>Linyon</w:t>
      </w:r>
    </w:p>
    <w:p w:rsidR="004C50DC" w:rsidRPr="009A5B70" w:rsidRDefault="004C50DC" w:rsidP="004C50DC">
      <w:pPr>
        <w:pStyle w:val="parolesi"/>
      </w:pPr>
      <w:r w:rsidRPr="009A5B70">
        <w:t>Men tanbou si w tande, rasanble yo souple</w:t>
      </w:r>
    </w:p>
    <w:p w:rsidR="004C50DC" w:rsidRPr="009A5B70" w:rsidRDefault="004C50DC" w:rsidP="004C50DC">
      <w:pPr>
        <w:pStyle w:val="parolesi"/>
      </w:pPr>
      <w:r w:rsidRPr="009A5B70">
        <w:t>Gen lontan n separe, tanpri fè n jwenn rasin yo.</w:t>
      </w:r>
    </w:p>
    <w:p w:rsidR="004C50DC" w:rsidRPr="009A5B70" w:rsidRDefault="004C50DC" w:rsidP="004C50DC">
      <w:pPr>
        <w:pStyle w:val="parolesi"/>
      </w:pPr>
      <w:r w:rsidRPr="009A5B70">
        <w:t>Sa fè lontan depi yo separe nou</w:t>
      </w:r>
    </w:p>
    <w:p w:rsidR="004C50DC" w:rsidRPr="009A5B70" w:rsidRDefault="004C50DC" w:rsidP="004C50DC">
      <w:pPr>
        <w:pStyle w:val="parolesi"/>
      </w:pPr>
      <w:r w:rsidRPr="009A5B70">
        <w:t>Depi lè nou te kite tè Lafrik.</w:t>
      </w:r>
    </w:p>
    <w:p w:rsidR="004C50DC" w:rsidRPr="009A5B70" w:rsidRDefault="004C50DC" w:rsidP="004C50DC">
      <w:pPr>
        <w:pStyle w:val="parolesi"/>
      </w:pPr>
      <w:r w:rsidRPr="009A5B70">
        <w:t>Kolon pran nou, mare nou tankou bèt.</w:t>
      </w:r>
    </w:p>
    <w:p w:rsidR="004C50DC" w:rsidRPr="00E24E18" w:rsidRDefault="004C50DC" w:rsidP="004C50DC">
      <w:pPr>
        <w:pStyle w:val="parolesi"/>
      </w:pPr>
      <w:r w:rsidRPr="009A5B70">
        <w:t>Pou yo te fè nou kwè ke nou pa sanble</w:t>
      </w:r>
      <w:r w:rsidRPr="00E24E18">
        <w:t>.</w:t>
      </w:r>
    </w:p>
    <w:p w:rsidR="004C50DC" w:rsidRDefault="004C50DC" w:rsidP="004C50DC">
      <w:pPr>
        <w:pStyle w:val="p"/>
      </w:pPr>
      <w:r>
        <w:t>[329]</w:t>
      </w:r>
    </w:p>
    <w:p w:rsidR="004C50DC" w:rsidRPr="00E24E18" w:rsidRDefault="004C50DC" w:rsidP="004C50DC">
      <w:pPr>
        <w:pStyle w:val="parolesi"/>
      </w:pPr>
      <w:r w:rsidRPr="00E24E18">
        <w:t>Pou yo te fè nou kwè ke nou san valè.</w:t>
      </w:r>
    </w:p>
    <w:p w:rsidR="004C50DC" w:rsidRPr="00E24E18" w:rsidRDefault="004C50DC" w:rsidP="004C50DC">
      <w:pPr>
        <w:pStyle w:val="parolesi"/>
      </w:pPr>
      <w:r w:rsidRPr="00E24E18">
        <w:t>Se pa vre nan Ginen nèg te rayi te rayi nèg.</w:t>
      </w:r>
    </w:p>
    <w:p w:rsidR="004C50DC" w:rsidRPr="00E24E18" w:rsidRDefault="004C50DC" w:rsidP="004C50DC">
      <w:pPr>
        <w:pStyle w:val="parolesi"/>
      </w:pPr>
      <w:r w:rsidRPr="00E24E18">
        <w:t>Se pawòl pou yo fè nou ret divize.</w:t>
      </w:r>
    </w:p>
    <w:p w:rsidR="004C50DC" w:rsidRPr="00E24E18" w:rsidRDefault="004C50DC" w:rsidP="004C50DC">
      <w:pPr>
        <w:pStyle w:val="parolesi"/>
      </w:pPr>
      <w:r w:rsidRPr="00E24E18">
        <w:t>Pou pa janm gen renmen, pou pa gen linyon.</w:t>
      </w:r>
    </w:p>
    <w:p w:rsidR="004C50DC" w:rsidRPr="00E24E18" w:rsidRDefault="004C50DC" w:rsidP="004C50DC">
      <w:pPr>
        <w:pStyle w:val="parolesi"/>
      </w:pPr>
      <w:r w:rsidRPr="00E24E18">
        <w:t>Sa fè lontan depi yo separe nou, divize nou pou yo ka toujou renye.</w:t>
      </w:r>
    </w:p>
    <w:p w:rsidR="004C50DC" w:rsidRPr="00E24E18" w:rsidRDefault="004C50DC" w:rsidP="004C50DC">
      <w:pPr>
        <w:pStyle w:val="parolesi"/>
      </w:pPr>
      <w:r w:rsidRPr="00E24E18">
        <w:t>Jodia nou konprann e nou jire.</w:t>
      </w:r>
    </w:p>
    <w:p w:rsidR="004C50DC" w:rsidRPr="00E24E18" w:rsidRDefault="004C50DC" w:rsidP="004C50DC">
      <w:pPr>
        <w:pStyle w:val="parolesi"/>
      </w:pPr>
      <w:r w:rsidRPr="00E24E18">
        <w:t>Si nou la sè ke nou sanble</w:t>
      </w:r>
    </w:p>
    <w:p w:rsidR="004C50DC" w:rsidRPr="00E24E18" w:rsidRDefault="004C50DC" w:rsidP="004C50DC">
      <w:pPr>
        <w:pStyle w:val="parolesi"/>
      </w:pPr>
      <w:r w:rsidRPr="00E24E18">
        <w:t>Si nou sanble sè ke n ka renmen,</w:t>
      </w:r>
    </w:p>
    <w:p w:rsidR="004C50DC" w:rsidRPr="00E24E18" w:rsidRDefault="004C50DC" w:rsidP="004C50DC">
      <w:pPr>
        <w:pStyle w:val="parolesi"/>
      </w:pPr>
      <w:r w:rsidRPr="00E24E18">
        <w:t>Nan renmen na va jwenn linyon</w:t>
      </w:r>
    </w:p>
    <w:p w:rsidR="004C50DC" w:rsidRPr="00E24E18" w:rsidRDefault="004C50DC" w:rsidP="004C50DC">
      <w:pPr>
        <w:pStyle w:val="parolesi"/>
      </w:pPr>
      <w:r w:rsidRPr="00E24E18">
        <w:t>Linyon va di nou sa nou ye sou latè</w:t>
      </w:r>
    </w:p>
    <w:p w:rsidR="004C50DC" w:rsidRPr="0095368E" w:rsidRDefault="004C50DC" w:rsidP="004C50DC">
      <w:pPr>
        <w:jc w:val="center"/>
      </w:pPr>
    </w:p>
    <w:p w:rsidR="004C50DC" w:rsidRPr="0095368E" w:rsidRDefault="004C50DC" w:rsidP="004C50DC">
      <w:pPr>
        <w:pStyle w:val="parolesib"/>
      </w:pPr>
      <w:r w:rsidRPr="0095368E">
        <w:t>Steve Brunache</w:t>
      </w:r>
      <w:r>
        <w:rPr>
          <w:b w:val="0"/>
          <w:i w:val="0"/>
        </w:rPr>
        <w:t>  </w:t>
      </w:r>
      <w:r w:rsidRPr="00B85C67">
        <w:rPr>
          <w:rStyle w:val="Appelnotedebasdep"/>
          <w:b w:val="0"/>
          <w:i w:val="0"/>
        </w:rPr>
        <w:footnoteReference w:id="854"/>
      </w:r>
    </w:p>
    <w:p w:rsidR="004C50DC" w:rsidRPr="0095368E" w:rsidRDefault="004C50DC" w:rsidP="004C50DC">
      <w:pPr>
        <w:pStyle w:val="parolesib"/>
        <w:rPr>
          <w:lang w:eastAsia="en-CA"/>
        </w:rPr>
      </w:pPr>
      <w:r w:rsidRPr="0095368E">
        <w:t>[</w:t>
      </w:r>
      <w:r w:rsidRPr="0095368E">
        <w:rPr>
          <w:u w:val="single"/>
          <w:lang w:eastAsia="en-CA"/>
        </w:rPr>
        <w:t>Union</w:t>
      </w:r>
    </w:p>
    <w:p w:rsidR="004C50DC" w:rsidRPr="00E24E18" w:rsidRDefault="004C50DC" w:rsidP="004C50DC">
      <w:pPr>
        <w:pStyle w:val="paroles"/>
        <w:rPr>
          <w:lang w:eastAsia="en-CA"/>
        </w:rPr>
      </w:pPr>
      <w:r w:rsidRPr="00E24E18">
        <w:rPr>
          <w:lang w:eastAsia="en-CA"/>
        </w:rPr>
        <w:t>Tambour si vous entendez, rassemblez-les !</w:t>
      </w:r>
    </w:p>
    <w:p w:rsidR="004C50DC" w:rsidRPr="00E24E18" w:rsidRDefault="004C50DC" w:rsidP="004C50DC">
      <w:pPr>
        <w:pStyle w:val="paroles"/>
        <w:rPr>
          <w:lang w:eastAsia="en-CA"/>
        </w:rPr>
      </w:pPr>
      <w:r w:rsidRPr="00E24E18">
        <w:rPr>
          <w:lang w:eastAsia="en-CA"/>
        </w:rPr>
        <w:t>Nous avons été trop longtemps séparés,</w:t>
      </w:r>
    </w:p>
    <w:p w:rsidR="004C50DC" w:rsidRPr="00E24E18" w:rsidRDefault="004C50DC" w:rsidP="004C50DC">
      <w:pPr>
        <w:pStyle w:val="paroles"/>
        <w:rPr>
          <w:lang w:eastAsia="en-CA"/>
        </w:rPr>
      </w:pPr>
      <w:r w:rsidRPr="00E24E18">
        <w:rPr>
          <w:lang w:eastAsia="en-CA"/>
        </w:rPr>
        <w:t>Aidez-nous à retrouver nos racines.</w:t>
      </w:r>
    </w:p>
    <w:p w:rsidR="004C50DC" w:rsidRPr="00E24E18" w:rsidRDefault="004C50DC" w:rsidP="004C50DC">
      <w:pPr>
        <w:pStyle w:val="paroles"/>
        <w:rPr>
          <w:lang w:eastAsia="en-CA"/>
        </w:rPr>
      </w:pPr>
      <w:r w:rsidRPr="00E24E18">
        <w:rPr>
          <w:lang w:eastAsia="en-CA"/>
        </w:rPr>
        <w:t>Ils nous ont divisés depuis que nous avons quitté l’Afrique.</w:t>
      </w:r>
    </w:p>
    <w:p w:rsidR="004C50DC" w:rsidRPr="00E24E18" w:rsidRDefault="004C50DC" w:rsidP="004C50DC">
      <w:pPr>
        <w:pStyle w:val="paroles"/>
        <w:rPr>
          <w:lang w:eastAsia="en-CA"/>
        </w:rPr>
      </w:pPr>
      <w:r w:rsidRPr="00E24E18">
        <w:rPr>
          <w:lang w:eastAsia="en-CA"/>
        </w:rPr>
        <w:t>Les colons nous avaient enchaînés comme des animaux.</w:t>
      </w:r>
    </w:p>
    <w:p w:rsidR="004C50DC" w:rsidRPr="00E24E18" w:rsidRDefault="004C50DC" w:rsidP="004C50DC">
      <w:pPr>
        <w:pStyle w:val="paroles"/>
        <w:rPr>
          <w:lang w:eastAsia="en-CA"/>
        </w:rPr>
      </w:pPr>
      <w:r w:rsidRPr="00E24E18">
        <w:rPr>
          <w:lang w:eastAsia="en-CA"/>
        </w:rPr>
        <w:t>Ils voulaient nous faire croire que nous ne sommes pas leurs se</w:t>
      </w:r>
      <w:r w:rsidRPr="00E24E18">
        <w:rPr>
          <w:lang w:eastAsia="en-CA"/>
        </w:rPr>
        <w:t>m</w:t>
      </w:r>
      <w:r w:rsidRPr="00E24E18">
        <w:rPr>
          <w:lang w:eastAsia="en-CA"/>
        </w:rPr>
        <w:t>blables.</w:t>
      </w:r>
    </w:p>
    <w:p w:rsidR="004C50DC" w:rsidRPr="00E24E18" w:rsidRDefault="004C50DC" w:rsidP="004C50DC">
      <w:pPr>
        <w:pStyle w:val="paroles"/>
        <w:rPr>
          <w:lang w:eastAsia="en-CA"/>
        </w:rPr>
      </w:pPr>
      <w:r w:rsidRPr="00E24E18">
        <w:rPr>
          <w:lang w:eastAsia="en-CA"/>
        </w:rPr>
        <w:t>Ils voulaient nous faire croire que nous avons peu de valeur.</w:t>
      </w:r>
    </w:p>
    <w:p w:rsidR="004C50DC" w:rsidRPr="00E24E18" w:rsidRDefault="004C50DC" w:rsidP="004C50DC">
      <w:pPr>
        <w:pStyle w:val="paroles"/>
        <w:rPr>
          <w:lang w:eastAsia="en-CA"/>
        </w:rPr>
      </w:pPr>
      <w:r w:rsidRPr="00E24E18">
        <w:rPr>
          <w:lang w:eastAsia="en-CA"/>
        </w:rPr>
        <w:t>C’est faux que depuis la Guinée les Nègres haïssaient leurs se</w:t>
      </w:r>
      <w:r w:rsidRPr="00E24E18">
        <w:rPr>
          <w:lang w:eastAsia="en-CA"/>
        </w:rPr>
        <w:t>m</w:t>
      </w:r>
      <w:r w:rsidRPr="00E24E18">
        <w:rPr>
          <w:lang w:eastAsia="en-CA"/>
        </w:rPr>
        <w:t>blables.</w:t>
      </w:r>
    </w:p>
    <w:p w:rsidR="004C50DC" w:rsidRPr="00E24E18" w:rsidRDefault="004C50DC" w:rsidP="004C50DC">
      <w:pPr>
        <w:pStyle w:val="paroles"/>
        <w:rPr>
          <w:lang w:eastAsia="en-CA"/>
        </w:rPr>
      </w:pPr>
      <w:r w:rsidRPr="00E24E18">
        <w:rPr>
          <w:lang w:eastAsia="en-CA"/>
        </w:rPr>
        <w:t>C’est un discours qu’ils tiennent pour nous diviser davantage,</w:t>
      </w:r>
    </w:p>
    <w:p w:rsidR="004C50DC" w:rsidRPr="00E24E18" w:rsidRDefault="004C50DC" w:rsidP="004C50DC">
      <w:pPr>
        <w:pStyle w:val="paroles"/>
        <w:rPr>
          <w:lang w:eastAsia="en-CA"/>
        </w:rPr>
      </w:pPr>
      <w:r w:rsidRPr="00E24E18">
        <w:rPr>
          <w:lang w:eastAsia="en-CA"/>
        </w:rPr>
        <w:t>Pour empêcher toute union.</w:t>
      </w:r>
    </w:p>
    <w:p w:rsidR="004C50DC" w:rsidRPr="00E24E18" w:rsidRDefault="004C50DC" w:rsidP="004C50DC">
      <w:pPr>
        <w:pStyle w:val="paroles"/>
        <w:rPr>
          <w:lang w:eastAsia="en-CA"/>
        </w:rPr>
      </w:pPr>
      <w:r w:rsidRPr="00E24E18">
        <w:rPr>
          <w:lang w:eastAsia="en-CA"/>
        </w:rPr>
        <w:t>Depuis longtemps, ils nous divisent pour qu’ils continuent à r</w:t>
      </w:r>
      <w:r w:rsidRPr="00E24E18">
        <w:rPr>
          <w:lang w:eastAsia="en-CA"/>
        </w:rPr>
        <w:t>é</w:t>
      </w:r>
      <w:r w:rsidRPr="00E24E18">
        <w:rPr>
          <w:lang w:eastAsia="en-CA"/>
        </w:rPr>
        <w:t>gner.</w:t>
      </w:r>
    </w:p>
    <w:p w:rsidR="004C50DC" w:rsidRPr="00E24E18" w:rsidRDefault="004C50DC" w:rsidP="004C50DC">
      <w:pPr>
        <w:pStyle w:val="paroles"/>
        <w:rPr>
          <w:lang w:eastAsia="en-CA"/>
        </w:rPr>
      </w:pPr>
      <w:r w:rsidRPr="00E24E18">
        <w:rPr>
          <w:lang w:eastAsia="en-CA"/>
        </w:rPr>
        <w:t>Aujourd’hui, nous comprenons et jurons.</w:t>
      </w:r>
    </w:p>
    <w:p w:rsidR="004C50DC" w:rsidRPr="00E24E18" w:rsidRDefault="004C50DC" w:rsidP="004C50DC">
      <w:pPr>
        <w:pStyle w:val="paroles"/>
        <w:rPr>
          <w:lang w:eastAsia="en-CA"/>
        </w:rPr>
      </w:pPr>
      <w:r w:rsidRPr="00E24E18">
        <w:rPr>
          <w:lang w:eastAsia="en-CA"/>
        </w:rPr>
        <w:t>Si nous sommes là, c’est parce que nous nous ressemblons.</w:t>
      </w:r>
    </w:p>
    <w:p w:rsidR="004C50DC" w:rsidRPr="00E24E18" w:rsidRDefault="004C50DC" w:rsidP="004C50DC">
      <w:pPr>
        <w:pStyle w:val="paroles"/>
        <w:rPr>
          <w:lang w:eastAsia="en-CA"/>
        </w:rPr>
      </w:pPr>
      <w:r w:rsidRPr="00E24E18">
        <w:rPr>
          <w:lang w:eastAsia="en-CA"/>
        </w:rPr>
        <w:t>Si nous nous ressemblons, c’est parce que nous pourrons nous a</w:t>
      </w:r>
      <w:r w:rsidRPr="00E24E18">
        <w:rPr>
          <w:lang w:eastAsia="en-CA"/>
        </w:rPr>
        <w:t>i</w:t>
      </w:r>
      <w:r w:rsidRPr="00E24E18">
        <w:rPr>
          <w:lang w:eastAsia="en-CA"/>
        </w:rPr>
        <w:t>mer.</w:t>
      </w:r>
    </w:p>
    <w:p w:rsidR="004C50DC" w:rsidRPr="00E24E18" w:rsidRDefault="004C50DC" w:rsidP="004C50DC">
      <w:pPr>
        <w:pStyle w:val="paroles"/>
        <w:rPr>
          <w:lang w:eastAsia="en-CA"/>
        </w:rPr>
      </w:pPr>
      <w:r w:rsidRPr="00E24E18">
        <w:rPr>
          <w:lang w:eastAsia="en-CA"/>
        </w:rPr>
        <w:t>Avec de l’amour, nous retrouverons cette union</w:t>
      </w:r>
    </w:p>
    <w:p w:rsidR="004C50DC" w:rsidRPr="00E24E18" w:rsidRDefault="004C50DC" w:rsidP="004C50DC">
      <w:pPr>
        <w:pStyle w:val="paroles"/>
      </w:pPr>
      <w:r w:rsidRPr="00E24E18">
        <w:rPr>
          <w:lang w:eastAsia="en-CA"/>
        </w:rPr>
        <w:t>Qui nous révélera notre place et notre rôle sur la terre</w:t>
      </w:r>
      <w:r w:rsidRPr="00E24E18">
        <w:t>.]</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L’utilisation du créole a facilité le développement de la musique </w:t>
      </w:r>
      <w:r w:rsidRPr="00E8358C">
        <w:rPr>
          <w:i/>
        </w:rPr>
        <w:t>rasin</w:t>
      </w:r>
      <w:r w:rsidRPr="00E8358C">
        <w:t xml:space="preserve"> en Haïti, « la musique créole des villes », selon Jean Coulanges. C’est une revanche de la musique populaire, de la musique paysanne sur la musique urbaine jugée trop élitiste (jazz, classique). Les barri</w:t>
      </w:r>
      <w:r w:rsidRPr="00E8358C">
        <w:t>è</w:t>
      </w:r>
      <w:r w:rsidRPr="00E8358C">
        <w:t xml:space="preserve">res de domination culturelle et musicale des villes ont été renversées avec l’apparition de plusieurs groupes revendiquant leur appartenance « rasin » et « engagée » à partir de 1989. </w:t>
      </w:r>
    </w:p>
    <w:p w:rsidR="004C50DC" w:rsidRPr="00E8358C" w:rsidRDefault="004C50DC" w:rsidP="004C50DC">
      <w:pPr>
        <w:spacing w:before="120" w:after="120"/>
        <w:jc w:val="both"/>
      </w:pPr>
      <w:r w:rsidRPr="00E8358C">
        <w:t>La plupart des danses haïtiennes sont constituées de rythmes a</w:t>
      </w:r>
      <w:r w:rsidRPr="00E8358C">
        <w:t>n</w:t>
      </w:r>
      <w:r w:rsidRPr="00E8358C">
        <w:t>cestraux et sacrés. Le vodou semble être leur canal de production ou d’alimentation. Les danses dites traditionnelles sont la résultante de la culture africaine transportée en Haïti avec la colonisation. Certaines ont subi l’influence européenne : la contredanse ou le « croiser le 8 »</w:t>
      </w:r>
      <w:r>
        <w:t xml:space="preserve"> [330]</w:t>
      </w:r>
      <w:r w:rsidRPr="00E8358C">
        <w:t xml:space="preserve"> met en valeur le mélange vodouesque, européen et paysan. </w:t>
      </w:r>
    </w:p>
    <w:p w:rsidR="004C50DC" w:rsidRPr="00E8358C" w:rsidRDefault="004C50DC" w:rsidP="004C50DC">
      <w:pPr>
        <w:spacing w:before="120" w:after="120"/>
        <w:jc w:val="both"/>
      </w:pPr>
      <w:r w:rsidRPr="00E8358C">
        <w:t>Les termes utilisés pour identifier les danses traditionnelles ha</w:t>
      </w:r>
      <w:r w:rsidRPr="00E8358C">
        <w:t>ï</w:t>
      </w:r>
      <w:r w:rsidRPr="00E8358C">
        <w:t>tiennes ont des liens avec les pratiques cultuelles du vodou dérivé d</w:t>
      </w:r>
      <w:r w:rsidRPr="00E8358C">
        <w:t>i</w:t>
      </w:r>
      <w:r w:rsidRPr="00E8358C">
        <w:t>rectement des pratiques africaines. Glodel Mezilas mentionne que</w:t>
      </w:r>
      <w:r w:rsidRPr="00E8358C">
        <w:t>l</w:t>
      </w:r>
      <w:r w:rsidRPr="00E8358C">
        <w:t>ques-unes de ces danses : la danse de la couleuvre (</w:t>
      </w:r>
      <w:r w:rsidRPr="00E8358C">
        <w:rPr>
          <w:i/>
        </w:rPr>
        <w:t>Danmbala</w:t>
      </w:r>
      <w:r w:rsidRPr="00E8358C">
        <w:t>), la danse des hanches (</w:t>
      </w:r>
      <w:r w:rsidRPr="00E8358C">
        <w:rPr>
          <w:i/>
        </w:rPr>
        <w:t xml:space="preserve">Banda-Gédé </w:t>
      </w:r>
      <w:r w:rsidRPr="00E8358C">
        <w:t>et</w:t>
      </w:r>
      <w:r w:rsidRPr="00E8358C">
        <w:rPr>
          <w:i/>
        </w:rPr>
        <w:t xml:space="preserve"> Kongo</w:t>
      </w:r>
      <w:r w:rsidRPr="00E8358C">
        <w:t>), la danse de l’araignée (</w:t>
      </w:r>
      <w:r w:rsidRPr="00E8358C">
        <w:rPr>
          <w:i/>
        </w:rPr>
        <w:t>Gédé zaryen</w:t>
      </w:r>
      <w:r w:rsidRPr="00E8358C">
        <w:t>), la danse des épaules (</w:t>
      </w:r>
      <w:r w:rsidRPr="00E8358C">
        <w:rPr>
          <w:i/>
        </w:rPr>
        <w:t>Yanvalou-zepòl</w:t>
      </w:r>
      <w:r w:rsidRPr="00E8358C">
        <w:t xml:space="preserve">), celle des pieds et des mains (la danse </w:t>
      </w:r>
      <w:r w:rsidRPr="00E8358C">
        <w:rPr>
          <w:i/>
        </w:rPr>
        <w:t>Petro</w:t>
      </w:r>
      <w:r w:rsidRPr="00E8358C">
        <w:t xml:space="preserve">, la danse </w:t>
      </w:r>
      <w:r w:rsidRPr="00E8358C">
        <w:rPr>
          <w:i/>
        </w:rPr>
        <w:t>mayi</w:t>
      </w:r>
      <w:r w:rsidRPr="00E8358C">
        <w:t>), la danse du buste (</w:t>
      </w:r>
      <w:r w:rsidRPr="00E8358C">
        <w:rPr>
          <w:i/>
        </w:rPr>
        <w:t>Ya</w:t>
      </w:r>
      <w:r w:rsidRPr="00E8358C">
        <w:rPr>
          <w:i/>
        </w:rPr>
        <w:t>n</w:t>
      </w:r>
      <w:r w:rsidRPr="00E8358C">
        <w:rPr>
          <w:i/>
        </w:rPr>
        <w:t>valou Do ba</w:t>
      </w:r>
      <w:r w:rsidRPr="00E8358C">
        <w:t>)</w:t>
      </w:r>
      <w:r>
        <w:t> </w:t>
      </w:r>
      <w:r>
        <w:rPr>
          <w:rStyle w:val="Appelnotedebasdep"/>
        </w:rPr>
        <w:footnoteReference w:id="855"/>
      </w:r>
      <w:r w:rsidRPr="00E8358C">
        <w:t>. Tout un rituel leur est associé. Qu’on les appelleda</w:t>
      </w:r>
      <w:r w:rsidRPr="00E8358C">
        <w:t>n</w:t>
      </w:r>
      <w:r w:rsidRPr="00E8358C">
        <w:t xml:space="preserve">ses folkloriques, danses traditionnelles ou autres, elles n’échappent pas tellement à cette réalité. </w:t>
      </w:r>
    </w:p>
    <w:p w:rsidR="004C50DC" w:rsidRDefault="004C50DC" w:rsidP="004C50DC">
      <w:pPr>
        <w:spacing w:before="120" w:after="120"/>
        <w:jc w:val="both"/>
      </w:pPr>
      <w:r w:rsidRPr="00E8358C">
        <w:t>Le vodou, en tant que religion née dans le contexte colonial, appo</w:t>
      </w:r>
      <w:r w:rsidRPr="00E8358C">
        <w:t>r</w:t>
      </w:r>
      <w:r w:rsidRPr="00E8358C">
        <w:t>te aux danses traditionnelles haïtiennes les musiques, les rythmes, les chants qui accompagnent les danseurs ainsi que les costumes ou les expressions corporelles. Des chorégraphies sont montées dans les éc</w:t>
      </w:r>
      <w:r w:rsidRPr="00E8358C">
        <w:t>o</w:t>
      </w:r>
      <w:r w:rsidRPr="00E8358C">
        <w:t>les de danse pour faire revivre les moments forts de l’histoire d’Haïti, notammen</w:t>
      </w:r>
      <w:r>
        <w:t>t l’esclavage à Saint-Domingue.</w:t>
      </w:r>
    </w:p>
    <w:p w:rsidR="004C50DC" w:rsidRPr="00E8358C" w:rsidRDefault="004C50DC" w:rsidP="004C50DC">
      <w:pPr>
        <w:spacing w:before="120" w:after="120"/>
        <w:jc w:val="both"/>
      </w:pPr>
    </w:p>
    <w:p w:rsidR="004C50DC" w:rsidRPr="00E24E18" w:rsidRDefault="004C50DC" w:rsidP="004C50DC">
      <w:pPr>
        <w:pStyle w:val="b"/>
      </w:pPr>
      <w:bookmarkStart w:id="411" w:name="_Toc423347358"/>
      <w:bookmarkStart w:id="412" w:name="_Toc442280538"/>
      <w:r w:rsidRPr="00E24E18">
        <w:t>Défilés carnavalesques</w:t>
      </w:r>
      <w:bookmarkEnd w:id="411"/>
      <w:bookmarkEnd w:id="412"/>
    </w:p>
    <w:p w:rsidR="004C50DC" w:rsidRDefault="004C50DC" w:rsidP="004C50DC">
      <w:pPr>
        <w:spacing w:before="120" w:after="120"/>
        <w:jc w:val="both"/>
      </w:pPr>
    </w:p>
    <w:p w:rsidR="004C50DC" w:rsidRDefault="004C50DC" w:rsidP="004C50DC">
      <w:pPr>
        <w:spacing w:before="120" w:after="120"/>
        <w:jc w:val="both"/>
      </w:pPr>
      <w:r w:rsidRPr="00E8358C">
        <w:t xml:space="preserve">Les défilés carnavalesques sont des occasions pour les groupes de se faire les porte-parole de la population, de dénoncer la mauvaise gestion des affaires publiques, de présenter les frustrations des masses paysannes, de chanter les exploits des héros. C’est aussi le plus grand moment de défoulement et de réjouissance populaire en Haïti. Une véritable thérapie de foule. Les </w:t>
      </w:r>
      <w:r w:rsidRPr="00E8358C">
        <w:rPr>
          <w:i/>
        </w:rPr>
        <w:t>meringues</w:t>
      </w:r>
      <w:r w:rsidRPr="00E8358C">
        <w:t xml:space="preserve"> de tendance </w:t>
      </w:r>
      <w:r w:rsidRPr="00E8358C">
        <w:rPr>
          <w:i/>
        </w:rPr>
        <w:t xml:space="preserve">rasin </w:t>
      </w:r>
      <w:r w:rsidRPr="00E8358C">
        <w:t>(racine) sont celles qui souvent font le lien avec l’esclavage et dénoncent to</w:t>
      </w:r>
      <w:r w:rsidRPr="00E8358C">
        <w:t>u</w:t>
      </w:r>
      <w:r w:rsidRPr="00E8358C">
        <w:t>tes les pratiques qui le rappellent dans la société haïtienne. Elles re</w:t>
      </w:r>
      <w:r w:rsidRPr="00E8358C">
        <w:t>n</w:t>
      </w:r>
      <w:r w:rsidRPr="00E8358C">
        <w:t>dent également hommage aux héros. En 2008, le groupe RAM, dans « Défilé », condamne l’assassinat de l’empereur Jean-Jacques Dess</w:t>
      </w:r>
      <w:r w:rsidRPr="00E8358C">
        <w:t>a</w:t>
      </w:r>
      <w:r w:rsidRPr="00E8358C">
        <w:t>lines, père fondateur de la nation haïtienne, et le comportement amn</w:t>
      </w:r>
      <w:r w:rsidRPr="00E8358C">
        <w:t>é</w:t>
      </w:r>
      <w:r w:rsidRPr="00E8358C">
        <w:t>sique de certains Haïtiens.</w:t>
      </w:r>
    </w:p>
    <w:p w:rsidR="004C50DC" w:rsidRDefault="004C50DC" w:rsidP="004C50DC">
      <w:pPr>
        <w:spacing w:before="120" w:after="120"/>
        <w:jc w:val="both"/>
      </w:pPr>
      <w:r>
        <w:t>[331]</w:t>
      </w:r>
    </w:p>
    <w:p w:rsidR="004C50DC" w:rsidRPr="00E8358C" w:rsidRDefault="004C50DC" w:rsidP="004C50DC">
      <w:pPr>
        <w:spacing w:before="120" w:after="120"/>
        <w:jc w:val="both"/>
      </w:pPr>
    </w:p>
    <w:p w:rsidR="004C50DC" w:rsidRPr="00E24E18" w:rsidRDefault="004C50DC" w:rsidP="004C50DC">
      <w:pPr>
        <w:pStyle w:val="parolesib"/>
      </w:pPr>
      <w:bookmarkStart w:id="413" w:name="_Toc421022307"/>
      <w:bookmarkStart w:id="414" w:name="_Toc423347359"/>
      <w:bookmarkStart w:id="415" w:name="_Toc423348292"/>
      <w:bookmarkStart w:id="416" w:name="_Toc442280539"/>
      <w:r w:rsidRPr="00E24E18">
        <w:t>Defile</w:t>
      </w:r>
      <w:r>
        <w:rPr>
          <w:i w:val="0"/>
        </w:rPr>
        <w:t> </w:t>
      </w:r>
      <w:r w:rsidRPr="00B85C67">
        <w:rPr>
          <w:rStyle w:val="Appelnotedebasdep"/>
          <w:b w:val="0"/>
          <w:i w:val="0"/>
        </w:rPr>
        <w:footnoteReference w:id="856"/>
      </w:r>
      <w:bookmarkEnd w:id="413"/>
      <w:bookmarkEnd w:id="414"/>
      <w:bookmarkEnd w:id="415"/>
      <w:bookmarkEnd w:id="416"/>
    </w:p>
    <w:p w:rsidR="004C50DC" w:rsidRPr="00E24E18" w:rsidRDefault="004C50DC" w:rsidP="004C50DC">
      <w:pPr>
        <w:pStyle w:val="parolesi"/>
      </w:pPr>
      <w:bookmarkStart w:id="417" w:name="_Toc421022308"/>
      <w:bookmarkStart w:id="418" w:name="_Toc423347360"/>
      <w:bookmarkStart w:id="419" w:name="_Toc423348293"/>
      <w:bookmarkStart w:id="420" w:name="_Toc442280540"/>
      <w:r w:rsidRPr="00E24E18">
        <w:t>Nou fete lanmò Desalin, men nou pa fete lavi Desalin.</w:t>
      </w:r>
      <w:bookmarkEnd w:id="417"/>
      <w:bookmarkEnd w:id="418"/>
      <w:bookmarkEnd w:id="419"/>
      <w:bookmarkEnd w:id="420"/>
    </w:p>
    <w:p w:rsidR="004C50DC" w:rsidRPr="00E24E18" w:rsidRDefault="004C50DC" w:rsidP="004C50DC">
      <w:pPr>
        <w:pStyle w:val="parolesi"/>
      </w:pPr>
      <w:bookmarkStart w:id="421" w:name="_Toc421022309"/>
      <w:bookmarkStart w:id="422" w:name="_Toc423347361"/>
      <w:bookmarkStart w:id="423" w:name="_Toc423348294"/>
      <w:bookmarkStart w:id="424" w:name="_Toc442280541"/>
      <w:r w:rsidRPr="00E24E18">
        <w:t>Se li ki ban nou endepandans, men nou di l mèsi</w:t>
      </w:r>
      <w:bookmarkEnd w:id="421"/>
      <w:bookmarkEnd w:id="422"/>
      <w:bookmarkEnd w:id="423"/>
      <w:bookmarkEnd w:id="424"/>
    </w:p>
    <w:p w:rsidR="004C50DC" w:rsidRPr="00E24E18" w:rsidRDefault="004C50DC" w:rsidP="004C50DC">
      <w:pPr>
        <w:pStyle w:val="parolesi"/>
      </w:pPr>
      <w:bookmarkStart w:id="425" w:name="_Toc421022310"/>
      <w:bookmarkStart w:id="426" w:name="_Toc423347362"/>
      <w:bookmarkStart w:id="427" w:name="_Toc423348295"/>
      <w:bookmarkStart w:id="428" w:name="_Toc442280542"/>
      <w:r w:rsidRPr="00E24E18">
        <w:t>Ak yon konplo Pont rouge.</w:t>
      </w:r>
      <w:bookmarkEnd w:id="425"/>
      <w:bookmarkEnd w:id="426"/>
      <w:bookmarkEnd w:id="427"/>
      <w:bookmarkEnd w:id="428"/>
    </w:p>
    <w:p w:rsidR="004C50DC" w:rsidRPr="00E24E18" w:rsidRDefault="004C50DC" w:rsidP="004C50DC">
      <w:pPr>
        <w:pStyle w:val="parolesi"/>
      </w:pPr>
      <w:bookmarkStart w:id="429" w:name="_Toc421022311"/>
      <w:bookmarkStart w:id="430" w:name="_Toc423347363"/>
      <w:bookmarkStart w:id="431" w:name="_Toc423348296"/>
      <w:bookmarkStart w:id="432" w:name="_Toc442280543"/>
      <w:r w:rsidRPr="00E24E18">
        <w:t>Li te la lè nou te bezwen l.</w:t>
      </w:r>
      <w:bookmarkEnd w:id="429"/>
      <w:bookmarkEnd w:id="430"/>
      <w:bookmarkEnd w:id="431"/>
      <w:bookmarkEnd w:id="432"/>
    </w:p>
    <w:p w:rsidR="004C50DC" w:rsidRPr="00E24E18" w:rsidRDefault="004C50DC" w:rsidP="004C50DC">
      <w:pPr>
        <w:pStyle w:val="parolesi"/>
      </w:pPr>
      <w:bookmarkStart w:id="433" w:name="_Toc421022312"/>
      <w:bookmarkStart w:id="434" w:name="_Toc423347364"/>
      <w:bookmarkStart w:id="435" w:name="_Toc423348297"/>
      <w:bookmarkStart w:id="436" w:name="_Toc442280544"/>
      <w:r w:rsidRPr="00E24E18">
        <w:t>Li ba nou kouraj lè nou pèdi fòs</w:t>
      </w:r>
      <w:bookmarkEnd w:id="433"/>
      <w:bookmarkEnd w:id="434"/>
      <w:bookmarkEnd w:id="435"/>
      <w:bookmarkEnd w:id="436"/>
    </w:p>
    <w:p w:rsidR="004C50DC" w:rsidRDefault="004C50DC" w:rsidP="004C50DC">
      <w:pPr>
        <w:pStyle w:val="parolesi"/>
      </w:pPr>
      <w:r w:rsidRPr="00E24E18">
        <w:t>Desalin o, papa Desalin o, wap toujou rete mon jeneral...</w:t>
      </w:r>
    </w:p>
    <w:p w:rsidR="004C50DC" w:rsidRPr="00E24E18" w:rsidRDefault="004C50DC" w:rsidP="004C50DC">
      <w:pPr>
        <w:jc w:val="center"/>
        <w:rPr>
          <w:i/>
          <w:szCs w:val="22"/>
        </w:rPr>
      </w:pPr>
    </w:p>
    <w:p w:rsidR="004C50DC" w:rsidRPr="00E24E18" w:rsidRDefault="004C50DC" w:rsidP="004C50DC">
      <w:pPr>
        <w:pStyle w:val="parolesib"/>
      </w:pPr>
      <w:r w:rsidRPr="00E24E18">
        <w:t>RAM, Carnaval 2008</w:t>
      </w:r>
    </w:p>
    <w:p w:rsidR="004C50DC" w:rsidRPr="00E24E18" w:rsidRDefault="004C50DC" w:rsidP="004C50DC">
      <w:pPr>
        <w:pStyle w:val="parolesib"/>
      </w:pPr>
      <w:r w:rsidRPr="00E24E18">
        <w:t>[</w:t>
      </w:r>
      <w:r w:rsidRPr="00E24E18">
        <w:rPr>
          <w:u w:val="single"/>
        </w:rPr>
        <w:t>Défilé</w:t>
      </w:r>
    </w:p>
    <w:p w:rsidR="004C50DC" w:rsidRPr="00E24E18" w:rsidRDefault="004C50DC" w:rsidP="004C50DC">
      <w:pPr>
        <w:pStyle w:val="paroles"/>
      </w:pPr>
      <w:r w:rsidRPr="00E24E18">
        <w:t>Nous commémorons la mort de Dessalines,</w:t>
      </w:r>
    </w:p>
    <w:p w:rsidR="004C50DC" w:rsidRPr="00E24E18" w:rsidRDefault="004C50DC" w:rsidP="004C50DC">
      <w:pPr>
        <w:pStyle w:val="paroles"/>
      </w:pPr>
      <w:r w:rsidRPr="00E24E18">
        <w:t>Mais nous ne commémorons pas sa vie.</w:t>
      </w:r>
    </w:p>
    <w:p w:rsidR="004C50DC" w:rsidRPr="00E24E18" w:rsidRDefault="004C50DC" w:rsidP="004C50DC">
      <w:pPr>
        <w:pStyle w:val="paroles"/>
      </w:pPr>
      <w:r w:rsidRPr="00E24E18">
        <w:t>Il était l’artisan principal de notre Indépendance,</w:t>
      </w:r>
    </w:p>
    <w:p w:rsidR="004C50DC" w:rsidRPr="00E24E18" w:rsidRDefault="004C50DC" w:rsidP="004C50DC">
      <w:pPr>
        <w:pStyle w:val="paroles"/>
      </w:pPr>
      <w:r w:rsidRPr="00E24E18">
        <w:t>Mais nous ne l’avons remercié que par un complot au Pont Rouge.</w:t>
      </w:r>
    </w:p>
    <w:p w:rsidR="004C50DC" w:rsidRPr="00E24E18" w:rsidRDefault="004C50DC" w:rsidP="004C50DC">
      <w:pPr>
        <w:pStyle w:val="paroles"/>
      </w:pPr>
      <w:r w:rsidRPr="00E24E18">
        <w:t>Il était toujours là pour nous galvaniser</w:t>
      </w:r>
    </w:p>
    <w:p w:rsidR="004C50DC" w:rsidRPr="00E24E18" w:rsidRDefault="004C50DC" w:rsidP="004C50DC">
      <w:pPr>
        <w:pStyle w:val="paroles"/>
      </w:pPr>
      <w:r w:rsidRPr="00E24E18">
        <w:t>Dans les moments les plus difficiles,</w:t>
      </w:r>
    </w:p>
    <w:p w:rsidR="004C50DC" w:rsidRPr="00E24E18" w:rsidRDefault="004C50DC" w:rsidP="004C50DC">
      <w:pPr>
        <w:pStyle w:val="paroles"/>
      </w:pPr>
      <w:r w:rsidRPr="00E24E18">
        <w:t>Et quand nous nous laissions gagner par le découragement.</w:t>
      </w:r>
    </w:p>
    <w:p w:rsidR="004C50DC" w:rsidRPr="00E24E18" w:rsidRDefault="004C50DC" w:rsidP="004C50DC">
      <w:pPr>
        <w:pStyle w:val="paroles"/>
      </w:pPr>
      <w:r w:rsidRPr="00E24E18">
        <w:t>Dessalines, ô papa Dessalines,</w:t>
      </w:r>
    </w:p>
    <w:p w:rsidR="004C50DC" w:rsidRPr="00E24E18" w:rsidRDefault="004C50DC" w:rsidP="004C50DC">
      <w:pPr>
        <w:pStyle w:val="paroles"/>
      </w:pPr>
      <w:r w:rsidRPr="00E24E18">
        <w:t>Tu resteras toujours mon général.]</w:t>
      </w:r>
    </w:p>
    <w:p w:rsidR="004C50DC" w:rsidRPr="00E8358C" w:rsidRDefault="004C50DC" w:rsidP="004C50DC">
      <w:pPr>
        <w:spacing w:before="120" w:after="120"/>
        <w:jc w:val="both"/>
      </w:pPr>
    </w:p>
    <w:p w:rsidR="004C50DC" w:rsidRDefault="004C50DC" w:rsidP="004C50DC">
      <w:pPr>
        <w:spacing w:before="120" w:after="120"/>
        <w:jc w:val="both"/>
      </w:pPr>
      <w:r w:rsidRPr="00E8358C">
        <w:t>Le groupe « REV » ne laisse jamais passer l’occasion d’enseigner aux carnavaliers l’histoire nationale d’Haïti. Cette façon de se souv</w:t>
      </w:r>
      <w:r w:rsidRPr="00E8358C">
        <w:t>e</w:t>
      </w:r>
      <w:r w:rsidRPr="00E8358C">
        <w:t>nir, au rythme entraînant de la voix engagée du chanteur (</w:t>
      </w:r>
      <w:r w:rsidRPr="00E8358C">
        <w:rPr>
          <w:i/>
        </w:rPr>
        <w:t>Ti pay</w:t>
      </w:r>
      <w:r w:rsidRPr="00E8358C">
        <w:t>), de son vrai nom Jean Raynald Bruno, permet de toucher un maximum de gens. Les refrains sont sur toutes les lèvres durant les périodes carn</w:t>
      </w:r>
      <w:r w:rsidRPr="00E8358C">
        <w:t>a</w:t>
      </w:r>
      <w:r w:rsidRPr="00E8358C">
        <w:t>valesques. Par exemple, lors du carnaval de 2001, le groupe nous avait présenté « </w:t>
      </w:r>
      <w:r w:rsidRPr="00E8358C">
        <w:rPr>
          <w:i/>
        </w:rPr>
        <w:t>Tan an chanje </w:t>
      </w:r>
      <w:r w:rsidRPr="00E8358C">
        <w:t>» (Le temps a changé) ; dans son introdu</w:t>
      </w:r>
      <w:r w:rsidRPr="00E8358C">
        <w:t>c</w:t>
      </w:r>
      <w:r w:rsidRPr="00E8358C">
        <w:t>tion, il résume l’histoire de la Traite et de l’esclavage des Noirs co</w:t>
      </w:r>
      <w:r w:rsidRPr="00E8358C">
        <w:t>m</w:t>
      </w:r>
      <w:r w:rsidRPr="00E8358C">
        <w:t>me étant la raison première de la présence des Haïtiens sur le sol de la colonie de Saint-Domingue jusqu’à l’indépendance. Haïti est repr</w:t>
      </w:r>
      <w:r w:rsidRPr="00E8358C">
        <w:t>é</w:t>
      </w:r>
      <w:r w:rsidRPr="00E8358C">
        <w:t>sentée comme le porte-étendard de l’abolition de l’esclavage. « Rèv » dénonce aussi les puissances occidentales, particulièrement les États-Unis qui veulent maintenir Haïti dans une dépendance permanente. Les humiliations, la discrimination et les répressions contre le peuple haïtien sont décrites comme les conséquences de sa révolution antie</w:t>
      </w:r>
      <w:r w:rsidRPr="00E8358C">
        <w:t>s</w:t>
      </w:r>
      <w:r w:rsidRPr="00E8358C">
        <w:t xml:space="preserve">clavagiste, antiraciste blanc. Ce groupe reprochait aux États-Unis leur politique de déstabilisation d’Haïti, alors que ce pays les avait aidés à trouver le chemin de la liberté. L’union et le « vivre ensemble » sont les voies proposées par ce groupe </w:t>
      </w:r>
      <w:r w:rsidRPr="00E8358C">
        <w:rPr>
          <w:i/>
        </w:rPr>
        <w:t>rasin</w:t>
      </w:r>
      <w:r w:rsidRPr="00E8358C">
        <w:t xml:space="preserve"> pour vaincre les adversaires d’Haïti.</w:t>
      </w:r>
    </w:p>
    <w:p w:rsidR="004C50DC" w:rsidRDefault="004C50DC" w:rsidP="004C50DC">
      <w:pPr>
        <w:spacing w:before="120" w:after="120"/>
        <w:jc w:val="both"/>
      </w:pPr>
      <w:r>
        <w:t>[332]</w:t>
      </w:r>
    </w:p>
    <w:p w:rsidR="004C50DC" w:rsidRPr="00E8358C" w:rsidRDefault="004C50DC" w:rsidP="004C50DC">
      <w:pPr>
        <w:spacing w:before="120" w:after="120"/>
        <w:jc w:val="both"/>
      </w:pPr>
    </w:p>
    <w:p w:rsidR="004C50DC" w:rsidRPr="00E24E18" w:rsidRDefault="004C50DC" w:rsidP="004C50DC">
      <w:pPr>
        <w:pStyle w:val="parolesib"/>
      </w:pPr>
      <w:r w:rsidRPr="00E24E18">
        <w:t>Tan an chanje</w:t>
      </w:r>
    </w:p>
    <w:p w:rsidR="004C50DC" w:rsidRPr="00E24E18" w:rsidRDefault="004C50DC" w:rsidP="004C50DC">
      <w:pPr>
        <w:pStyle w:val="parolesi"/>
      </w:pPr>
      <w:r w:rsidRPr="00E24E18">
        <w:t>Sa se listwa yon ti peyi</w:t>
      </w:r>
    </w:p>
    <w:p w:rsidR="004C50DC" w:rsidRPr="00E24E18" w:rsidRDefault="004C50DC" w:rsidP="004C50DC">
      <w:pPr>
        <w:pStyle w:val="parolesi"/>
      </w:pPr>
      <w:r w:rsidRPr="00E24E18">
        <w:t>Yo rele la Perle des Antilles</w:t>
      </w:r>
    </w:p>
    <w:p w:rsidR="004C50DC" w:rsidRPr="00E24E18" w:rsidRDefault="004C50DC" w:rsidP="004C50DC">
      <w:pPr>
        <w:pStyle w:val="parolesi"/>
      </w:pPr>
      <w:r w:rsidRPr="00E24E18">
        <w:t>Gran paran n te vin isit</w:t>
      </w:r>
    </w:p>
    <w:p w:rsidR="004C50DC" w:rsidRPr="00E24E18" w:rsidRDefault="004C50DC" w:rsidP="004C50DC">
      <w:pPr>
        <w:pStyle w:val="parolesi"/>
      </w:pPr>
      <w:r w:rsidRPr="00E24E18">
        <w:t>Yo te vin travay di pou yo pati.</w:t>
      </w:r>
    </w:p>
    <w:p w:rsidR="004C50DC" w:rsidRPr="00E24E18" w:rsidRDefault="004C50DC" w:rsidP="004C50DC">
      <w:pPr>
        <w:pStyle w:val="parolesi"/>
      </w:pPr>
      <w:r w:rsidRPr="00E24E18">
        <w:t>Aprè anpil peripesi</w:t>
      </w:r>
    </w:p>
    <w:p w:rsidR="004C50DC" w:rsidRPr="00E24E18" w:rsidRDefault="004C50DC" w:rsidP="004C50DC">
      <w:pPr>
        <w:pStyle w:val="parolesi"/>
      </w:pPr>
      <w:r w:rsidRPr="00E24E18">
        <w:t>Nou mouri tankou grenn lapli.</w:t>
      </w:r>
    </w:p>
    <w:p w:rsidR="004C50DC" w:rsidRPr="00E24E18" w:rsidRDefault="004C50DC" w:rsidP="004C50DC">
      <w:pPr>
        <w:pStyle w:val="parolesi"/>
      </w:pPr>
      <w:r w:rsidRPr="00E24E18">
        <w:t>Abraham vin di « c’est assez »</w:t>
      </w:r>
    </w:p>
    <w:p w:rsidR="004C50DC" w:rsidRPr="00E24E18" w:rsidRDefault="004C50DC" w:rsidP="004C50DC">
      <w:pPr>
        <w:pStyle w:val="parolesi"/>
      </w:pPr>
      <w:r w:rsidRPr="00E24E18">
        <w:t>Nou vin premye pèp nwa ki endepandan.</w:t>
      </w:r>
    </w:p>
    <w:p w:rsidR="004C50DC" w:rsidRPr="00E24E18" w:rsidRDefault="004C50DC" w:rsidP="004C50DC">
      <w:pPr>
        <w:pStyle w:val="parolesi"/>
      </w:pPr>
      <w:r w:rsidRPr="00E24E18">
        <w:t>Abolisyon de lesklavaj</w:t>
      </w:r>
    </w:p>
    <w:p w:rsidR="004C50DC" w:rsidRPr="00E24E18" w:rsidRDefault="004C50DC" w:rsidP="004C50DC">
      <w:pPr>
        <w:pStyle w:val="parolesi"/>
      </w:pPr>
      <w:r w:rsidRPr="00E24E18">
        <w:t>Te koumanse pa bò lakay.</w:t>
      </w:r>
    </w:p>
    <w:p w:rsidR="004C50DC" w:rsidRPr="00E24E18" w:rsidRDefault="004C50DC" w:rsidP="004C50DC">
      <w:pPr>
        <w:pStyle w:val="parolesi"/>
      </w:pPr>
      <w:r w:rsidRPr="00E24E18">
        <w:t>Malgré nou te vin endepandan</w:t>
      </w:r>
    </w:p>
    <w:p w:rsidR="004C50DC" w:rsidRPr="00E24E18" w:rsidRDefault="004C50DC" w:rsidP="004C50DC">
      <w:pPr>
        <w:pStyle w:val="parolesi"/>
      </w:pPr>
      <w:r w:rsidRPr="00E24E18">
        <w:t>Yo toujou vle mete n sou depandans.</w:t>
      </w:r>
    </w:p>
    <w:p w:rsidR="004C50DC" w:rsidRPr="00E24E18" w:rsidRDefault="004C50DC" w:rsidP="004C50DC">
      <w:pPr>
        <w:pStyle w:val="parolesi"/>
      </w:pPr>
      <w:r w:rsidRPr="00E24E18">
        <w:t>Twò lontan n anba diskriminasyon, imilyasyon ak represyon.</w:t>
      </w:r>
    </w:p>
    <w:p w:rsidR="004C50DC" w:rsidRPr="00E24E18" w:rsidRDefault="004C50DC" w:rsidP="004C50DC">
      <w:pPr>
        <w:pStyle w:val="parolesi"/>
      </w:pPr>
      <w:r w:rsidRPr="00E24E18">
        <w:t>Sa sanble se yon kondanasyon</w:t>
      </w:r>
    </w:p>
    <w:p w:rsidR="004C50DC" w:rsidRPr="00E24E18" w:rsidRDefault="004C50DC" w:rsidP="004C50DC">
      <w:pPr>
        <w:pStyle w:val="parolesi"/>
      </w:pPr>
      <w:r w:rsidRPr="00E24E18">
        <w:t>Li lè, li tan pou n jwenn yon solisyon…</w:t>
      </w:r>
    </w:p>
    <w:p w:rsidR="004C50DC" w:rsidRPr="00E24E18" w:rsidRDefault="004C50DC" w:rsidP="004C50DC">
      <w:pPr>
        <w:pStyle w:val="parolesi"/>
      </w:pPr>
      <w:r w:rsidRPr="00E24E18">
        <w:t>Yo gen lè bliye se nou ki te konn bay yo le bra</w:t>
      </w:r>
    </w:p>
    <w:p w:rsidR="004C50DC" w:rsidRDefault="004C50DC" w:rsidP="004C50DC">
      <w:pPr>
        <w:pStyle w:val="parolesi"/>
      </w:pPr>
      <w:r w:rsidRPr="00E24E18">
        <w:t>Pou n montre yo chimen libète…</w:t>
      </w:r>
    </w:p>
    <w:p w:rsidR="004C50DC" w:rsidRPr="00E24E18" w:rsidRDefault="004C50DC" w:rsidP="004C50DC">
      <w:pPr>
        <w:jc w:val="center"/>
        <w:rPr>
          <w:i/>
        </w:rPr>
      </w:pPr>
    </w:p>
    <w:p w:rsidR="004C50DC" w:rsidRPr="00E24E18" w:rsidRDefault="004C50DC" w:rsidP="004C50DC">
      <w:pPr>
        <w:pStyle w:val="parolesib"/>
      </w:pPr>
      <w:r w:rsidRPr="00E24E18">
        <w:t>Rèv, Carnaval 2001</w:t>
      </w:r>
    </w:p>
    <w:p w:rsidR="004C50DC" w:rsidRPr="00E24E18" w:rsidRDefault="004C50DC" w:rsidP="004C50DC">
      <w:pPr>
        <w:pStyle w:val="parolesib"/>
        <w:rPr>
          <w:u w:val="single"/>
        </w:rPr>
      </w:pPr>
      <w:r w:rsidRPr="00E24E18">
        <w:t>[</w:t>
      </w:r>
      <w:r w:rsidRPr="00E24E18">
        <w:rPr>
          <w:u w:val="single"/>
        </w:rPr>
        <w:t>Le temps a changé</w:t>
      </w:r>
    </w:p>
    <w:p w:rsidR="004C50DC" w:rsidRPr="00E24E18" w:rsidRDefault="004C50DC" w:rsidP="004C50DC">
      <w:pPr>
        <w:pStyle w:val="paroles"/>
      </w:pPr>
      <w:r w:rsidRPr="00E24E18">
        <w:t>C’est l’histoire d’un petit pays</w:t>
      </w:r>
    </w:p>
    <w:p w:rsidR="004C50DC" w:rsidRPr="00E24E18" w:rsidRDefault="004C50DC" w:rsidP="004C50DC">
      <w:pPr>
        <w:pStyle w:val="paroles"/>
      </w:pPr>
      <w:r w:rsidRPr="00E24E18">
        <w:t>Qu’on appelle la Perle des Antilles.</w:t>
      </w:r>
    </w:p>
    <w:p w:rsidR="004C50DC" w:rsidRPr="00E24E18" w:rsidRDefault="004C50DC" w:rsidP="004C50DC">
      <w:pPr>
        <w:pStyle w:val="paroles"/>
      </w:pPr>
      <w:r w:rsidRPr="00E24E18">
        <w:t>Nos grands-parents ont été déportés</w:t>
      </w:r>
    </w:p>
    <w:p w:rsidR="004C50DC" w:rsidRPr="00E24E18" w:rsidRDefault="004C50DC" w:rsidP="004C50DC">
      <w:pPr>
        <w:pStyle w:val="paroles"/>
      </w:pPr>
      <w:r w:rsidRPr="00E24E18">
        <w:t>Dans la colonie pour y travailler très dur jusqu’à leur mort.</w:t>
      </w:r>
    </w:p>
    <w:p w:rsidR="004C50DC" w:rsidRPr="00E24E18" w:rsidRDefault="004C50DC" w:rsidP="004C50DC">
      <w:pPr>
        <w:pStyle w:val="paroles"/>
      </w:pPr>
      <w:r w:rsidRPr="00E24E18">
        <w:t>Après de nombreuses atrocités subies</w:t>
      </w:r>
    </w:p>
    <w:p w:rsidR="004C50DC" w:rsidRPr="00E24E18" w:rsidRDefault="004C50DC" w:rsidP="004C50DC">
      <w:pPr>
        <w:pStyle w:val="paroles"/>
      </w:pPr>
      <w:r w:rsidRPr="00E24E18">
        <w:t>Plusieurs sont morts.</w:t>
      </w:r>
    </w:p>
    <w:p w:rsidR="004C50DC" w:rsidRPr="00E24E18" w:rsidRDefault="004C50DC" w:rsidP="004C50DC">
      <w:pPr>
        <w:pStyle w:val="paroles"/>
      </w:pPr>
      <w:r w:rsidRPr="00E24E18">
        <w:t>Abraham a dit : c’est assez !</w:t>
      </w:r>
    </w:p>
    <w:p w:rsidR="004C50DC" w:rsidRPr="00E24E18" w:rsidRDefault="004C50DC" w:rsidP="004C50DC">
      <w:pPr>
        <w:pStyle w:val="paroles"/>
      </w:pPr>
      <w:r w:rsidRPr="00E24E18">
        <w:t>Nous sommes devenus le premier peuple noir indépendant.</w:t>
      </w:r>
    </w:p>
    <w:p w:rsidR="004C50DC" w:rsidRPr="00E24E18" w:rsidRDefault="004C50DC" w:rsidP="004C50DC">
      <w:pPr>
        <w:pStyle w:val="paroles"/>
      </w:pPr>
      <w:r w:rsidRPr="00E24E18">
        <w:t>L’abolition de l’esclavage a commencé en Haïti.</w:t>
      </w:r>
    </w:p>
    <w:p w:rsidR="004C50DC" w:rsidRPr="00E24E18" w:rsidRDefault="004C50DC" w:rsidP="004C50DC">
      <w:pPr>
        <w:pStyle w:val="paroles"/>
      </w:pPr>
      <w:r w:rsidRPr="00E24E18">
        <w:t>Bien que nous soyons indépendants</w:t>
      </w:r>
    </w:p>
    <w:p w:rsidR="004C50DC" w:rsidRPr="00E24E18" w:rsidRDefault="004C50DC" w:rsidP="004C50DC">
      <w:pPr>
        <w:pStyle w:val="paroles"/>
      </w:pPr>
      <w:r w:rsidRPr="00E24E18">
        <w:t>Ils veulent nous maintenir sous leur dépendance.</w:t>
      </w:r>
    </w:p>
    <w:p w:rsidR="004C50DC" w:rsidRPr="00E24E18" w:rsidRDefault="004C50DC" w:rsidP="004C50DC">
      <w:pPr>
        <w:pStyle w:val="paroles"/>
      </w:pPr>
      <w:r w:rsidRPr="00E24E18">
        <w:t>La discrimination, l’humiliation et la répression existent encore.</w:t>
      </w:r>
    </w:p>
    <w:p w:rsidR="004C50DC" w:rsidRPr="00E24E18" w:rsidRDefault="004C50DC" w:rsidP="004C50DC">
      <w:pPr>
        <w:pStyle w:val="paroles"/>
      </w:pPr>
      <w:r w:rsidRPr="00E24E18">
        <w:t>C’est une condamnation. Il est temps de trouver la solution…</w:t>
      </w:r>
    </w:p>
    <w:p w:rsidR="004C50DC" w:rsidRPr="00E24E18" w:rsidRDefault="004C50DC" w:rsidP="004C50DC">
      <w:pPr>
        <w:pStyle w:val="paroles"/>
      </w:pPr>
      <w:r w:rsidRPr="00E24E18">
        <w:t>Ils oublient que nous leur avons montré le chemin de la liberté…]</w:t>
      </w:r>
    </w:p>
    <w:p w:rsidR="004C50DC" w:rsidRDefault="004C50DC" w:rsidP="004C50DC">
      <w:pPr>
        <w:spacing w:before="120" w:after="120"/>
        <w:jc w:val="both"/>
      </w:pPr>
    </w:p>
    <w:p w:rsidR="004C50DC" w:rsidRDefault="004C50DC" w:rsidP="004C50DC">
      <w:pPr>
        <w:spacing w:before="120" w:after="120"/>
        <w:jc w:val="both"/>
      </w:pPr>
      <w:r w:rsidRPr="00E8358C">
        <w:t>Le carnaval est toujours considéré comme le principal tribunal p</w:t>
      </w:r>
      <w:r w:rsidRPr="00E8358C">
        <w:t>o</w:t>
      </w:r>
      <w:r w:rsidRPr="00E8358C">
        <w:t>pulaire haïtien, car le peuple profite de cette occasion pour présenter ses griefs. Cette manière de faire propre aux Haïtiens s’explique pa</w:t>
      </w:r>
      <w:r w:rsidRPr="00E8358C">
        <w:t>r</w:t>
      </w:r>
      <w:r w:rsidRPr="00E8358C">
        <w:t>leur volonté de vivre avec les maux et en même temps de garder le sourire et l’esprit de la fête. Dans cette perspective, Kercy, l’animateur culturel qui avait accepté de répondre à nos questions à</w:t>
      </w:r>
      <w:r>
        <w:t xml:space="preserve"> Marchand-Dessalines, déclare :</w:t>
      </w:r>
    </w:p>
    <w:p w:rsidR="004C50DC" w:rsidRPr="00E8358C" w:rsidRDefault="004C50DC" w:rsidP="004C50DC">
      <w:pPr>
        <w:pStyle w:val="Citation0"/>
      </w:pPr>
    </w:p>
    <w:p w:rsidR="004C50DC" w:rsidRPr="00E8358C" w:rsidRDefault="004C50DC" w:rsidP="004C50DC">
      <w:pPr>
        <w:pStyle w:val="Citation0"/>
      </w:pPr>
      <w:r w:rsidRPr="00E8358C">
        <w:t>… un tribunal populaire sollicité annuellement pour présenter les cahiers de revendication, mettre en examen les dirigeants politiques haïtiens et dénoncer les problèmes sociaux les plus récurrents. C’est un moment de grand débat populaire. Les</w:t>
      </w:r>
      <w:r>
        <w:t xml:space="preserve"> [333]</w:t>
      </w:r>
      <w:r w:rsidRPr="00E8358C">
        <w:t xml:space="preserve"> groupes à tendance racine (musique e</w:t>
      </w:r>
      <w:r w:rsidRPr="00E8358C">
        <w:t>n</w:t>
      </w:r>
      <w:r w:rsidRPr="00E8358C">
        <w:t>gagée) portent généralement les sujets de la vie nationale dans le carnaval. On voit toujours que des groupes font référence à l’esclavage pour déno</w:t>
      </w:r>
      <w:r w:rsidRPr="00E8358C">
        <w:t>n</w:t>
      </w:r>
      <w:r w:rsidRPr="00E8358C">
        <w:t>cer la corruption, l’exploitation des o</w:t>
      </w:r>
      <w:r w:rsidRPr="00E8358C">
        <w:t>u</w:t>
      </w:r>
      <w:r w:rsidRPr="00E8358C">
        <w:t xml:space="preserve">vriers… ou revendiquer le respect d’Haïti pour son passé historique. </w:t>
      </w:r>
    </w:p>
    <w:p w:rsidR="004C50DC" w:rsidRPr="00E8358C" w:rsidRDefault="004C50DC" w:rsidP="004C50DC">
      <w:pPr>
        <w:pStyle w:val="Citation0c"/>
      </w:pPr>
      <w:r w:rsidRPr="00E8358C">
        <w:t>(Kercy, entrevue, 8 septembre 2013)</w:t>
      </w:r>
    </w:p>
    <w:p w:rsidR="004C50DC" w:rsidRDefault="004C50DC" w:rsidP="004C50DC">
      <w:pPr>
        <w:pStyle w:val="Citation0"/>
      </w:pPr>
    </w:p>
    <w:p w:rsidR="004C50DC" w:rsidRPr="00E8358C" w:rsidRDefault="004C50DC" w:rsidP="004C50DC">
      <w:pPr>
        <w:spacing w:before="120" w:after="120"/>
        <w:jc w:val="both"/>
      </w:pPr>
      <w:r w:rsidRPr="00E8358C">
        <w:t>Les déguisements rappellent la période coloniale esclavagiste et les origines amérindiennes et africaines du peuple haïtien. La photo su</w:t>
      </w:r>
      <w:r w:rsidRPr="00E8358C">
        <w:t>i</w:t>
      </w:r>
      <w:r w:rsidRPr="00E8358C">
        <w:t>vante montre la monstruosité de la traversée lors de la Traite des Noirs. Même les enfants n’étaient pas épargnés. Ils se trouvaient aussi dans les cales des navires. Cette photo (Figure 43) d’enfants enchaînés par le cou peut nous permettre de vivre dans l’enfer du système col</w:t>
      </w:r>
      <w:r w:rsidRPr="00E8358C">
        <w:t>o</w:t>
      </w:r>
      <w:r w:rsidRPr="00E8358C">
        <w:t xml:space="preserve">nial esclavagiste. </w:t>
      </w:r>
    </w:p>
    <w:bookmarkEnd w:id="387"/>
    <w:p w:rsidR="004C50DC" w:rsidRPr="00E8358C" w:rsidRDefault="004C50DC" w:rsidP="004C50DC">
      <w:pPr>
        <w:spacing w:before="120" w:after="120"/>
        <w:jc w:val="both"/>
        <w:rPr>
          <w:b/>
          <w:i/>
        </w:rPr>
      </w:pPr>
    </w:p>
    <w:p w:rsidR="004C50DC" w:rsidRPr="00E8358C" w:rsidRDefault="009B614B" w:rsidP="004C50DC">
      <w:pPr>
        <w:pStyle w:val="fig"/>
      </w:pPr>
      <w:r w:rsidRPr="00E8358C">
        <w:rPr>
          <w:noProof/>
          <w:lang w:eastAsia="fr-FR"/>
        </w:rPr>
        <w:drawing>
          <wp:inline distT="0" distB="0" distL="0" distR="0">
            <wp:extent cx="3335020" cy="2399030"/>
            <wp:effectExtent l="25400" t="25400" r="17780" b="13970"/>
            <wp:docPr id="51" name="Image 3" descr="1948146_220950118107099_1364651381_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1948146_220950118107099_1364651381_n"/>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5020" cy="239903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437" w:name="_Toc417146085"/>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pStyle w:val="figst1"/>
        <w:rPr>
          <w:szCs w:val="18"/>
        </w:rPr>
      </w:pPr>
      <w:bookmarkStart w:id="438" w:name="Memoire_fig_43"/>
      <w:r w:rsidRPr="00E24E18">
        <w:t xml:space="preserve">Figure </w:t>
      </w:r>
      <w:r w:rsidRPr="00E24E18">
        <w:fldChar w:fldCharType="begin"/>
      </w:r>
      <w:r w:rsidR="00EF1554">
        <w:instrText>SEQ</w:instrText>
      </w:r>
      <w:r w:rsidRPr="00E24E18">
        <w:instrText xml:space="preserve"> Figure \* ARABIC </w:instrText>
      </w:r>
      <w:r w:rsidRPr="00E24E18">
        <w:fldChar w:fldCharType="separate"/>
      </w:r>
      <w:r>
        <w:rPr>
          <w:noProof/>
        </w:rPr>
        <w:t>43</w:t>
      </w:r>
      <w:r w:rsidRPr="00E24E18">
        <w:fldChar w:fldCharType="end"/>
      </w:r>
      <w:r w:rsidRPr="00E24E18">
        <w:t>.Enfants déguisés en esclaves au défilé carnavalesque 2014 de Ja</w:t>
      </w:r>
      <w:r w:rsidRPr="00E24E18">
        <w:t>c</w:t>
      </w:r>
      <w:r w:rsidRPr="00E24E18">
        <w:t>mel.</w:t>
      </w:r>
      <w:bookmarkEnd w:id="437"/>
      <w:r>
        <w:t xml:space="preserve"> </w:t>
      </w:r>
      <w:r w:rsidRPr="00E8358C">
        <w:rPr>
          <w:szCs w:val="18"/>
        </w:rPr>
        <w:t>Photographie Gasner François.</w:t>
      </w:r>
    </w:p>
    <w:bookmarkEnd w:id="438"/>
    <w:p w:rsidR="004C50DC" w:rsidRPr="00E8358C" w:rsidRDefault="004C50DC" w:rsidP="004C50DC">
      <w:pPr>
        <w:spacing w:before="120" w:after="120"/>
        <w:jc w:val="both"/>
        <w:rPr>
          <w:szCs w:val="18"/>
        </w:rPr>
      </w:pPr>
      <w:r>
        <w:rPr>
          <w:szCs w:val="18"/>
        </w:rPr>
        <w:br w:type="page"/>
      </w:r>
    </w:p>
    <w:p w:rsidR="004C50DC" w:rsidRPr="00E24E18" w:rsidRDefault="004C50DC" w:rsidP="004C50DC">
      <w:pPr>
        <w:pStyle w:val="b"/>
      </w:pPr>
      <w:bookmarkStart w:id="439" w:name="_Toc442280545"/>
      <w:r w:rsidRPr="00E24E18">
        <w:t>Rara</w:t>
      </w:r>
      <w:bookmarkEnd w:id="439"/>
    </w:p>
    <w:p w:rsidR="004C50DC" w:rsidRDefault="004C50DC" w:rsidP="004C50DC">
      <w:pPr>
        <w:spacing w:before="120" w:after="120"/>
        <w:jc w:val="both"/>
      </w:pPr>
    </w:p>
    <w:p w:rsidR="004C50DC" w:rsidRPr="00E8358C" w:rsidRDefault="004C50DC" w:rsidP="004C50DC">
      <w:pPr>
        <w:spacing w:before="120" w:after="120"/>
        <w:jc w:val="both"/>
      </w:pPr>
      <w:r w:rsidRPr="00E8358C">
        <w:t xml:space="preserve">Le </w:t>
      </w:r>
      <w:r w:rsidRPr="00E8358C">
        <w:rPr>
          <w:i/>
        </w:rPr>
        <w:t xml:space="preserve">rara </w:t>
      </w:r>
      <w:r w:rsidRPr="00E8358C">
        <w:t>est à la fois un rythme musical, une fête traditionnelle liée au vodou haïtien</w:t>
      </w:r>
      <w:r>
        <w:t> </w:t>
      </w:r>
      <w:r>
        <w:rPr>
          <w:rStyle w:val="Appelnotedebasdep"/>
        </w:rPr>
        <w:footnoteReference w:id="857"/>
      </w:r>
      <w:r w:rsidRPr="00E8358C">
        <w:t xml:space="preserve">, une période de festivités populaires qui se déroule durant le carême et se termine le dimanche de Pâques. Il fait suite aux festivités carnavalesques urbaines. Étant donné son rapport avec le vodou, le </w:t>
      </w:r>
      <w:r w:rsidRPr="00E8358C">
        <w:rPr>
          <w:i/>
        </w:rPr>
        <w:t>rara</w:t>
      </w:r>
      <w:r w:rsidRPr="00E8358C">
        <w:t xml:space="preserve"> est très critiqué par les chrétiens catholiques et prote</w:t>
      </w:r>
      <w:r w:rsidRPr="00E8358C">
        <w:t>s</w:t>
      </w:r>
      <w:r w:rsidRPr="00E8358C">
        <w:t xml:space="preserve">tants. Pour Louis Lesly Marcelin </w:t>
      </w:r>
      <w:r w:rsidRPr="00E8358C">
        <w:rPr>
          <w:rStyle w:val="apple-converted-space"/>
        </w:rPr>
        <w:t>(</w:t>
      </w:r>
      <w:r w:rsidRPr="00E8358C">
        <w:rPr>
          <w:i/>
          <w:iCs/>
        </w:rPr>
        <w:t>Sanba Zao</w:t>
      </w:r>
      <w:r w:rsidRPr="00E8358C">
        <w:t>), ce comportement s’explique par le fait qu’il existe « trop</w:t>
      </w:r>
      <w:r>
        <w:t xml:space="preserve"> [334]</w:t>
      </w:r>
      <w:r w:rsidRPr="00E8358C">
        <w:t xml:space="preserve"> d’Haïtiens dépaysés, ne cernant pas la réalité culturelle du pays, et des protestants fondame</w:t>
      </w:r>
      <w:r w:rsidRPr="00E8358C">
        <w:t>n</w:t>
      </w:r>
      <w:r w:rsidRPr="00E8358C">
        <w:t>talistes, méprisant la culture de chez nous »</w:t>
      </w:r>
      <w:r>
        <w:t> </w:t>
      </w:r>
      <w:r w:rsidRPr="00E8358C">
        <w:rPr>
          <w:rStyle w:val="Appelnotedebasdep"/>
        </w:rPr>
        <w:footnoteReference w:id="858"/>
      </w:r>
      <w:r w:rsidRPr="00E8358C">
        <w:t xml:space="preserve">. Selon Jean Coulanges, le </w:t>
      </w:r>
      <w:r w:rsidRPr="00E8358C">
        <w:rPr>
          <w:i/>
        </w:rPr>
        <w:t>rara</w:t>
      </w:r>
      <w:r w:rsidRPr="00E8358C">
        <w:t xml:space="preserve"> existait déjà chez les Amérindiens des Antilles (Taïnos, Ar</w:t>
      </w:r>
      <w:r w:rsidRPr="00E8358C">
        <w:t>a</w:t>
      </w:r>
      <w:r w:rsidRPr="00E8358C">
        <w:t>waks) qui habitaient l’île d’Haïti avant l’arrivée des colons espagnols en 1492, pour célébrer l’équinoxe du printemps</w:t>
      </w:r>
      <w:r>
        <w:t> </w:t>
      </w:r>
      <w:r w:rsidRPr="00E8358C">
        <w:rPr>
          <w:rStyle w:val="Appelnotedebasdep"/>
        </w:rPr>
        <w:footnoteReference w:id="859"/>
      </w:r>
      <w:r w:rsidRPr="00E8358C">
        <w:t>. Dans la même ve</w:t>
      </w:r>
      <w:r w:rsidRPr="00E8358C">
        <w:t>i</w:t>
      </w:r>
      <w:r w:rsidRPr="00E8358C">
        <w:t>ne,Norluck Dorange explique que « le rara est une des manifestations culturelles d’Haïti qui traduit l’expression de la survie des traditions des indigènes – communément appelés Indiens – qui peuplaient l’île avant l’arrivée des Noirs d’Afrique amenés par des Européens […]pour célébrer l’arrivée du temps des semailles »</w:t>
      </w:r>
      <w:r>
        <w:t> </w:t>
      </w:r>
      <w:r w:rsidRPr="00E8358C">
        <w:rPr>
          <w:rStyle w:val="Appelnotedebasdep"/>
        </w:rPr>
        <w:footnoteReference w:id="860"/>
      </w:r>
      <w:r w:rsidRPr="00E8358C">
        <w:t xml:space="preserve">. </w:t>
      </w:r>
    </w:p>
    <w:p w:rsidR="004C50DC" w:rsidRDefault="004C50DC" w:rsidP="004C50DC">
      <w:pPr>
        <w:spacing w:before="120" w:after="120"/>
        <w:jc w:val="both"/>
      </w:pPr>
      <w:r w:rsidRPr="00E8358C">
        <w:t xml:space="preserve">La rencontre des marrons (esclaves noirs et derniers indigènes) dans les montagnes et d’autres zones inaccessibles aux colons, comme les grottes naturelles, a facilité la transmission de la pratique du </w:t>
      </w:r>
      <w:r w:rsidRPr="00E8358C">
        <w:rPr>
          <w:i/>
        </w:rPr>
        <w:t>rara</w:t>
      </w:r>
      <w:r w:rsidRPr="00E8358C">
        <w:t xml:space="preserve">. Les esclaves marrons étaient pour la plupart des vodouisants. Ils ont apporté aussi la part de leur culture africaine au </w:t>
      </w:r>
      <w:r w:rsidRPr="00E8358C">
        <w:rPr>
          <w:i/>
        </w:rPr>
        <w:t>rara</w:t>
      </w:r>
      <w:r w:rsidRPr="00E8358C">
        <w:t xml:space="preserve">. C’est dans ce contexte de lutte contre l’esclavage dans la colonie de Saint-Domingue que le </w:t>
      </w:r>
      <w:r w:rsidRPr="00E8358C">
        <w:rPr>
          <w:i/>
        </w:rPr>
        <w:t xml:space="preserve">rara </w:t>
      </w:r>
      <w:r w:rsidRPr="00E8358C">
        <w:t>se serait transmis et développé. D’un autre c</w:t>
      </w:r>
      <w:r w:rsidRPr="00E8358C">
        <w:t>ô</w:t>
      </w:r>
      <w:r w:rsidRPr="00E8358C">
        <w:t>té, Harold Coulander pense que cette pratique culturelle a émergé au cours de la période coloniale esclavagiste avec ses origines africaines Yoruba</w:t>
      </w:r>
      <w:r>
        <w:t> </w:t>
      </w:r>
      <w:r>
        <w:rPr>
          <w:rStyle w:val="Appelnotedebasdep"/>
        </w:rPr>
        <w:footnoteReference w:id="861"/>
      </w:r>
      <w:r w:rsidRPr="00E8358C">
        <w:t xml:space="preserve"> (actuel Nigéria) et européennes (France) faisant référence au printemps durant la période féodale</w:t>
      </w:r>
      <w:r>
        <w:t> </w:t>
      </w:r>
      <w:r>
        <w:rPr>
          <w:rStyle w:val="Appelnotedebasdep"/>
        </w:rPr>
        <w:footnoteReference w:id="862"/>
      </w:r>
      <w:r w:rsidRPr="00E8358C">
        <w:t xml:space="preserve">. Le </w:t>
      </w:r>
      <w:r w:rsidRPr="00E8358C">
        <w:rPr>
          <w:i/>
        </w:rPr>
        <w:t>rara</w:t>
      </w:r>
      <w:r w:rsidRPr="00E8358C">
        <w:t xml:space="preserve"> haïtien serait donc un métissage des cultures amérindiennes, européennes, africaines, avant de devenir une pratique culturelle identitaire de l’Haïtien. C’est ce rapport qu’Yves Blot tente d’expliquer : « dans le rara, quand on parle de </w:t>
      </w:r>
      <w:r w:rsidRPr="00E8358C">
        <w:rPr>
          <w:i/>
          <w:iCs/>
        </w:rPr>
        <w:t xml:space="preserve">chayopye </w:t>
      </w:r>
      <w:r w:rsidRPr="00E8358C">
        <w:t>(fers aux pieds), cela rappelle l’esclavage. L’esclave, qui portait ces charges, ne pouvait pas marcher correct</w:t>
      </w:r>
      <w:r w:rsidRPr="00E8358C">
        <w:t>e</w:t>
      </w:r>
      <w:r w:rsidRPr="00E8358C">
        <w:t>ment, mais traînait du pied »</w:t>
      </w:r>
      <w:r>
        <w:t> </w:t>
      </w:r>
      <w:r w:rsidRPr="00E8358C">
        <w:rPr>
          <w:rStyle w:val="Appelnotedebasdep"/>
        </w:rPr>
        <w:footnoteReference w:id="863"/>
      </w:r>
      <w:r w:rsidRPr="00E8358C">
        <w:t>.</w:t>
      </w:r>
    </w:p>
    <w:p w:rsidR="004C50DC" w:rsidRPr="00E8358C" w:rsidRDefault="004C50DC" w:rsidP="004C50DC">
      <w:pPr>
        <w:spacing w:before="120" w:after="120"/>
        <w:jc w:val="both"/>
      </w:pPr>
      <w:r>
        <w:t>[335]</w:t>
      </w:r>
    </w:p>
    <w:p w:rsidR="004C50DC" w:rsidRPr="00E8358C" w:rsidRDefault="004C50DC" w:rsidP="004C50DC">
      <w:pPr>
        <w:spacing w:before="120" w:after="120"/>
        <w:jc w:val="both"/>
      </w:pPr>
      <w:r w:rsidRPr="00E8358C">
        <w:t xml:space="preserve">Après l’Indépendance d’Haïti, la masse paysanne a perpétué le </w:t>
      </w:r>
      <w:r w:rsidRPr="00E8358C">
        <w:rPr>
          <w:i/>
        </w:rPr>
        <w:t>r</w:t>
      </w:r>
      <w:r w:rsidRPr="00E8358C">
        <w:rPr>
          <w:i/>
        </w:rPr>
        <w:t>a</w:t>
      </w:r>
      <w:r w:rsidRPr="00E8358C">
        <w:rPr>
          <w:i/>
        </w:rPr>
        <w:t>ra</w:t>
      </w:r>
      <w:r w:rsidRPr="00E8358C">
        <w:t>. Aujourd’hui, l’existence de celui-ci est une preuve que cette m</w:t>
      </w:r>
      <w:r w:rsidRPr="00E8358C">
        <w:t>é</w:t>
      </w:r>
      <w:r w:rsidRPr="00E8358C">
        <w:t xml:space="preserve">moire est encore vivante dans les milieux haïtiens, surtout dans le monde rural. Depuis des années, on assiste à la formation de plusieurs groupes de </w:t>
      </w:r>
      <w:r w:rsidRPr="00E8358C">
        <w:rPr>
          <w:i/>
        </w:rPr>
        <w:t xml:space="preserve">rara </w:t>
      </w:r>
      <w:r w:rsidRPr="00E8358C">
        <w:t xml:space="preserve">dans les villes, particulièrement dans les quartiers dits populaires comme Bel-Air à Port-au-Prince. La ville de Léogane est reconnue pour être « la ville du </w:t>
      </w:r>
      <w:r w:rsidRPr="00E8358C">
        <w:rPr>
          <w:i/>
        </w:rPr>
        <w:t>rara </w:t>
      </w:r>
      <w:r w:rsidRPr="00E8358C">
        <w:t xml:space="preserve">» en Haïti. Dans le département de l’Artibonite, des zones comme Béton, L’Estère, Jean Denis, Pont-Sondé ont la réputation de se distinguer par leur traditionnelle fête de </w:t>
      </w:r>
      <w:r w:rsidRPr="00E8358C">
        <w:rPr>
          <w:i/>
        </w:rPr>
        <w:t>rara</w:t>
      </w:r>
      <w:r w:rsidRPr="00E8358C">
        <w:t xml:space="preserve"> avec un mariage de couleurs vives et de motifs « vodou » qui créent une vraie harmonie. Le Sud et la Grande Anse font partie des départements qui le pratiquent également en temps de carême. C’est un véritable marqueur identitaire national haïtien, chaque région y a</w:t>
      </w:r>
      <w:r w:rsidRPr="00E8358C">
        <w:t>p</w:t>
      </w:r>
      <w:r w:rsidRPr="00E8358C">
        <w:t xml:space="preserve">portant sa touche particulière. Le </w:t>
      </w:r>
      <w:r w:rsidRPr="00E8358C">
        <w:rPr>
          <w:i/>
        </w:rPr>
        <w:t>rara</w:t>
      </w:r>
      <w:r w:rsidRPr="00E8358C">
        <w:t xml:space="preserve"> est aussi une excellente source de motivation pour les travailleurs agricoles lors des corvées (escou</w:t>
      </w:r>
      <w:r w:rsidRPr="00E8358C">
        <w:t>a</w:t>
      </w:r>
      <w:r w:rsidRPr="00E8358C">
        <w:t>des, sori, attribution, société, konbit...). Aujourd’hui, il conserve enc</w:t>
      </w:r>
      <w:r w:rsidRPr="00E8358C">
        <w:t>o</w:t>
      </w:r>
      <w:r w:rsidRPr="00E8358C">
        <w:t>re tout son aspect de revendication et de dénonciation des situations de corruption et d’injustice en Haïti, comme le souligne Norluck D</w:t>
      </w:r>
      <w:r w:rsidRPr="00E8358C">
        <w:t>o</w:t>
      </w:r>
      <w:r w:rsidRPr="00E8358C">
        <w:t>range.</w:t>
      </w:r>
    </w:p>
    <w:p w:rsidR="004C50DC" w:rsidRDefault="004C50DC" w:rsidP="004C50DC">
      <w:pPr>
        <w:pStyle w:val="Citation0"/>
      </w:pPr>
    </w:p>
    <w:p w:rsidR="004C50DC" w:rsidRDefault="004C50DC" w:rsidP="004C50DC">
      <w:pPr>
        <w:pStyle w:val="Citation0"/>
      </w:pPr>
      <w:r w:rsidRPr="00E8358C">
        <w:t xml:space="preserve">Tout comme dans le vaudou, les paroles de ces chants entonnés dans les </w:t>
      </w:r>
      <w:r w:rsidRPr="00E8358C">
        <w:rPr>
          <w:i/>
        </w:rPr>
        <w:t>raras</w:t>
      </w:r>
      <w:r w:rsidRPr="00E8358C">
        <w:t xml:space="preserve"> ont pour objectif d’instruire la communauté sur ce qui est bon, ma</w:t>
      </w:r>
      <w:r w:rsidRPr="00E8358C">
        <w:t>u</w:t>
      </w:r>
      <w:r w:rsidRPr="00E8358C">
        <w:t>vais ou qui mérite d’être amélioré. […] Si ces chansons tournent en dér</w:t>
      </w:r>
      <w:r w:rsidRPr="00E8358C">
        <w:t>i</w:t>
      </w:r>
      <w:r w:rsidRPr="00E8358C">
        <w:t>sion un homme ou une femme sur une mauvaise a</w:t>
      </w:r>
      <w:r w:rsidRPr="00E8358C">
        <w:t>c</w:t>
      </w:r>
      <w:r w:rsidRPr="00E8358C">
        <w:t>tion commise, c’est pour que cela ne se reproduise plus dans la co</w:t>
      </w:r>
      <w:r w:rsidRPr="00E8358C">
        <w:t>m</w:t>
      </w:r>
      <w:r w:rsidRPr="00E8358C">
        <w:t>munauté</w:t>
      </w:r>
      <w:r>
        <w:t> </w:t>
      </w:r>
      <w:r w:rsidRPr="00E8358C">
        <w:rPr>
          <w:rStyle w:val="Appelnotedebasdep"/>
          <w:szCs w:val="22"/>
        </w:rPr>
        <w:footnoteReference w:id="864"/>
      </w:r>
      <w:r w:rsidRPr="00E8358C">
        <w:t>.</w:t>
      </w:r>
    </w:p>
    <w:p w:rsidR="004C50DC" w:rsidRPr="00E8358C" w:rsidRDefault="004C50DC" w:rsidP="004C50DC">
      <w:pPr>
        <w:pStyle w:val="Citation0"/>
      </w:pPr>
    </w:p>
    <w:p w:rsidR="004C50DC" w:rsidRDefault="004C50DC" w:rsidP="004C50DC">
      <w:pPr>
        <w:spacing w:before="120" w:after="120"/>
        <w:jc w:val="both"/>
      </w:pPr>
      <w:r w:rsidRPr="00E8358C">
        <w:t xml:space="preserve">La période des festivités </w:t>
      </w:r>
      <w:r w:rsidRPr="00E8358C">
        <w:rPr>
          <w:i/>
        </w:rPr>
        <w:t xml:space="preserve">rara </w:t>
      </w:r>
      <w:r w:rsidRPr="00E8358C">
        <w:t xml:space="preserve">représente l’occasion, pour la masse paysanne, de se constituer en tribunal populaire pour exposer ses griefs et condamner les élites dirigeantes qu’elle rend responsables de ses conditions de vie précaires. Son confinement à l’espace rural après 1804 est un acte qui dénie ainsi sa contribution à la construction de la République d’Haïti. Après le départ de Jean-Claude Duvalier en mars 1986, un groupe de </w:t>
      </w:r>
      <w:r w:rsidRPr="00E8358C">
        <w:rPr>
          <w:i/>
        </w:rPr>
        <w:t>rara</w:t>
      </w:r>
      <w:r w:rsidRPr="00E8358C">
        <w:t xml:space="preserve"> venu de la localité Fond-Cochon, a défilé dans la ville de Jérémie en scandant :</w:t>
      </w:r>
    </w:p>
    <w:p w:rsidR="004C50DC" w:rsidRPr="00E8358C" w:rsidRDefault="004C50DC" w:rsidP="004C50DC">
      <w:pPr>
        <w:spacing w:before="120" w:after="120"/>
        <w:jc w:val="both"/>
      </w:pPr>
    </w:p>
    <w:p w:rsidR="004C50DC" w:rsidRPr="00E24E18" w:rsidRDefault="004C50DC" w:rsidP="004C50DC">
      <w:pPr>
        <w:pStyle w:val="parolesi"/>
      </w:pPr>
      <w:r w:rsidRPr="00E24E18">
        <w:t>Ti gason oooooo, ti gason ooooo.</w:t>
      </w:r>
    </w:p>
    <w:p w:rsidR="004C50DC" w:rsidRPr="00E24E18" w:rsidRDefault="004C50DC" w:rsidP="004C50DC">
      <w:pPr>
        <w:pStyle w:val="parolesi"/>
      </w:pPr>
      <w:r w:rsidRPr="00E24E18">
        <w:t>Ou te twò piti pou n pa ta ka voye w ale.</w:t>
      </w:r>
    </w:p>
    <w:p w:rsidR="004C50DC" w:rsidRPr="00E24E18" w:rsidRDefault="004C50DC" w:rsidP="004C50DC">
      <w:pPr>
        <w:pStyle w:val="parolesi"/>
      </w:pPr>
      <w:r w:rsidRPr="00E24E18">
        <w:t>Si n te rive kase chenn lesklavaj depi 1804</w:t>
      </w:r>
    </w:p>
    <w:p w:rsidR="004C50DC" w:rsidRPr="00E24E18" w:rsidRDefault="004C50DC" w:rsidP="004C50DC">
      <w:pPr>
        <w:pStyle w:val="parolesi"/>
      </w:pPr>
      <w:r w:rsidRPr="00E24E18">
        <w:t>Se pa ti diktati nou pa ta kraze.</w:t>
      </w:r>
    </w:p>
    <w:p w:rsidR="004C50DC" w:rsidRPr="00E24E18" w:rsidRDefault="004C50DC" w:rsidP="004C50DC">
      <w:pPr>
        <w:pStyle w:val="parolesi"/>
      </w:pPr>
      <w:r w:rsidRPr="00E24E18">
        <w:t>Baboukèt la tonbe.</w:t>
      </w:r>
    </w:p>
    <w:p w:rsidR="004C50DC" w:rsidRPr="00E24E18" w:rsidRDefault="004C50DC" w:rsidP="004C50DC">
      <w:pPr>
        <w:pStyle w:val="parolesi"/>
      </w:pPr>
      <w:r w:rsidRPr="00E24E18">
        <w:t>Nou fè yon lòt revolisyon.</w:t>
      </w:r>
    </w:p>
    <w:p w:rsidR="004C50DC" w:rsidRPr="00E24E18" w:rsidRDefault="004C50DC" w:rsidP="004C50DC">
      <w:pPr>
        <w:pStyle w:val="parolesi"/>
      </w:pPr>
      <w:r w:rsidRPr="00E24E18">
        <w:t>Peyizan se moun menm jan ak tout moun kounyea</w:t>
      </w:r>
    </w:p>
    <w:p w:rsidR="004C50DC" w:rsidRPr="00E24E18" w:rsidRDefault="004C50DC" w:rsidP="004C50DC">
      <w:pPr>
        <w:pStyle w:val="parolesi"/>
      </w:pPr>
      <w:r w:rsidRPr="00E24E18">
        <w:t>Li te libere depi 1804 tou.</w:t>
      </w:r>
    </w:p>
    <w:p w:rsidR="004C50DC" w:rsidRDefault="004C50DC" w:rsidP="004C50DC">
      <w:pPr>
        <w:pStyle w:val="p"/>
      </w:pPr>
      <w:r>
        <w:t>[336]</w:t>
      </w:r>
    </w:p>
    <w:p w:rsidR="004C50DC" w:rsidRPr="00E24E18" w:rsidRDefault="004C50DC" w:rsidP="004C50DC">
      <w:pPr>
        <w:pStyle w:val="paroles"/>
      </w:pPr>
      <w:r w:rsidRPr="00E24E18">
        <w:t>[Petit garçon ooooo, petit garçon oooo.</w:t>
      </w:r>
    </w:p>
    <w:p w:rsidR="004C50DC" w:rsidRPr="00E24E18" w:rsidRDefault="004C50DC" w:rsidP="004C50DC">
      <w:pPr>
        <w:pStyle w:val="paroles"/>
      </w:pPr>
      <w:r w:rsidRPr="00E24E18">
        <w:t>Tu étais trop petit pour être chassé du pouvoir par le peuple.</w:t>
      </w:r>
    </w:p>
    <w:p w:rsidR="004C50DC" w:rsidRPr="00E24E18" w:rsidRDefault="004C50DC" w:rsidP="004C50DC">
      <w:pPr>
        <w:pStyle w:val="paroles"/>
      </w:pPr>
      <w:r w:rsidRPr="00E24E18">
        <w:t>Nous avons pu briser les chaînes de l’esclavage en 1804.</w:t>
      </w:r>
    </w:p>
    <w:p w:rsidR="004C50DC" w:rsidRPr="00E24E18" w:rsidRDefault="004C50DC" w:rsidP="004C50DC">
      <w:pPr>
        <w:pStyle w:val="paroles"/>
      </w:pPr>
      <w:r w:rsidRPr="00E24E18">
        <w:t>Alors ta dictature était moins structurée pour être renversée.</w:t>
      </w:r>
    </w:p>
    <w:p w:rsidR="004C50DC" w:rsidRPr="00E24E18" w:rsidRDefault="004C50DC" w:rsidP="004C50DC">
      <w:pPr>
        <w:pStyle w:val="paroles"/>
      </w:pPr>
      <w:r w:rsidRPr="00E24E18">
        <w:t>Nous avons fait une nouvelle révolution.</w:t>
      </w:r>
    </w:p>
    <w:p w:rsidR="004C50DC" w:rsidRPr="00E24E18" w:rsidRDefault="004C50DC" w:rsidP="004C50DC">
      <w:pPr>
        <w:pStyle w:val="paroles"/>
      </w:pPr>
      <w:r w:rsidRPr="00E24E18">
        <w:t>Nous pouvons parler maintenant.</w:t>
      </w:r>
    </w:p>
    <w:p w:rsidR="004C50DC" w:rsidRPr="00E24E18" w:rsidRDefault="004C50DC" w:rsidP="004C50DC">
      <w:pPr>
        <w:pStyle w:val="paroles"/>
      </w:pPr>
      <w:r w:rsidRPr="00E24E18">
        <w:t>Le paysan est un être humain comme le citadin,</w:t>
      </w:r>
    </w:p>
    <w:p w:rsidR="004C50DC" w:rsidRPr="00E24E18" w:rsidRDefault="004C50DC" w:rsidP="004C50DC">
      <w:pPr>
        <w:pStyle w:val="paroles"/>
      </w:pPr>
      <w:r w:rsidRPr="00E24E18">
        <w:t>Un homme libre depuis 1804.]</w:t>
      </w:r>
    </w:p>
    <w:p w:rsidR="004C50DC" w:rsidRDefault="004C50DC" w:rsidP="004C50DC">
      <w:pPr>
        <w:spacing w:before="120" w:after="120"/>
        <w:jc w:val="both"/>
      </w:pPr>
    </w:p>
    <w:p w:rsidR="004C50DC" w:rsidRDefault="004C50DC" w:rsidP="004C50DC">
      <w:pPr>
        <w:spacing w:before="120" w:after="120"/>
        <w:jc w:val="both"/>
      </w:pPr>
      <w:r w:rsidRPr="00E8358C">
        <w:t>Cette chanson montre que les paysans étaient conscients que le gouvernement dictatorial de Jean-Claude Duvalier portait atteinte à leur liberté d’expression. Le régime des Duvalier ne considérait pas les paysans comme des citoyens haïtiens à part entière. Ils n’étaient pas traités au même titre que les citadins. Cette chanson représente donc une affirmation de cette liberté des pay</w:t>
      </w:r>
      <w:r>
        <w:t>sans en plein cœur de la ville.</w:t>
      </w:r>
    </w:p>
    <w:p w:rsidR="004C50DC" w:rsidRPr="00E8358C" w:rsidRDefault="004C50DC" w:rsidP="004C50DC">
      <w:pPr>
        <w:spacing w:before="120" w:after="120"/>
        <w:jc w:val="both"/>
      </w:pPr>
    </w:p>
    <w:p w:rsidR="004C50DC" w:rsidRPr="00E24E18" w:rsidRDefault="004C50DC" w:rsidP="004C50DC">
      <w:pPr>
        <w:pStyle w:val="b"/>
      </w:pPr>
      <w:bookmarkStart w:id="440" w:name="_Toc442280546"/>
      <w:r w:rsidRPr="00E24E18">
        <w:t>Représentatio</w:t>
      </w:r>
      <w:r>
        <w:t>ns de la mémoire de l’esclavage</w:t>
      </w:r>
      <w:r>
        <w:br/>
      </w:r>
      <w:r w:rsidRPr="00E24E18">
        <w:t>dans la peinture naïve haïtienne</w:t>
      </w:r>
      <w:bookmarkEnd w:id="440"/>
    </w:p>
    <w:p w:rsidR="004C50DC" w:rsidRDefault="004C50DC" w:rsidP="004C50DC">
      <w:pPr>
        <w:spacing w:before="120" w:after="120"/>
        <w:jc w:val="both"/>
      </w:pPr>
    </w:p>
    <w:p w:rsidR="004C50DC" w:rsidRDefault="004C50DC" w:rsidP="004C50DC">
      <w:pPr>
        <w:spacing w:before="120" w:after="120"/>
        <w:jc w:val="both"/>
      </w:pPr>
      <w:r w:rsidRPr="00E8358C">
        <w:t>La peinture haïtienne expose aussi les mémoires du passé colonial esclavagiste. Le mouvement indigéniste a fortement influencé l’art naïf haïtien. Cette peinture s’inspirait des pratiques populaires et des pratiques religieuses du vodou. À travers l’art naïf, la masse en gén</w:t>
      </w:r>
      <w:r w:rsidRPr="00E8358C">
        <w:t>é</w:t>
      </w:r>
      <w:r w:rsidRPr="00E8358C">
        <w:t>ral et le monde paysan en particulier sont présentés dans l’espace s</w:t>
      </w:r>
      <w:r w:rsidRPr="00E8358C">
        <w:t>o</w:t>
      </w:r>
      <w:r w:rsidRPr="00E8358C">
        <w:t>cial comme objet d’étude, d’intégration et de compréhension des mœurs haïtiennes. Carlo Arviel Célius</w:t>
      </w:r>
      <w:r>
        <w:t> </w:t>
      </w:r>
      <w:r>
        <w:rPr>
          <w:rStyle w:val="Appelnotedebasdep"/>
        </w:rPr>
        <w:footnoteReference w:id="865"/>
      </w:r>
      <w:r w:rsidRPr="00E8358C">
        <w:t xml:space="preserve"> signale que « l’art naïf ha</w:t>
      </w:r>
      <w:r w:rsidRPr="00E8358C">
        <w:t>ï</w:t>
      </w:r>
      <w:r w:rsidRPr="00E8358C">
        <w:t>tien se rattache [à la pensée indigéniste] par les conditions mêmes de son apparition. Son émergence marque un tournant dans la réception du modernisme en Haïti. Celui-ci commence à pénétrer l’espace ha</w:t>
      </w:r>
      <w:r w:rsidRPr="00E8358C">
        <w:t>ï</w:t>
      </w:r>
      <w:r w:rsidRPr="00E8358C">
        <w:t xml:space="preserve">tien dans les années 1920, notamment avec les intellectuels de </w:t>
      </w:r>
      <w:r w:rsidRPr="00E8358C">
        <w:rPr>
          <w:rStyle w:val="Accentuation"/>
        </w:rPr>
        <w:t>La R</w:t>
      </w:r>
      <w:r w:rsidRPr="00E8358C">
        <w:rPr>
          <w:rStyle w:val="Accentuation"/>
        </w:rPr>
        <w:t>e</w:t>
      </w:r>
      <w:r w:rsidRPr="00E8358C">
        <w:rPr>
          <w:rStyle w:val="Accentuation"/>
        </w:rPr>
        <w:t>vue indigène</w:t>
      </w:r>
      <w:r w:rsidRPr="00E8358C">
        <w:t>». Cette peinture représente souvent des scènes histor</w:t>
      </w:r>
      <w:r w:rsidRPr="00E8358C">
        <w:t>i</w:t>
      </w:r>
      <w:r w:rsidRPr="00E8358C">
        <w:t>ques comme la création du drapeau haïtien ou la cérémonie du Bois-Caïman, scènes qui peuvent prouver l’attachement d’un peuple à une mémoire glorieuse. Les personnages qui ont marqué l’histoire d’Haïti, particulièrement les héros de l’indépendance, Dessalines, Pétion, Christophe, sont très représentés.</w:t>
      </w:r>
    </w:p>
    <w:p w:rsidR="004C50DC" w:rsidRDefault="004C50DC" w:rsidP="004C50DC">
      <w:pPr>
        <w:spacing w:before="120" w:after="120"/>
        <w:jc w:val="both"/>
      </w:pPr>
      <w:r>
        <w:br w:type="page"/>
        <w:t>[337]</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345815" cy="2743200"/>
            <wp:effectExtent l="25400" t="25400" r="6985" b="12700"/>
            <wp:docPr id="52" name="Image 2" descr="About3 350w289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About3 350w289h"/>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45815" cy="27432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441" w:name="_Toc417146086"/>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24E18" w:rsidRDefault="004C50DC" w:rsidP="004C50DC">
      <w:pPr>
        <w:pStyle w:val="figst1"/>
      </w:pPr>
      <w:bookmarkStart w:id="442" w:name="Memoire_fig_44"/>
      <w:r w:rsidRPr="00E24E18">
        <w:t xml:space="preserve">Figure </w:t>
      </w:r>
      <w:r w:rsidRPr="00E24E18">
        <w:fldChar w:fldCharType="begin"/>
      </w:r>
      <w:r w:rsidR="00EF1554">
        <w:instrText>SEQ</w:instrText>
      </w:r>
      <w:r w:rsidRPr="00E24E18">
        <w:instrText xml:space="preserve"> Figure \* ARABIC </w:instrText>
      </w:r>
      <w:r w:rsidRPr="00E24E18">
        <w:fldChar w:fldCharType="separate"/>
      </w:r>
      <w:r>
        <w:rPr>
          <w:noProof/>
        </w:rPr>
        <w:t>44</w:t>
      </w:r>
      <w:r w:rsidRPr="00E24E18">
        <w:fldChar w:fldCharType="end"/>
      </w:r>
      <w:r w:rsidRPr="00E24E18">
        <w:t>. Création du drapeau haïtien le 18 mai 1803 par Mo</w:t>
      </w:r>
      <w:r w:rsidRPr="00E24E18">
        <w:t>m</w:t>
      </w:r>
      <w:r w:rsidRPr="00E24E18">
        <w:t>premier  Madsen.</w:t>
      </w:r>
      <w:bookmarkEnd w:id="441"/>
    </w:p>
    <w:bookmarkEnd w:id="442"/>
    <w:p w:rsidR="004C50DC" w:rsidRPr="00E8358C" w:rsidRDefault="004C50DC" w:rsidP="004C50DC">
      <w:pPr>
        <w:pStyle w:val="figst1"/>
        <w:rPr>
          <w:szCs w:val="18"/>
        </w:rPr>
      </w:pPr>
      <w:r w:rsidRPr="00E8358C">
        <w:rPr>
          <w:szCs w:val="18"/>
        </w:rPr>
        <w:t>(Le tableau montre Dessalines sous le regard de ses généraux en train de d</w:t>
      </w:r>
      <w:r w:rsidRPr="00E8358C">
        <w:rPr>
          <w:szCs w:val="18"/>
        </w:rPr>
        <w:t>é</w:t>
      </w:r>
      <w:r w:rsidRPr="00E8358C">
        <w:rPr>
          <w:szCs w:val="18"/>
        </w:rPr>
        <w:t>chirer le blanc du drapeau français avant de confier à C</w:t>
      </w:r>
      <w:r w:rsidRPr="00E8358C">
        <w:rPr>
          <w:szCs w:val="18"/>
        </w:rPr>
        <w:t>a</w:t>
      </w:r>
      <w:r w:rsidRPr="00E8358C">
        <w:rPr>
          <w:szCs w:val="18"/>
        </w:rPr>
        <w:t>therine Flon la tâche de recoudre le bleu au rouge.)</w:t>
      </w:r>
      <w:r>
        <w:rPr>
          <w:szCs w:val="18"/>
        </w:rPr>
        <w:t xml:space="preserve"> </w:t>
      </w:r>
      <w:r w:rsidRPr="00E8358C">
        <w:rPr>
          <w:szCs w:val="18"/>
        </w:rPr>
        <w:t>Source : http://blogs.artinfo.com, Mompremier Ma</w:t>
      </w:r>
      <w:r w:rsidRPr="00E8358C">
        <w:rPr>
          <w:szCs w:val="18"/>
        </w:rPr>
        <w:t>d</w:t>
      </w:r>
      <w:r w:rsidRPr="00E8358C">
        <w:rPr>
          <w:szCs w:val="18"/>
        </w:rPr>
        <w:t>sen</w:t>
      </w:r>
      <w:r>
        <w:rPr>
          <w:i w:val="0"/>
          <w:szCs w:val="18"/>
        </w:rPr>
        <w:t> </w:t>
      </w:r>
      <w:r>
        <w:rPr>
          <w:rStyle w:val="Appelnotedebasdep"/>
          <w:i w:val="0"/>
          <w:szCs w:val="18"/>
        </w:rPr>
        <w:footnoteReference w:id="866"/>
      </w:r>
    </w:p>
    <w:p w:rsidR="004C50DC" w:rsidRPr="00E8358C" w:rsidRDefault="004C50DC" w:rsidP="004C50DC">
      <w:pPr>
        <w:spacing w:before="120" w:after="120"/>
        <w:jc w:val="both"/>
      </w:pPr>
    </w:p>
    <w:p w:rsidR="004C50DC" w:rsidRPr="00E8358C" w:rsidRDefault="004C50DC" w:rsidP="004C50DC">
      <w:pPr>
        <w:spacing w:before="120" w:after="120"/>
        <w:jc w:val="both"/>
      </w:pPr>
      <w:r w:rsidRPr="00E8358C">
        <w:t>Inspirée des survivances historiques, notamment des résistances au système colonial esclavagiste, la peinture naïve haïtienne est un mo</w:t>
      </w:r>
      <w:r w:rsidRPr="00E8358C">
        <w:t>u</w:t>
      </w:r>
      <w:r w:rsidRPr="00E8358C">
        <w:t>vement plastique qui associe les couleurs à la volonté de combattre la soumission, les problèmes réels du quotidien à l’imagerie populaire, la nature aux figures divinisées du vodou, pour créer le tableau le plus proche possible de la réalité sociale haïtienne. Son émergence dans la deuxième moitié du XX</w:t>
      </w:r>
      <w:r w:rsidRPr="00E8358C">
        <w:rPr>
          <w:vertAlign w:val="superscript"/>
        </w:rPr>
        <w:t>e</w:t>
      </w:r>
      <w:r w:rsidRPr="00E8358C">
        <w:t xml:space="preserve"> siècle incite certains historiens de l’art à voir dans ce mouvement un « indigénisme pictural » développé autour de Pétion Savain</w:t>
      </w:r>
      <w:r>
        <w:t> </w:t>
      </w:r>
      <w:r>
        <w:rPr>
          <w:rStyle w:val="Appelnotedebasdep"/>
        </w:rPr>
        <w:footnoteReference w:id="867"/>
      </w:r>
      <w:r w:rsidRPr="00E8358C">
        <w:t>. Les peintres naïfs haïtiens ont pu se libérer des ex</w:t>
      </w:r>
      <w:r w:rsidRPr="00E8358C">
        <w:t>i</w:t>
      </w:r>
      <w:r w:rsidRPr="00E8358C">
        <w:t>gences académiques de la peinture ; avec leurs pinceaux, ils peuvent présenter plus facilement les scènes de la vie sociale et historique du peuple haïtien. Leur peinture est, dans l’ensemble, orientée vers un objet spécifique qui est l’image colorée de la vie d’un peuple qui i</w:t>
      </w:r>
      <w:r w:rsidRPr="00E8358C">
        <w:t>n</w:t>
      </w:r>
      <w:r w:rsidRPr="00E8358C">
        <w:t xml:space="preserve">terroge son passé et son présent. </w:t>
      </w:r>
    </w:p>
    <w:p w:rsidR="004C50DC" w:rsidRPr="00E8358C" w:rsidRDefault="004C50DC" w:rsidP="004C50DC">
      <w:pPr>
        <w:spacing w:before="120" w:after="120"/>
        <w:jc w:val="both"/>
      </w:pPr>
      <w:r w:rsidRPr="00E8358C">
        <w:t>La mémoire de l’esclavage est en plein cœur des réflexions qui inspirent les tableaux. Elle est représentée à travers les hauts lieux de la liberté comme Bois-Caïman, Vertières... Pour</w:t>
      </w:r>
      <w:r>
        <w:t xml:space="preserve"> [338]</w:t>
      </w:r>
      <w:r w:rsidRPr="00E8358C">
        <w:t xml:space="preserve"> illustrer cette idée, nous laissons place au tableau d’Hector Hyppolite, </w:t>
      </w:r>
      <w:r w:rsidRPr="00E8358C">
        <w:rPr>
          <w:i/>
        </w:rPr>
        <w:t>Papa Ogoun et Papa Zaca</w:t>
      </w:r>
      <w:r>
        <w:t> </w:t>
      </w:r>
      <w:r>
        <w:rPr>
          <w:rStyle w:val="Appelnotedebasdep"/>
        </w:rPr>
        <w:footnoteReference w:id="868"/>
      </w:r>
      <w:r w:rsidRPr="00E8358C">
        <w:t>, scène représentant deux divinités du vodou haïtien et montrant leur participation active à la libération nationale en comba</w:t>
      </w:r>
      <w:r w:rsidRPr="00E8358C">
        <w:t>t</w:t>
      </w:r>
      <w:r w:rsidRPr="00E8358C">
        <w:t xml:space="preserve">tant les dieux des Blancs représentés comme des anges déchus.  </w:t>
      </w:r>
    </w:p>
    <w:p w:rsidR="004C50DC" w:rsidRPr="00E8358C" w:rsidRDefault="004C50DC" w:rsidP="004C50DC">
      <w:pPr>
        <w:spacing w:before="120" w:after="120"/>
        <w:jc w:val="both"/>
      </w:pPr>
      <w:r>
        <w:br w:type="page"/>
      </w:r>
    </w:p>
    <w:p w:rsidR="004C50DC" w:rsidRPr="00E8358C" w:rsidRDefault="009B614B" w:rsidP="004C50DC">
      <w:pPr>
        <w:pStyle w:val="fig"/>
      </w:pPr>
      <w:r w:rsidRPr="00E8358C">
        <w:rPr>
          <w:noProof/>
          <w:lang w:eastAsia="fr-FR"/>
        </w:rPr>
        <w:drawing>
          <wp:inline distT="0" distB="0" distL="0" distR="0">
            <wp:extent cx="2420620" cy="2818765"/>
            <wp:effectExtent l="25400" t="25400" r="17780" b="13335"/>
            <wp:docPr id="53" name="Image 3" descr="hors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horses"/>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20620" cy="2818765"/>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443" w:name="_Toc417146087"/>
      <w:bookmarkStart w:id="444" w:name="Memoire_fig_45"/>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r w:rsidRPr="00E8358C">
        <w:t xml:space="preserve">Figure </w:t>
      </w:r>
      <w:r w:rsidRPr="00E8358C">
        <w:fldChar w:fldCharType="begin"/>
      </w:r>
      <w:r w:rsidR="00EF1554">
        <w:instrText>SEQ</w:instrText>
      </w:r>
      <w:r w:rsidRPr="00E8358C">
        <w:instrText xml:space="preserve"> Figure \* ARABIC </w:instrText>
      </w:r>
      <w:r w:rsidRPr="00E8358C">
        <w:fldChar w:fldCharType="separate"/>
      </w:r>
      <w:r>
        <w:rPr>
          <w:noProof/>
        </w:rPr>
        <w:t>45</w:t>
      </w:r>
      <w:r w:rsidRPr="00E8358C">
        <w:fldChar w:fldCharType="end"/>
      </w:r>
      <w:r w:rsidRPr="00E8358C">
        <w:t>. Papa Ogoun et Papa Zaca, Hector Hyppolite,1947.</w:t>
      </w:r>
      <w:bookmarkEnd w:id="443"/>
      <w:r>
        <w:br/>
      </w:r>
      <w:r w:rsidRPr="00E8358C">
        <w:rPr>
          <w:szCs w:val="18"/>
        </w:rPr>
        <w:t>Source : The Museum of Everything, Londres</w:t>
      </w:r>
    </w:p>
    <w:p w:rsidR="004C50DC" w:rsidRDefault="004C50DC" w:rsidP="004C50DC">
      <w:pPr>
        <w:pStyle w:val="figst"/>
        <w:rPr>
          <w:szCs w:val="18"/>
        </w:rPr>
      </w:pPr>
      <w:hyperlink r:id="rId85" w:history="1">
        <w:r w:rsidRPr="00107601">
          <w:rPr>
            <w:rStyle w:val="Lienhypertexte"/>
            <w:szCs w:val="18"/>
          </w:rPr>
          <w:t>http://www.designweek.co.uk/whats-on/haiti-art-and-vodou/3035448.article</w:t>
        </w:r>
      </w:hyperlink>
      <w:bookmarkEnd w:id="444"/>
    </w:p>
    <w:p w:rsidR="004C50DC" w:rsidRPr="00E8358C" w:rsidRDefault="004C50DC" w:rsidP="004C50DC">
      <w:pPr>
        <w:spacing w:before="120" w:after="120"/>
        <w:jc w:val="both"/>
        <w:rPr>
          <w:szCs w:val="18"/>
        </w:rPr>
      </w:pPr>
    </w:p>
    <w:p w:rsidR="004C50DC" w:rsidRPr="00E24E18" w:rsidRDefault="004C50DC" w:rsidP="004C50DC">
      <w:pPr>
        <w:pStyle w:val="b"/>
      </w:pPr>
      <w:bookmarkStart w:id="445" w:name="_Toc406486104"/>
      <w:bookmarkStart w:id="446" w:name="_Toc406489729"/>
      <w:bookmarkStart w:id="447" w:name="_Toc442280547"/>
      <w:r w:rsidRPr="00E24E18">
        <w:t>Cinéma de fiction et documentaire</w:t>
      </w:r>
      <w:bookmarkEnd w:id="445"/>
      <w:bookmarkEnd w:id="446"/>
      <w:bookmarkEnd w:id="447"/>
    </w:p>
    <w:p w:rsidR="004C50DC" w:rsidRDefault="004C50DC" w:rsidP="004C50DC">
      <w:pPr>
        <w:spacing w:before="120" w:after="120"/>
        <w:jc w:val="both"/>
      </w:pPr>
    </w:p>
    <w:p w:rsidR="004C50DC" w:rsidRPr="00E8358C" w:rsidRDefault="004C50DC" w:rsidP="004C50DC">
      <w:pPr>
        <w:spacing w:before="120" w:after="120"/>
        <w:jc w:val="both"/>
      </w:pPr>
      <w:r w:rsidRPr="00E8358C">
        <w:t>Le cinéma en tant que moyen de communication est aussi un véh</w:t>
      </w:r>
      <w:r w:rsidRPr="00E8358C">
        <w:t>i</w:t>
      </w:r>
      <w:r w:rsidRPr="00E8358C">
        <w:t>cule idéologique. Il participe à la transmission d’un sens collectiv</w:t>
      </w:r>
      <w:r w:rsidRPr="00E8358C">
        <w:t>e</w:t>
      </w:r>
      <w:r w:rsidRPr="00E8358C">
        <w:t>ment et inconsciemment établi, c’est-à-dire contextuel</w:t>
      </w:r>
      <w:r>
        <w:t> </w:t>
      </w:r>
      <w:r>
        <w:rPr>
          <w:rStyle w:val="Appelnotedebasdep"/>
        </w:rPr>
        <w:footnoteReference w:id="869"/>
      </w:r>
      <w:r w:rsidRPr="00E8358C">
        <w:t>, a écrit Hall Stuart. Après plus d’un siècle d’abolition, l’esclavage a été presque gommé de l’audiovisuel, mais depuis la fin de la deuxième moitié du XX</w:t>
      </w:r>
      <w:r w:rsidRPr="00E8358C">
        <w:rPr>
          <w:vertAlign w:val="superscript"/>
        </w:rPr>
        <w:t>e</w:t>
      </w:r>
      <w:r w:rsidRPr="00E8358C">
        <w:t xml:space="preserve"> siècle, les mémoires de ce passé tragique n’en finissent pas d’intriguer les réalisateurs. Citons, entre autres, des films comme </w:t>
      </w:r>
      <w:r w:rsidRPr="00E8358C">
        <w:rPr>
          <w:i/>
        </w:rPr>
        <w:t>Ab</w:t>
      </w:r>
      <w:r w:rsidRPr="00E8358C">
        <w:rPr>
          <w:i/>
        </w:rPr>
        <w:t>o</w:t>
      </w:r>
      <w:r w:rsidRPr="00E8358C">
        <w:rPr>
          <w:i/>
        </w:rPr>
        <w:t>lition de l’esclavage de 1794,</w:t>
      </w:r>
      <w:r w:rsidRPr="00E8358C">
        <w:t xml:space="preserve"> par Canopé académie de Besançon, r</w:t>
      </w:r>
      <w:r w:rsidRPr="00E8358C">
        <w:t>é</w:t>
      </w:r>
      <w:r w:rsidRPr="00E8358C">
        <w:t xml:space="preserve">alisé en partie en Haïti ; </w:t>
      </w:r>
      <w:r w:rsidRPr="00E8358C">
        <w:rPr>
          <w:i/>
        </w:rPr>
        <w:t>Amistad</w:t>
      </w:r>
      <w:r w:rsidRPr="00E8358C">
        <w:t xml:space="preserve">, (1998) et </w:t>
      </w:r>
      <w:r w:rsidRPr="00E8358C">
        <w:rPr>
          <w:i/>
        </w:rPr>
        <w:t>Lincoln</w:t>
      </w:r>
      <w:r w:rsidRPr="00E8358C">
        <w:t xml:space="preserve"> (2013) réalisés par Steven Spielberg. Les nouvelles technologies ont facilité aussi la r</w:t>
      </w:r>
      <w:r w:rsidRPr="00E8358C">
        <w:t>é</w:t>
      </w:r>
      <w:r w:rsidRPr="00E8358C">
        <w:t>alisation de films</w:t>
      </w:r>
      <w:r>
        <w:t xml:space="preserve"> [339]</w:t>
      </w:r>
      <w:r w:rsidRPr="00E8358C">
        <w:t xml:space="preserve"> documentaires, moins coûteux. Cette période a été marquée par une vague mémorielle de l’esclavage qui n’avait pas laissé indifférents les historiens et les réalisateurs passionnés par sa transmission. En principe, les films ont été documentés pour pr</w:t>
      </w:r>
      <w:r w:rsidRPr="00E8358C">
        <w:t>é</w:t>
      </w:r>
      <w:r w:rsidRPr="00E8358C">
        <w:t xml:space="preserve">senter l’histoire collective de la Traite et des sociétés esclavagistes. </w:t>
      </w:r>
    </w:p>
    <w:p w:rsidR="004C50DC" w:rsidRPr="00E8358C" w:rsidRDefault="004C50DC" w:rsidP="004C50DC">
      <w:pPr>
        <w:spacing w:before="120" w:after="120"/>
        <w:jc w:val="both"/>
      </w:pPr>
      <w:r w:rsidRPr="00E8358C">
        <w:t>Le cinéma haïtien ne réalise presque pas de films sur le passé col</w:t>
      </w:r>
      <w:r w:rsidRPr="00E8358C">
        <w:t>o</w:t>
      </w:r>
      <w:r w:rsidRPr="00E8358C">
        <w:t>nial esclavagiste, et peu de documentaires, également, ont été réalisés sur l’histoire d’Haïti. Le film sur la vie de Toussaint Louverture</w:t>
      </w:r>
      <w:r>
        <w:t> </w:t>
      </w:r>
      <w:r>
        <w:rPr>
          <w:rStyle w:val="Appelnotedebasdep"/>
        </w:rPr>
        <w:footnoteReference w:id="870"/>
      </w:r>
      <w:r w:rsidRPr="00E8358C">
        <w:t>, i</w:t>
      </w:r>
      <w:r w:rsidRPr="00E8358C">
        <w:t>n</w:t>
      </w:r>
      <w:r w:rsidRPr="00E8358C">
        <w:t>terprété par l’acteur hollywoodien d’origine haïtienne Jimmy Jean-Louis, ne laisse pas les critiques indifférents. Les principaux hist</w:t>
      </w:r>
      <w:r w:rsidRPr="00E8358C">
        <w:t>o</w:t>
      </w:r>
      <w:r w:rsidRPr="00E8358C">
        <w:t>riens s’accordent à dire que ce film ne reflète pas le vrai visage de ce personnage, à la fois idéalisé et controversé, dans l’histoire d’Haïti. Par exemple, Marcel Dorigny reconnaît l’immense travail du réalis</w:t>
      </w:r>
      <w:r w:rsidRPr="00E8358C">
        <w:t>a</w:t>
      </w:r>
      <w:r w:rsidRPr="00E8358C">
        <w:t>teur Philippe Niang et des acteurs, ainsi que le fond historique. Il e</w:t>
      </w:r>
      <w:r w:rsidRPr="00E8358C">
        <w:t>s</w:t>
      </w:r>
      <w:r w:rsidRPr="00E8358C">
        <w:t>time que « l’</w:t>
      </w:r>
      <w:r w:rsidRPr="00E8358C">
        <w:rPr>
          <w:lang w:eastAsia="en-CA"/>
        </w:rPr>
        <w:t>on doit nuancer, car certaines choses ont été créées de toute pièce pour choquer le téléspectateur. Finalement, les téléspect</w:t>
      </w:r>
      <w:r w:rsidRPr="00E8358C">
        <w:rPr>
          <w:lang w:eastAsia="en-CA"/>
        </w:rPr>
        <w:t>a</w:t>
      </w:r>
      <w:r w:rsidRPr="00E8358C">
        <w:rPr>
          <w:lang w:eastAsia="en-CA"/>
        </w:rPr>
        <w:t>teurs vont garder en mémoire les images les plus marquantes, qui sont aussi les plus fausses </w:t>
      </w:r>
      <w:r w:rsidRPr="00E8358C">
        <w:t>». Pour Marcel Dorigny, deux scènes posent problème : « la scène d’ouverture tragique, dans laquelle on voit Toussaint Louverture assister à la noyade de son père, n’a jamais exi</w:t>
      </w:r>
      <w:r w:rsidRPr="00E8358C">
        <w:t>s</w:t>
      </w:r>
      <w:r w:rsidRPr="00E8358C">
        <w:t>té. Son père est mort après lui, en 1804. C’est une scène inventée, et assumée par le réalisateur, qui met les téléspectateurs en condition. […] et celle dans laquelle le général Caffarelli tue Mars Plaisir d’une balle dans le dos. Je crois que les descendants de Caffarelli sont f</w:t>
      </w:r>
      <w:r w:rsidRPr="00E8358C">
        <w:t>u</w:t>
      </w:r>
      <w:r w:rsidRPr="00E8358C">
        <w:t>rieux ! Le général n’a jamais rencontré Plaisir, qui est mort vingt ans après les faits, à Paris, en 1822 »</w:t>
      </w:r>
      <w:r>
        <w:t> </w:t>
      </w:r>
      <w:r>
        <w:rPr>
          <w:rStyle w:val="Appelnotedebasdep"/>
        </w:rPr>
        <w:footnoteReference w:id="871"/>
      </w:r>
      <w:r w:rsidRPr="00E8358C">
        <w:t>. Donc, poursuit l’historien, « il faut regarder ce film, mais sans tout prendre pour argent comptant. Il est important de savoir que tout n’est pas exact ! Alors il faut bien dire aux téléspectateurs qu’ils doivent garder leur esprit critique »</w:t>
      </w:r>
      <w:r>
        <w:t> </w:t>
      </w:r>
      <w:r>
        <w:rPr>
          <w:rStyle w:val="Appelnotedebasdep"/>
        </w:rPr>
        <w:footnoteReference w:id="872"/>
      </w:r>
      <w:r w:rsidRPr="00E8358C">
        <w:t xml:space="preserve">. </w:t>
      </w:r>
    </w:p>
    <w:p w:rsidR="004C50DC" w:rsidRPr="00E8358C" w:rsidRDefault="004C50DC" w:rsidP="004C50DC">
      <w:pPr>
        <w:spacing w:before="120" w:after="120"/>
        <w:jc w:val="both"/>
      </w:pPr>
      <w:r w:rsidRPr="00E8358C">
        <w:t xml:space="preserve">Certains citoyens haïtiens vont plus loin et affirment que « le film ne présente qu’à l’appréciation des curieux de l’histoire, un Toussaint très </w:t>
      </w:r>
      <w:r w:rsidRPr="00E8358C">
        <w:rPr>
          <w:i/>
        </w:rPr>
        <w:t xml:space="preserve">français </w:t>
      </w:r>
      <w:r w:rsidRPr="00E8358C">
        <w:t>qui défend les intérêts du</w:t>
      </w:r>
      <w:r>
        <w:t xml:space="preserve"> [340]</w:t>
      </w:r>
      <w:r w:rsidRPr="00E8358C">
        <w:t xml:space="preserve"> colonisateur ». Ils reve</w:t>
      </w:r>
      <w:r w:rsidRPr="00E8358C">
        <w:t>n</w:t>
      </w:r>
      <w:r w:rsidRPr="00E8358C">
        <w:t>diquent donc « leur » Toussaint Louverture, le précurseur de l’indépendance haïtienne, qui défend surtout la cause des Noirs, ce stratège, cette figure diplomatique incomparable qui fait l’honneur des Noirs du monde entier. Dans les films réalisés à l’étranger, on néglige ce sujet important de la vie sociale haïtienne. Toutefois, il sera to</w:t>
      </w:r>
      <w:r w:rsidRPr="00E8358C">
        <w:t>u</w:t>
      </w:r>
      <w:r w:rsidRPr="00E8358C">
        <w:t>jours difficile pour un réalisateur de parvenir à toucher tous les a</w:t>
      </w:r>
      <w:r w:rsidRPr="00E8358C">
        <w:t>s</w:t>
      </w:r>
      <w:r w:rsidRPr="00E8358C">
        <w:t>pects de la vie de Toussaint Louverture dans un seul film. D’autre part, la fiction étant très présente dans le domaine du cinéma, le réal</w:t>
      </w:r>
      <w:r w:rsidRPr="00E8358C">
        <w:t>i</w:t>
      </w:r>
      <w:r w:rsidRPr="00E8358C">
        <w:t xml:space="preserve">sateur aura toujours tendance à inventer des scènes pour capter l’attention du public. </w:t>
      </w:r>
    </w:p>
    <w:p w:rsidR="004C50DC" w:rsidRPr="00E8358C" w:rsidRDefault="004C50DC" w:rsidP="004C50DC">
      <w:pPr>
        <w:spacing w:before="120" w:after="120"/>
        <w:jc w:val="both"/>
      </w:pPr>
      <w:r w:rsidRPr="00E8358C">
        <w:t>Le cinéma haïtien pourrait être un canal important de transmission des mémoires de l’esclavage. Malheureusement, les mémoires de l’esclavage inspirent peu les réalisateurs haïtiens. Cependant, en abo</w:t>
      </w:r>
      <w:r w:rsidRPr="00E8358C">
        <w:t>r</w:t>
      </w:r>
      <w:r w:rsidRPr="00E8358C">
        <w:t>dant un tel sujet, ils pourraient permettre aux jeunes de se confronter à leur histoire et à leur culture.</w:t>
      </w:r>
    </w:p>
    <w:p w:rsidR="004C50DC" w:rsidRDefault="004C50DC" w:rsidP="004C50DC">
      <w:pPr>
        <w:spacing w:before="120" w:after="120"/>
        <w:jc w:val="both"/>
      </w:pPr>
      <w:r w:rsidRPr="00E8358C">
        <w:t xml:space="preserve">Le théâtre haïtien cherche à se démarquer de cette inertie. On peut vivre quelques moments de l’histoire de ce pays à travers des pièces écrites par des auteurs haïtiens. Certaines de ces pièces, dont celle du populaire comédien haïtien Fernel Valcourt (Jesifra) intitulée </w:t>
      </w:r>
      <w:r w:rsidRPr="00E8358C">
        <w:rPr>
          <w:i/>
        </w:rPr>
        <w:t>Le Lo</w:t>
      </w:r>
      <w:r w:rsidRPr="00E8358C">
        <w:rPr>
          <w:i/>
        </w:rPr>
        <w:t>u</w:t>
      </w:r>
      <w:r w:rsidRPr="00E8358C">
        <w:rPr>
          <w:i/>
        </w:rPr>
        <w:t>verturien révolté</w:t>
      </w:r>
      <w:r w:rsidRPr="00E8358C">
        <w:t>, continuent de rassembler plusieurs milliers de spe</w:t>
      </w:r>
      <w:r w:rsidRPr="00E8358C">
        <w:t>c</w:t>
      </w:r>
      <w:r w:rsidRPr="00E8358C">
        <w:t>tateurs. Le comédien fait la satire de la société haïtienne d’aujourd’hui qui fait face aux dérives nationales – situation que Toussaint Louve</w:t>
      </w:r>
      <w:r w:rsidRPr="00E8358C">
        <w:t>r</w:t>
      </w:r>
      <w:r w:rsidRPr="00E8358C">
        <w:t xml:space="preserve">ture n’aurait jamais acceptée. </w:t>
      </w:r>
    </w:p>
    <w:p w:rsidR="004C50DC" w:rsidRPr="00E8358C" w:rsidRDefault="004C50DC" w:rsidP="004C50DC">
      <w:pPr>
        <w:spacing w:before="120" w:after="120"/>
        <w:jc w:val="both"/>
      </w:pPr>
    </w:p>
    <w:p w:rsidR="004C50DC" w:rsidRPr="00E8358C" w:rsidRDefault="004C50DC" w:rsidP="004C50DC">
      <w:pPr>
        <w:pStyle w:val="planche"/>
      </w:pPr>
      <w:bookmarkStart w:id="448" w:name="_Toc406489730"/>
      <w:bookmarkStart w:id="449" w:name="_Toc442280548"/>
      <w:bookmarkStart w:id="450" w:name="_Toc406489740"/>
      <w:bookmarkStart w:id="451" w:name="Memoire_chap_VI_4"/>
      <w:r>
        <w:t>6.4. Vodou:</w:t>
      </w:r>
      <w:r>
        <w:br/>
      </w:r>
      <w:r w:rsidRPr="00E8358C">
        <w:t>patrimoine religieux de la colonisation</w:t>
      </w:r>
      <w:bookmarkEnd w:id="448"/>
      <w:bookmarkEnd w:id="449"/>
    </w:p>
    <w:bookmarkEnd w:id="451"/>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Face au catholicisme, considéré comme la religion coloniale à Saint-Domingue, les Noirs  esclaves ont développé une contre-religion : le vodou. Celui-ci est une religion, un métissage des él</w:t>
      </w:r>
      <w:r w:rsidRPr="00E8358C">
        <w:t>é</w:t>
      </w:r>
      <w:r w:rsidRPr="00E8358C">
        <w:t>ments culturels et cultuels africains, particulièrement des pays Fon et Yorouba, et des pratiques religieuses catholiques. Les esclaves prat</w:t>
      </w:r>
      <w:r w:rsidRPr="00E8358C">
        <w:t>i</w:t>
      </w:r>
      <w:r w:rsidRPr="00E8358C">
        <w:t>quaient officiellement le christianisme et secrètement le vodou. Après l’Indépendance d’Haïti, les deux religions sont pratiquées indépe</w:t>
      </w:r>
      <w:r w:rsidRPr="00E8358C">
        <w:t>n</w:t>
      </w:r>
      <w:r w:rsidRPr="00E8358C">
        <w:t>damment dans la société haïtienne, mais le vodou est toujours cons</w:t>
      </w:r>
      <w:r w:rsidRPr="00E8358C">
        <w:t>i</w:t>
      </w:r>
      <w:r w:rsidRPr="00E8358C">
        <w:t>déré comme la relig</w:t>
      </w:r>
      <w:r>
        <w:t>ion des paysans, des illettrés.</w:t>
      </w:r>
    </w:p>
    <w:p w:rsidR="004C50DC" w:rsidRPr="00E8358C" w:rsidRDefault="004C50DC" w:rsidP="004C50DC">
      <w:pPr>
        <w:spacing w:before="120" w:after="120"/>
        <w:jc w:val="both"/>
      </w:pPr>
      <w:r>
        <w:t>[341]</w:t>
      </w:r>
    </w:p>
    <w:p w:rsidR="004C50DC" w:rsidRPr="00E8358C" w:rsidRDefault="004C50DC" w:rsidP="004C50DC">
      <w:pPr>
        <w:spacing w:before="120" w:after="120"/>
        <w:jc w:val="both"/>
        <w:rPr>
          <w:lang w:eastAsia="en-CA"/>
        </w:rPr>
      </w:pPr>
      <w:r w:rsidRPr="00E8358C">
        <w:t>Les vodouisants sont exclus de la sphère sociale, politique et rel</w:t>
      </w:r>
      <w:r w:rsidRPr="00E8358C">
        <w:t>i</w:t>
      </w:r>
      <w:r w:rsidRPr="00E8358C">
        <w:t>gieuse. La religion catholique est devenue la religion d’État après la signature du Concordat de 1860</w:t>
      </w:r>
      <w:r>
        <w:t> </w:t>
      </w:r>
      <w:r>
        <w:rPr>
          <w:rStyle w:val="Appelnotedebasdep"/>
        </w:rPr>
        <w:footnoteReference w:id="873"/>
      </w:r>
      <w:r w:rsidRPr="00E8358C">
        <w:t xml:space="preserve">. Les « campagnes </w:t>
      </w:r>
      <w:r w:rsidRPr="00E8358C">
        <w:rPr>
          <w:lang w:eastAsia="en-CA"/>
        </w:rPr>
        <w:t>anti-superstitieuses</w:t>
      </w:r>
      <w:r>
        <w:rPr>
          <w:lang w:eastAsia="en-CA"/>
        </w:rPr>
        <w:t> </w:t>
      </w:r>
      <w:r>
        <w:rPr>
          <w:rStyle w:val="Appelnotedebasdep"/>
          <w:lang w:eastAsia="en-CA"/>
        </w:rPr>
        <w:footnoteReference w:id="874"/>
      </w:r>
      <w:r w:rsidRPr="00E8358C">
        <w:rPr>
          <w:lang w:eastAsia="en-CA"/>
        </w:rPr>
        <w:t> » justifient cette volonté politique et culturelle man</w:t>
      </w:r>
      <w:r w:rsidRPr="00E8358C">
        <w:rPr>
          <w:lang w:eastAsia="en-CA"/>
        </w:rPr>
        <w:t>i</w:t>
      </w:r>
      <w:r w:rsidRPr="00E8358C">
        <w:rPr>
          <w:lang w:eastAsia="en-CA"/>
        </w:rPr>
        <w:t xml:space="preserve">feste. </w:t>
      </w:r>
      <w:r w:rsidRPr="00E8358C">
        <w:t>Quelques articles du catéchisme utilisé par l’Église catholique expriment clairement les idées qui ont conduit à la campagne antis</w:t>
      </w:r>
      <w:r w:rsidRPr="00E8358C">
        <w:t>u</w:t>
      </w:r>
      <w:r w:rsidRPr="00E8358C">
        <w:t xml:space="preserve">perstitieuse : </w:t>
      </w:r>
    </w:p>
    <w:p w:rsidR="004C50DC" w:rsidRDefault="004C50DC" w:rsidP="004C50DC">
      <w:pPr>
        <w:spacing w:before="120" w:after="120"/>
        <w:jc w:val="both"/>
      </w:pPr>
    </w:p>
    <w:p w:rsidR="004C50DC" w:rsidRDefault="004C50DC" w:rsidP="004C50DC">
      <w:pPr>
        <w:pStyle w:val="Citation0"/>
      </w:pPr>
      <w:r w:rsidRPr="00E8358C">
        <w:t>Qui est le principal esclave de Satan ?</w:t>
      </w:r>
    </w:p>
    <w:p w:rsidR="004C50DC" w:rsidRPr="00E8358C" w:rsidRDefault="004C50DC" w:rsidP="004C50DC">
      <w:pPr>
        <w:pStyle w:val="Citation0"/>
      </w:pPr>
      <w:r w:rsidRPr="00E8358C">
        <w:t>-Le principal esclave de Satan, c’est le houngan.</w:t>
      </w:r>
    </w:p>
    <w:p w:rsidR="004C50DC" w:rsidRPr="00E8358C" w:rsidRDefault="004C50DC" w:rsidP="004C50DC">
      <w:pPr>
        <w:pStyle w:val="Citation0"/>
      </w:pPr>
      <w:r w:rsidRPr="00E8358C">
        <w:t>Quel est le nom que les houngans donnent à Satan ?</w:t>
      </w:r>
    </w:p>
    <w:p w:rsidR="004C50DC" w:rsidRPr="00E8358C" w:rsidRDefault="004C50DC" w:rsidP="004C50DC">
      <w:pPr>
        <w:pStyle w:val="Citation0"/>
      </w:pPr>
      <w:r w:rsidRPr="00E8358C">
        <w:t>-Les noms que les houngans donnent à Satan sont loas, anges, saints, morts, marassa.</w:t>
      </w:r>
    </w:p>
    <w:p w:rsidR="004C50DC" w:rsidRPr="00E8358C" w:rsidRDefault="004C50DC" w:rsidP="004C50DC">
      <w:pPr>
        <w:pStyle w:val="Citation0"/>
      </w:pPr>
      <w:r w:rsidRPr="00E8358C">
        <w:t>Pour quelle raison les houngans prennent-ils les noms d’anges, de saints et de morts pour donner à Satan ?</w:t>
      </w:r>
    </w:p>
    <w:p w:rsidR="004C50DC" w:rsidRPr="00E8358C" w:rsidRDefault="004C50DC" w:rsidP="004C50DC">
      <w:pPr>
        <w:pStyle w:val="Citation0"/>
      </w:pPr>
      <w:r w:rsidRPr="00E8358C">
        <w:t>-Les houngans prennent les noms d’anges, de saints, et de morts pour les donner à Satan afin de nous tromper plus facilement</w:t>
      </w:r>
      <w:r>
        <w:t> </w:t>
      </w:r>
      <w:r w:rsidRPr="00E8358C">
        <w:rPr>
          <w:rStyle w:val="Appelnotedebasdep"/>
        </w:rPr>
        <w:footnoteReference w:id="875"/>
      </w:r>
      <w:r w:rsidRPr="00E8358C">
        <w:t>.</w:t>
      </w:r>
    </w:p>
    <w:p w:rsidR="004C50DC" w:rsidRDefault="004C50DC" w:rsidP="004C50DC">
      <w:pPr>
        <w:pStyle w:val="Citation0"/>
        <w:rPr>
          <w:rFonts w:eastAsia="Calibri"/>
        </w:rPr>
      </w:pPr>
    </w:p>
    <w:p w:rsidR="004C50DC" w:rsidRDefault="004C50DC" w:rsidP="004C50DC">
      <w:pPr>
        <w:spacing w:before="120" w:after="120"/>
        <w:jc w:val="both"/>
        <w:rPr>
          <w:rFonts w:eastAsia="Calibri"/>
        </w:rPr>
      </w:pPr>
      <w:r>
        <w:rPr>
          <w:rFonts w:eastAsia="Calibri"/>
        </w:rPr>
        <w:t>[342]</w:t>
      </w:r>
    </w:p>
    <w:p w:rsidR="004C50DC" w:rsidRPr="00E8358C" w:rsidRDefault="004C50DC" w:rsidP="004C50DC">
      <w:pPr>
        <w:spacing w:before="120" w:after="120"/>
        <w:jc w:val="both"/>
        <w:rPr>
          <w:rFonts w:eastAsia="Calibri"/>
        </w:rPr>
      </w:pPr>
      <w:r w:rsidRPr="00E8358C">
        <w:rPr>
          <w:rFonts w:eastAsia="Calibri"/>
        </w:rPr>
        <w:t>Comme le souhaite le père Pascal, cité par Lewis Ampidu Clo</w:t>
      </w:r>
      <w:r w:rsidRPr="00E8358C">
        <w:rPr>
          <w:rFonts w:eastAsia="Calibri"/>
        </w:rPr>
        <w:t>r</w:t>
      </w:r>
      <w:r w:rsidRPr="00E8358C">
        <w:rPr>
          <w:rFonts w:eastAsia="Calibri"/>
        </w:rPr>
        <w:t>méus, il faut « moraliser et civiliser la République haïtienne ». Donc il est urgent « d’abolir les Vaudoux », d’en finir avec les « réunions di</w:t>
      </w:r>
      <w:r w:rsidRPr="00E8358C">
        <w:rPr>
          <w:rFonts w:eastAsia="Calibri"/>
        </w:rPr>
        <w:t>a</w:t>
      </w:r>
      <w:r w:rsidRPr="00E8358C">
        <w:rPr>
          <w:rFonts w:eastAsia="Calibri"/>
        </w:rPr>
        <w:t>boliques » qui nuisent au « progrès de l’Évangile » et « à la tranquill</w:t>
      </w:r>
      <w:r w:rsidRPr="00E8358C">
        <w:rPr>
          <w:rFonts w:eastAsia="Calibri"/>
        </w:rPr>
        <w:t>i</w:t>
      </w:r>
      <w:r w:rsidRPr="00E8358C">
        <w:rPr>
          <w:rFonts w:eastAsia="Calibri"/>
        </w:rPr>
        <w:t>té du pays. C’est là que se trament les conspirations, c’est là que le culte idolâtre est encore en honneur »</w:t>
      </w:r>
      <w:r>
        <w:rPr>
          <w:rFonts w:eastAsia="Calibri"/>
        </w:rPr>
        <w:t> </w:t>
      </w:r>
      <w:r>
        <w:rPr>
          <w:rStyle w:val="Appelnotedebasdep"/>
          <w:rFonts w:eastAsia="Calibri"/>
        </w:rPr>
        <w:footnoteReference w:id="876"/>
      </w:r>
      <w:r w:rsidRPr="00E8358C">
        <w:rPr>
          <w:rFonts w:eastAsia="Calibri"/>
        </w:rPr>
        <w:t>. La fin du vodou entraînera la fin des conspirations. La déclaration du père Pascal montre comment l’Église catholique s’est déterminée à reproduire la stratification col</w:t>
      </w:r>
      <w:r w:rsidRPr="00E8358C">
        <w:rPr>
          <w:rFonts w:eastAsia="Calibri"/>
        </w:rPr>
        <w:t>o</w:t>
      </w:r>
      <w:r w:rsidRPr="00E8358C">
        <w:rPr>
          <w:rFonts w:eastAsia="Calibri"/>
        </w:rPr>
        <w:t>niale dans la société haïtienne même après l’Indépendance. Le reco</w:t>
      </w:r>
      <w:r w:rsidRPr="00E8358C">
        <w:rPr>
          <w:rFonts w:eastAsia="Calibri"/>
        </w:rPr>
        <w:t>u</w:t>
      </w:r>
      <w:r w:rsidRPr="00E8358C">
        <w:rPr>
          <w:rFonts w:eastAsia="Calibri"/>
        </w:rPr>
        <w:t>pement entre l’évangélisation et l’esclavage persiste, comme si les propos du père Dutertre parlant des esclaves étaient encore d’actualité : « leur servitude et est le principe de leur bonheur ; leur disgrâce est cause de leur salut »</w:t>
      </w:r>
      <w:r>
        <w:rPr>
          <w:rFonts w:eastAsia="Calibri"/>
        </w:rPr>
        <w:t> </w:t>
      </w:r>
      <w:r w:rsidRPr="00E8358C">
        <w:rPr>
          <w:rStyle w:val="Appelnotedebasdep"/>
          <w:rFonts w:eastAsia="Calibri"/>
        </w:rPr>
        <w:footnoteReference w:id="877"/>
      </w:r>
      <w:r w:rsidRPr="00E8358C">
        <w:rPr>
          <w:rFonts w:eastAsia="Calibri"/>
        </w:rPr>
        <w:t>. Pour Laënnec Hurbon, une « ère des complicités » s’est créée de 1804 jusqu’à la signature du conco</w:t>
      </w:r>
      <w:r w:rsidRPr="00E8358C">
        <w:rPr>
          <w:rFonts w:eastAsia="Calibri"/>
        </w:rPr>
        <w:t>r</w:t>
      </w:r>
      <w:r w:rsidRPr="00E8358C">
        <w:rPr>
          <w:rFonts w:eastAsia="Calibri"/>
        </w:rPr>
        <w:t>dat en 1860 au préjudice du vodou</w:t>
      </w:r>
      <w:r>
        <w:rPr>
          <w:rFonts w:eastAsia="Calibri"/>
        </w:rPr>
        <w:t> </w:t>
      </w:r>
      <w:r w:rsidRPr="00E8358C">
        <w:rPr>
          <w:rStyle w:val="Appelnotedebasdep"/>
          <w:rFonts w:eastAsia="Calibri"/>
        </w:rPr>
        <w:footnoteReference w:id="878"/>
      </w:r>
      <w:r w:rsidRPr="00E8358C">
        <w:rPr>
          <w:rFonts w:eastAsia="Calibri"/>
        </w:rPr>
        <w:t>. Clorméus, citant Jules Mich</w:t>
      </w:r>
      <w:r w:rsidRPr="00E8358C">
        <w:rPr>
          <w:rFonts w:eastAsia="Calibri"/>
        </w:rPr>
        <w:t>e</w:t>
      </w:r>
      <w:r w:rsidRPr="00E8358C">
        <w:rPr>
          <w:rFonts w:eastAsia="Calibri"/>
        </w:rPr>
        <w:t>let, souligne avec raison que « l’État haïtien et l’Église catholique s’engagent officiellement à combattre toutes les pratiques associées aux superstitions pour rapprocher la nation de l’image de la “France noire”, c’est-à-dire de la population civilisée »</w:t>
      </w:r>
      <w:r>
        <w:rPr>
          <w:rFonts w:eastAsia="Calibri"/>
        </w:rPr>
        <w:t> </w:t>
      </w:r>
      <w:r>
        <w:rPr>
          <w:rStyle w:val="Appelnotedebasdep"/>
          <w:rFonts w:eastAsia="Calibri"/>
        </w:rPr>
        <w:footnoteReference w:id="879"/>
      </w:r>
      <w:r w:rsidRPr="00E8358C">
        <w:rPr>
          <w:rFonts w:eastAsia="Calibri"/>
        </w:rPr>
        <w:t>. Hannibal Price ra</w:t>
      </w:r>
      <w:r w:rsidRPr="00E8358C">
        <w:rPr>
          <w:rFonts w:eastAsia="Calibri"/>
        </w:rPr>
        <w:t>p</w:t>
      </w:r>
      <w:r w:rsidRPr="00E8358C">
        <w:rPr>
          <w:rFonts w:eastAsia="Calibri"/>
        </w:rPr>
        <w:t>pelle qu’entre 1865 et 1867, le gouvernement de Fabre N. Geffrard « faisait saisir et brûler les drapeaux, les tambours, tout le matériel des sociétés, faisant arrêter et emprisonner comme cannibale, comme a</w:t>
      </w:r>
      <w:r w:rsidRPr="00E8358C">
        <w:rPr>
          <w:rFonts w:eastAsia="Calibri"/>
        </w:rPr>
        <w:t>n</w:t>
      </w:r>
      <w:r w:rsidRPr="00E8358C">
        <w:rPr>
          <w:rFonts w:eastAsia="Calibri"/>
        </w:rPr>
        <w:t>thropophage, tout individu réputé à tort ou à raison, papa-loi ou m</w:t>
      </w:r>
      <w:r w:rsidRPr="00E8358C">
        <w:rPr>
          <w:rFonts w:eastAsia="Calibri"/>
        </w:rPr>
        <w:t>a</w:t>
      </w:r>
      <w:r w:rsidRPr="00E8358C">
        <w:rPr>
          <w:rFonts w:eastAsia="Calibri"/>
        </w:rPr>
        <w:t>man-loi »</w:t>
      </w:r>
      <w:r>
        <w:rPr>
          <w:rFonts w:eastAsia="Calibri"/>
        </w:rPr>
        <w:t> </w:t>
      </w:r>
      <w:r>
        <w:rPr>
          <w:rStyle w:val="Appelnotedebasdep"/>
          <w:rFonts w:eastAsia="Calibri"/>
        </w:rPr>
        <w:footnoteReference w:id="880"/>
      </w:r>
      <w:r w:rsidRPr="00E8358C">
        <w:rPr>
          <w:rFonts w:eastAsia="Calibri"/>
        </w:rPr>
        <w:t>.</w:t>
      </w:r>
    </w:p>
    <w:p w:rsidR="004C50DC" w:rsidRPr="00E8358C" w:rsidRDefault="004C50DC" w:rsidP="004C50DC">
      <w:pPr>
        <w:spacing w:before="120" w:after="120"/>
        <w:jc w:val="both"/>
      </w:pPr>
      <w:r w:rsidRPr="00E8358C">
        <w:t>Le vodou se pratiquait clandestinement en Haïti. Il ne sera reconnu et librement pratiqué comme une religion qu’avec la Constitution de 1987</w:t>
      </w:r>
      <w:r>
        <w:t> </w:t>
      </w:r>
      <w:r>
        <w:rPr>
          <w:rStyle w:val="Appelnotedebasdep"/>
        </w:rPr>
        <w:footnoteReference w:id="881"/>
      </w:r>
      <w:r w:rsidRPr="00E8358C">
        <w:t xml:space="preserve"> qui abolit le Décret-loi du 5 septembre 1935 sur les croyances superstitieuses. Un arrêté pris par le président Aristide le</w:t>
      </w:r>
      <w:r>
        <w:t xml:space="preserve"> [343]</w:t>
      </w:r>
      <w:r w:rsidRPr="00E8358C">
        <w:t xml:space="preserve"> 4 avril 2003</w:t>
      </w:r>
      <w:r>
        <w:t> </w:t>
      </w:r>
      <w:r>
        <w:rPr>
          <w:rStyle w:val="Appelnotedebasdep"/>
        </w:rPr>
        <w:footnoteReference w:id="882"/>
      </w:r>
      <w:r>
        <w:t xml:space="preserve"> </w:t>
      </w:r>
      <w:r w:rsidRPr="00E8358C">
        <w:t xml:space="preserve">vient renforcer le statut de la religion vodou. Elle est devenue une religion à part entière pratiquée en Haïti. </w:t>
      </w:r>
    </w:p>
    <w:p w:rsidR="004C50DC" w:rsidRPr="00E8358C" w:rsidRDefault="004C50DC" w:rsidP="004C50DC">
      <w:pPr>
        <w:spacing w:before="120" w:after="120"/>
        <w:jc w:val="both"/>
      </w:pPr>
      <w:r w:rsidRPr="00E8358C">
        <w:t>Toussaint Louverture et ses successeurs, Jean-Jacques Dessalines, Henri Christophe, voire Alexandre Pétion, ont interdit aussi la prat</w:t>
      </w:r>
      <w:r w:rsidRPr="00E8358C">
        <w:t>i</w:t>
      </w:r>
      <w:r w:rsidRPr="00E8358C">
        <w:t>que du vodou considéré comme une secte encourageant l’oisiveté, le vagabondage, le désordre. En effet, dans une ordonnance en date du 4 janvier 1800, Toussaint Louverture, informé des danses et des cér</w:t>
      </w:r>
      <w:r w:rsidRPr="00E8358C">
        <w:t>é</w:t>
      </w:r>
      <w:r w:rsidRPr="00E8358C">
        <w:t>monies qui perturbent la tranquillité publique, écrit :</w:t>
      </w:r>
    </w:p>
    <w:p w:rsidR="004C50DC" w:rsidRDefault="004C50DC" w:rsidP="004C50DC">
      <w:pPr>
        <w:pStyle w:val="Citation0"/>
      </w:pPr>
    </w:p>
    <w:p w:rsidR="004C50DC" w:rsidRDefault="004C50DC" w:rsidP="004C50DC">
      <w:pPr>
        <w:pStyle w:val="Citation0"/>
      </w:pPr>
      <w:r w:rsidRPr="00E8358C">
        <w:t>Instruit que plusieurs personnes mal intentionnées et ennemies de la tra</w:t>
      </w:r>
      <w:r w:rsidRPr="00E8358C">
        <w:t>n</w:t>
      </w:r>
      <w:r w:rsidRPr="00E8358C">
        <w:t>quillité publique, cherchent à détourner de ses travaux agraires le paisible cultivateur, en flattant la passion violente qu’il a pour la danse et partic</w:t>
      </w:r>
      <w:r w:rsidRPr="00E8358C">
        <w:t>u</w:t>
      </w:r>
      <w:r w:rsidRPr="00E8358C">
        <w:t>lièrement pour celle du vodou, pleinement convaincu que les chefs de ces danses n’ont d’autre but que celui de troubler l’ordre et d’altérer de no</w:t>
      </w:r>
      <w:r w:rsidRPr="00E8358C">
        <w:t>u</w:t>
      </w:r>
      <w:r w:rsidRPr="00E8358C">
        <w:t>veau la tranquillité qui commence, après un éclat orageux, à se rétablir dans les villes et dans les campagnes, et de donner aux personnes qui écoutent des principes absolument contra</w:t>
      </w:r>
      <w:r w:rsidRPr="00E8358C">
        <w:t>i</w:t>
      </w:r>
      <w:r w:rsidRPr="00E8358C">
        <w:t>res à ceux que doit professer l’homme ami de son pays, et jaloux du bonheur de ses concitoyens ; vo</w:t>
      </w:r>
      <w:r w:rsidRPr="00E8358C">
        <w:t>u</w:t>
      </w:r>
      <w:r w:rsidRPr="00E8358C">
        <w:t>lant couper racine aux maux incalc</w:t>
      </w:r>
      <w:r w:rsidRPr="00E8358C">
        <w:t>u</w:t>
      </w:r>
      <w:r w:rsidRPr="00E8358C">
        <w:t>lables qu’entraînerait après elle, la propagation d’une doctrine aussi vicieuse, puisqu’elle n’enfante que le d</w:t>
      </w:r>
      <w:r w:rsidRPr="00E8358C">
        <w:t>é</w:t>
      </w:r>
      <w:r w:rsidRPr="00E8358C">
        <w:t>sordre, l’oisiveté ; il ordonne ce qui suit : à dater du jour de la publication de la présente,toutes danses et toutes assemblées nocturnes seront interd</w:t>
      </w:r>
      <w:r w:rsidRPr="00E8358C">
        <w:t>i</w:t>
      </w:r>
      <w:r w:rsidRPr="00E8358C">
        <w:t>tes…</w:t>
      </w:r>
      <w:r>
        <w:t> </w:t>
      </w:r>
      <w:r>
        <w:rPr>
          <w:rStyle w:val="Appelnotedebasdep"/>
        </w:rPr>
        <w:footnoteReference w:id="883"/>
      </w:r>
    </w:p>
    <w:p w:rsidR="004C50DC" w:rsidRPr="00E8358C" w:rsidRDefault="004C50DC" w:rsidP="004C50DC">
      <w:pPr>
        <w:pStyle w:val="Citation0"/>
      </w:pPr>
    </w:p>
    <w:p w:rsidR="004C50DC" w:rsidRPr="00E8358C" w:rsidRDefault="004C50DC" w:rsidP="004C50DC">
      <w:pPr>
        <w:spacing w:before="120" w:after="120"/>
        <w:jc w:val="both"/>
      </w:pPr>
      <w:bookmarkStart w:id="452" w:name="_ftnref"/>
      <w:r w:rsidRPr="00E8358C">
        <w:t>Léon François Hoffmann mentionne qu’« en la matière, l’ordonnance de Toussaint Louverture ne diffère guère, on le voit, de celles des colons ou des envoyés de la Convention »</w:t>
      </w:r>
      <w:r>
        <w:t> </w:t>
      </w:r>
      <w:r>
        <w:rPr>
          <w:rStyle w:val="Appelnotedebasdep"/>
        </w:rPr>
        <w:footnoteReference w:id="884"/>
      </w:r>
      <w:r w:rsidRPr="00E8358C">
        <w:t>.  Dessalines, en tant qu’inspecteur général dans le département de l’Ouest, avait pris des dispositions aussi sévères que celles de Toussaint pour inte</w:t>
      </w:r>
      <w:r w:rsidRPr="00E8358C">
        <w:t>r</w:t>
      </w:r>
      <w:r w:rsidRPr="00E8358C">
        <w:t>dire la pratique du vodou. Si nous lisons ce que nous rapporte Thomas M</w:t>
      </w:r>
      <w:r w:rsidRPr="00E8358C">
        <w:t>a</w:t>
      </w:r>
      <w:r w:rsidRPr="00E8358C">
        <w:t>diou, Dessalines</w:t>
      </w:r>
    </w:p>
    <w:p w:rsidR="004C50DC" w:rsidRDefault="004C50DC" w:rsidP="004C50DC">
      <w:pPr>
        <w:pStyle w:val="Citation0"/>
      </w:pPr>
    </w:p>
    <w:p w:rsidR="004C50DC" w:rsidRDefault="004C50DC" w:rsidP="004C50DC">
      <w:pPr>
        <w:pStyle w:val="Citation0"/>
      </w:pPr>
      <w:r w:rsidRPr="00E8358C">
        <w:t>poursuivait avec acharnement toutes les sociétés secrètes dans le</w:t>
      </w:r>
      <w:r w:rsidRPr="00E8358C">
        <w:t>s</w:t>
      </w:r>
      <w:r w:rsidRPr="00E8358C">
        <w:t>quelles on mettait en pratique les superstitions africaines. On lui ra</w:t>
      </w:r>
      <w:r w:rsidRPr="00E8358C">
        <w:t>p</w:t>
      </w:r>
      <w:r w:rsidRPr="00E8358C">
        <w:t>porta que beaucoup de ces sorciers nommés Vodou se réunissaient dans la plaine du Cul-de-sac ; qu’à la tête de cette bande était une vieille femme noire, et qu’un grand nombre de cultivateurs abando</w:t>
      </w:r>
      <w:r w:rsidRPr="00E8358C">
        <w:t>n</w:t>
      </w:r>
      <w:r w:rsidRPr="00E8358C">
        <w:t>naient les champs pour se rendre à l’endroit où se faisaient les sorce</w:t>
      </w:r>
      <w:r w:rsidRPr="00E8358C">
        <w:t>l</w:t>
      </w:r>
      <w:r w:rsidRPr="00E8358C">
        <w:t>leries. Il vint avec un bataillon de la 8</w:t>
      </w:r>
      <w:r w:rsidRPr="00E8358C">
        <w:rPr>
          <w:vertAlign w:val="superscript"/>
        </w:rPr>
        <w:t>e</w:t>
      </w:r>
      <w:r w:rsidRPr="00E8358C">
        <w:t xml:space="preserve"> [demi-brigade] dans la plaine du Cul-de-sac, cerna le</w:t>
      </w:r>
      <w:r>
        <w:t xml:space="preserve"> [344]</w:t>
      </w:r>
      <w:r w:rsidRPr="00E8358C">
        <w:t xml:space="preserve"> lieu où se trouvaient réunis les Vaudoux, fit faire feu sur la case, les dispersa et en prit cinquante qu’il tua à coups de baïonnettes</w:t>
      </w:r>
      <w:r>
        <w:t> </w:t>
      </w:r>
      <w:r>
        <w:rPr>
          <w:rStyle w:val="Appelnotedebasdep"/>
        </w:rPr>
        <w:footnoteReference w:id="885"/>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À part ce fait regrettable rapporté par Thomas Madiou, comme l’a souligné aussi Léon François Hoffmann, aucun document ne prouve jusqu’à ce jour que Dessalines devenu empereur avait persécuté les vodouisants. Les gouvernements qui se sont succédé après l’Indépendance n’allaient pas afficher des positions contraires à celles de leurs prédécesseurs. Selon Hénock Trouillot,</w:t>
      </w:r>
    </w:p>
    <w:p w:rsidR="004C50DC" w:rsidRDefault="004C50DC" w:rsidP="004C50DC">
      <w:pPr>
        <w:pStyle w:val="Citation0"/>
      </w:pPr>
    </w:p>
    <w:p w:rsidR="004C50DC" w:rsidRDefault="004C50DC" w:rsidP="004C50DC">
      <w:pPr>
        <w:pStyle w:val="Citation0"/>
      </w:pPr>
      <w:r w:rsidRPr="00E8358C">
        <w:t>Christophe attirait, à la fin de 1805 [...] l’attention du général de division Capois sur des danses de vodou organisées [...] dans le nord-ouest d’Haïti. Il lui demandait d’empêcher une danse si préjudiciable à la tranquillité. Il serait nécessaire, non seulement d’empêcher cette danse, qui a toujours été défendue par tous les gouvernements, mais d’en arrêter les organis</w:t>
      </w:r>
      <w:r w:rsidRPr="00E8358C">
        <w:t>a</w:t>
      </w:r>
      <w:r w:rsidRPr="00E8358C">
        <w:t>teurs</w:t>
      </w:r>
      <w:r>
        <w:t> </w:t>
      </w:r>
      <w:r>
        <w:rPr>
          <w:rStyle w:val="Appelnotedebasdep"/>
        </w:rPr>
        <w:footnoteReference w:id="886"/>
      </w:r>
      <w:r w:rsidRPr="00E8358C">
        <w:t>.</w:t>
      </w:r>
    </w:p>
    <w:p w:rsidR="004C50DC" w:rsidRPr="00E8358C" w:rsidRDefault="004C50DC" w:rsidP="004C50DC">
      <w:pPr>
        <w:pStyle w:val="Citation0"/>
      </w:pPr>
    </w:p>
    <w:p w:rsidR="004C50DC" w:rsidRDefault="004C50DC" w:rsidP="004C50DC">
      <w:pPr>
        <w:spacing w:before="120" w:after="120"/>
        <w:jc w:val="both"/>
      </w:pPr>
      <w:r w:rsidRPr="00E8358C">
        <w:t>Même Alexandre Pétion, reconnu pour être le président haïtien le plus libéral du début du XIX</w:t>
      </w:r>
      <w:r w:rsidRPr="00E8358C">
        <w:rPr>
          <w:vertAlign w:val="superscript"/>
        </w:rPr>
        <w:t xml:space="preserve">e </w:t>
      </w:r>
      <w:r w:rsidRPr="00E8358C">
        <w:t>siècle, a interdit également par procl</w:t>
      </w:r>
      <w:r w:rsidRPr="00E8358C">
        <w:t>a</w:t>
      </w:r>
      <w:r w:rsidRPr="00E8358C">
        <w:t>mation du 3 février 1814 la pratique du vodou. Et</w:t>
      </w:r>
    </w:p>
    <w:p w:rsidR="004C50DC" w:rsidRPr="00E8358C" w:rsidRDefault="004C50DC" w:rsidP="004C50DC">
      <w:pPr>
        <w:spacing w:before="120" w:after="120"/>
        <w:jc w:val="both"/>
      </w:pPr>
    </w:p>
    <w:p w:rsidR="004C50DC" w:rsidRPr="00E8358C" w:rsidRDefault="004C50DC" w:rsidP="004C50DC">
      <w:pPr>
        <w:pStyle w:val="Citation0"/>
      </w:pPr>
      <w:r w:rsidRPr="00E8358C">
        <w:t>toutes corporations de danses, sous telles dénominations qu’elles puissent être, ou associations dont il résulte un esprit de corps et une hiérarchie de places dans leurs dénominations</w:t>
      </w:r>
      <w:r>
        <w:t> </w:t>
      </w:r>
      <w:r>
        <w:rPr>
          <w:rStyle w:val="Appelnotedebasdep"/>
        </w:rPr>
        <w:footnoteReference w:id="887"/>
      </w:r>
      <w:r w:rsidRPr="00E8358C">
        <w:t>.</w:t>
      </w:r>
    </w:p>
    <w:bookmarkEnd w:id="452"/>
    <w:p w:rsidR="004C50DC" w:rsidRPr="00E8358C" w:rsidRDefault="004C50DC" w:rsidP="004C50DC">
      <w:pPr>
        <w:pStyle w:val="Citation0"/>
      </w:pPr>
    </w:p>
    <w:p w:rsidR="004C50DC" w:rsidRPr="00E8358C" w:rsidRDefault="004C50DC" w:rsidP="004C50DC">
      <w:pPr>
        <w:spacing w:before="120" w:after="120"/>
        <w:jc w:val="both"/>
      </w:pPr>
      <w:r w:rsidRPr="00E8358C">
        <w:t>Nous constatons que les nouveaux dirigeants ne voulaient plus a</w:t>
      </w:r>
      <w:r w:rsidRPr="00E8358C">
        <w:t>s</w:t>
      </w:r>
      <w:r w:rsidRPr="00E8358C">
        <w:t>sumer l’apport du vodou dans la guerre de l’Indépendance haïtienne et désiraient s’en débarrasser pour faire place au catholicisme qui était leur religion, c’est-à-dire celle des élites militaires et des anciens l</w:t>
      </w:r>
      <w:r w:rsidRPr="00E8358C">
        <w:t>i</w:t>
      </w:r>
      <w:r w:rsidRPr="00E8358C">
        <w:t>bres. La religion catholique leur confère un certain prestige aux yeux de la masse. Les élites dirigeantes ne pouvaient plus s’identifier aux pratiques cultuelles du vodou jugées trop hérétiques, donc le vodou fut traîné dans la boue. Il fallait l’oublier. On peut alors comprendre les objectifs aussi inavoués des campagnes contre le vodou et les m</w:t>
      </w:r>
      <w:r w:rsidRPr="00E8358C">
        <w:t>o</w:t>
      </w:r>
      <w:r w:rsidRPr="00E8358C">
        <w:t>biles des persécutions, notamment au sein de la communauté chr</w:t>
      </w:r>
      <w:r w:rsidRPr="00E8358C">
        <w:t>é</w:t>
      </w:r>
      <w:r w:rsidRPr="00E8358C">
        <w:t>tienne, contre les vodouisants depuis le XIX</w:t>
      </w:r>
      <w:r w:rsidRPr="00E8358C">
        <w:rPr>
          <w:vertAlign w:val="superscript"/>
        </w:rPr>
        <w:t xml:space="preserve">e </w:t>
      </w:r>
      <w:r w:rsidRPr="00E8358C">
        <w:t xml:space="preserve">siècle. </w:t>
      </w:r>
    </w:p>
    <w:p w:rsidR="004C50DC" w:rsidRPr="00E8358C" w:rsidRDefault="004C50DC" w:rsidP="004C50DC">
      <w:pPr>
        <w:spacing w:before="120" w:after="120"/>
        <w:jc w:val="both"/>
        <w:rPr>
          <w:iCs/>
        </w:rPr>
      </w:pPr>
      <w:r w:rsidRPr="00E8358C">
        <w:t>Ne peut-on pas qualifier de marronnage religieux les attitudes des premiers dirigeants</w:t>
      </w:r>
      <w:r>
        <w:t xml:space="preserve"> [345]</w:t>
      </w:r>
      <w:r w:rsidRPr="00E8358C">
        <w:t xml:space="preserve"> haïtiens ? Ils avaient utilisé le vodou pour rallier la masse des esclaves à la cause de l’indépendance. Justement, le vodou avait contribué à transformer la résistance individuelle en une prise de conscience collective contre l’esclavage dans la colonie de Saint-Domingue</w:t>
      </w:r>
      <w:r>
        <w:t> </w:t>
      </w:r>
      <w:r w:rsidRPr="00E8358C">
        <w:rPr>
          <w:rStyle w:val="Appelnotedebasdep"/>
        </w:rPr>
        <w:footnoteReference w:id="888"/>
      </w:r>
      <w:r w:rsidRPr="00E8358C">
        <w:t>. Lors de la cérémonie initiatrice de la nuit du 14-15 août 1791 au Bois-Caïman, Boukman, le prêtre vodou, a su galv</w:t>
      </w:r>
      <w:r w:rsidRPr="00E8358C">
        <w:t>a</w:t>
      </w:r>
      <w:r w:rsidRPr="00E8358C">
        <w:t>niser tous les groupes (esclaves, affranchis) pour se défaire définit</w:t>
      </w:r>
      <w:r w:rsidRPr="00E8358C">
        <w:t>i</w:t>
      </w:r>
      <w:r w:rsidRPr="00E8358C">
        <w:t>vement des chaînes esclavagistes et créer une nation indépendante. Le vodou fut l’un des piliers de cette création. Laënnec Hurbon</w:t>
      </w:r>
      <w:r w:rsidRPr="00E8358C">
        <w:rPr>
          <w:iCs/>
        </w:rPr>
        <w:t xml:space="preserve"> montre comment le vodou a été déterminant pour les esclaves dans la quête de récupération de leur « caractère humanitaire » dans l’enfer plantatio</w:t>
      </w:r>
      <w:r w:rsidRPr="00E8358C">
        <w:rPr>
          <w:iCs/>
        </w:rPr>
        <w:t>n</w:t>
      </w:r>
      <w:r w:rsidRPr="00E8358C">
        <w:rPr>
          <w:iCs/>
        </w:rPr>
        <w:t>naire de Saint-Domingue. Aussi estime-t-il que « le vodou haïtien est l’une des religions afro-américaines qui renvoient à une créativité culturelle manifestée au cœur du système esclavagiste et témoin d’un refus absolu du statut d’esclave »</w:t>
      </w:r>
      <w:r>
        <w:rPr>
          <w:iCs/>
        </w:rPr>
        <w:t> </w:t>
      </w:r>
      <w:r>
        <w:rPr>
          <w:rStyle w:val="Appelnotedebasdep"/>
          <w:iCs/>
        </w:rPr>
        <w:footnoteReference w:id="889"/>
      </w:r>
      <w:r w:rsidRPr="00E8358C">
        <w:rPr>
          <w:iCs/>
        </w:rPr>
        <w:t xml:space="preserve">. </w:t>
      </w:r>
    </w:p>
    <w:p w:rsidR="004C50DC" w:rsidRPr="00E8358C" w:rsidRDefault="004C50DC" w:rsidP="004C50DC">
      <w:pPr>
        <w:spacing w:before="120" w:after="120"/>
        <w:jc w:val="both"/>
      </w:pPr>
      <w:r w:rsidRPr="00E8358C">
        <w:t>Le comportement même de la population haïtienne face au vodou résulte des choix politiques remontant au début de la création de la République et qui ont privilégié la religion catholique romaine. Le syncrétisme qui règne entre le vodou et le catholicisme existe encore dans la société haïtienne. Il donne plus de poids à l’argument que le catholicisme et le vodou doivent être vus et pratiqués comme deux religions issues de la colonisation. Cesont deux patrimoines religieux qui doivent cohabiter pour libérer les mentalités et réunir les fidèles divisés. Il ne faut pas oublier que la société haïtienne, depuis le XX</w:t>
      </w:r>
      <w:r w:rsidRPr="00E8358C">
        <w:rPr>
          <w:vertAlign w:val="superscript"/>
        </w:rPr>
        <w:t xml:space="preserve">e </w:t>
      </w:r>
      <w:r w:rsidRPr="00E8358C">
        <w:t>siècle, est devenue une mosaïque religieuse. Cette coexistence est le signe que les citoyens haïtiens cherchent toujours une explication d</w:t>
      </w:r>
      <w:r w:rsidRPr="00E8358C">
        <w:t>i</w:t>
      </w:r>
      <w:r w:rsidRPr="00E8358C">
        <w:t xml:space="preserve">vine aux situations difficiles. </w:t>
      </w:r>
    </w:p>
    <w:p w:rsidR="004C50DC" w:rsidRPr="00E8358C" w:rsidRDefault="004C50DC" w:rsidP="004C50DC">
      <w:pPr>
        <w:spacing w:before="120" w:after="120"/>
        <w:jc w:val="both"/>
      </w:pPr>
      <w:r w:rsidRPr="00E8358C">
        <w:t>Le vodou doit être perçu comme un élément de la diversité cult</w:t>
      </w:r>
      <w:r w:rsidRPr="00E8358C">
        <w:t>u</w:t>
      </w:r>
      <w:r w:rsidRPr="00E8358C">
        <w:t xml:space="preserve">relle haïtienne. Il est une culture qui renforce, d’une part, les liens au sein des membres de la famille haïtienne, et d’autre part les relations qu’ils entretiennent avec les forces de l’univers et avec Dieu. </w:t>
      </w:r>
      <w:r>
        <w:t xml:space="preserve">[346] </w:t>
      </w:r>
      <w:r w:rsidRPr="00E8358C">
        <w:t xml:space="preserve">Dans cette religion, « Dieu » se divise en forces appelées </w:t>
      </w:r>
      <w:r w:rsidRPr="00E8358C">
        <w:rPr>
          <w:i/>
        </w:rPr>
        <w:t>Lwa</w:t>
      </w:r>
      <w:r w:rsidRPr="00E8358C">
        <w:t xml:space="preserve"> qui peuvent être le soleil, la lune, une étoile, une planète, la mer, la terre, un aïeul… Jean Price-Mars explique ainsi le mysticisme de la religion vodou : « Les noirs d’Afrique ne rendent pas hommage à des objets matériels. Ils vénérèrent l’esprit qu’ils croient incarné dans certaines formes de la matière et particulièrement dans les grandes forces co</w:t>
      </w:r>
      <w:r w:rsidRPr="00E8358C">
        <w:t>s</w:t>
      </w:r>
      <w:r w:rsidRPr="00E8358C">
        <w:t>miques : la Mer, la Terre, les Fleuves, la Forêt »</w:t>
      </w:r>
      <w:r>
        <w:t> </w:t>
      </w:r>
      <w:r>
        <w:rPr>
          <w:rStyle w:val="Appelnotedebasdep"/>
        </w:rPr>
        <w:footnoteReference w:id="890"/>
      </w:r>
      <w:r w:rsidRPr="00E8358C">
        <w:t>. Les relations entre les humains sont également privilégiées dans le vodou. Le « vivre e</w:t>
      </w:r>
      <w:r w:rsidRPr="00E8358C">
        <w:t>n</w:t>
      </w:r>
      <w:r w:rsidRPr="00E8358C">
        <w:t xml:space="preserve">semble » est très recommandé dans cette religion. </w:t>
      </w:r>
    </w:p>
    <w:p w:rsidR="004C50DC" w:rsidRPr="00E8358C" w:rsidRDefault="004C50DC" w:rsidP="004C50DC">
      <w:pPr>
        <w:spacing w:before="120" w:after="120"/>
        <w:jc w:val="both"/>
      </w:pPr>
      <w:r w:rsidRPr="00E8358C">
        <w:t>Quelle est l’origine du vodou haïtien en dehors de la littérature écrite ? Peut-on le considérer comme un élément du patrimoine imm</w:t>
      </w:r>
      <w:r w:rsidRPr="00E8358C">
        <w:t>a</w:t>
      </w:r>
      <w:r w:rsidRPr="00E8358C">
        <w:t>tériel marqué du sceau mémoriel de l’esclavage en Haïti ? Max Bea</w:t>
      </w:r>
      <w:r w:rsidRPr="00E8358C">
        <w:t>u</w:t>
      </w:r>
      <w:r w:rsidRPr="00E8358C">
        <w:t>voir, « l’Ati »</w:t>
      </w:r>
      <w:r>
        <w:t> </w:t>
      </w:r>
      <w:r w:rsidRPr="00E8358C">
        <w:rPr>
          <w:rStyle w:val="Appelnotedebasdep"/>
        </w:rPr>
        <w:footnoteReference w:id="891"/>
      </w:r>
      <w:r w:rsidRPr="00E8358C">
        <w:t xml:space="preserve"> national que nous avons rencontré, le 21 juillet 2014 à Mariani répond en ces termes :</w:t>
      </w:r>
    </w:p>
    <w:p w:rsidR="004C50DC" w:rsidRDefault="004C50DC" w:rsidP="004C50DC">
      <w:pPr>
        <w:pStyle w:val="Citation0i"/>
      </w:pPr>
    </w:p>
    <w:p w:rsidR="004C50DC" w:rsidRPr="00E8358C" w:rsidRDefault="004C50DC" w:rsidP="004C50DC">
      <w:pPr>
        <w:pStyle w:val="Citation0i"/>
      </w:pPr>
      <w:r w:rsidRPr="00E8358C">
        <w:t>Gen moun ki ka di li fèt nan koloni Sendomeng lan, k ap vin Ayiti. Lè e</w:t>
      </w:r>
      <w:r w:rsidRPr="00E8358C">
        <w:t>s</w:t>
      </w:r>
      <w:r w:rsidRPr="00E8358C">
        <w:t>klav yo te vini yo te kreye l nan met tèt ansanm, nan volonte pou gen yon kilti pou yo tout. Se yon repons. Men gen lòt moun tou ki ka di w esklav yo te vini Sendomeng ak yon konesans yo te genyen depi nan Lafrik. Men an reyalite nesans li komanse avèk krèyasyon mond lan. Kote w chita ou ka pa sonje lè ou reyalize nan sa yo rele memwa jen</w:t>
      </w:r>
      <w:r w:rsidRPr="00E8358C">
        <w:t>e</w:t>
      </w:r>
      <w:r w:rsidRPr="00E8358C">
        <w:t>tik la, nan chak selil kò w ou ka wè koman lemond te kreye malgre ou la avè m an 2014. Paske nou gen yon patrimwan jenetik ki lye ak r</w:t>
      </w:r>
      <w:r w:rsidRPr="00E8358C">
        <w:t>a</w:t>
      </w:r>
      <w:r w:rsidRPr="00E8358C">
        <w:t>sin nou, Ayisyen.</w:t>
      </w:r>
    </w:p>
    <w:p w:rsidR="004C50DC" w:rsidRPr="00E8358C" w:rsidRDefault="004C50DC" w:rsidP="004C50DC">
      <w:pPr>
        <w:pStyle w:val="Citation0"/>
      </w:pPr>
      <w:r w:rsidRPr="00E8358C">
        <w:t>[Sur l’origine de la religion vodou en Haïti, certaines personnes pensent qu’elle est née dans la colonie de Saint-Domingue. Les escl</w:t>
      </w:r>
      <w:r w:rsidRPr="00E8358C">
        <w:t>a</w:t>
      </w:r>
      <w:r w:rsidRPr="00E8358C">
        <w:t>ves l’ont créée en voulant s’unir et se construire une culture commune.D’autres pe</w:t>
      </w:r>
      <w:r w:rsidRPr="00E8358C">
        <w:t>r</w:t>
      </w:r>
      <w:r w:rsidRPr="00E8358C">
        <w:t>sonnes croient que les esclaves déportés dans la col</w:t>
      </w:r>
      <w:r w:rsidRPr="00E8358C">
        <w:t>o</w:t>
      </w:r>
      <w:r w:rsidRPr="00E8358C">
        <w:t>nie de Saint-Domingue transportaient avec eux une somme de connaissances acquises en Afrique. En réalité, le vodou est né à la création du monde. On peut l’expliquer à partir de notre patrimoine génétique bien qu’on soit en 2014. Ce patrimoine est lié à nos racines, en tant qu’Haïtiens.]</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Default="004C50DC" w:rsidP="004C50DC">
      <w:pPr>
        <w:spacing w:before="120" w:after="120"/>
        <w:jc w:val="both"/>
        <w:rPr>
          <w:iCs/>
        </w:rPr>
      </w:pPr>
      <w:r w:rsidRPr="00E8358C">
        <w:t>Selon le chef suprême, le vodou est la résultante de la construction d’un faisceau culturel et d’une volonté de la mise en commun des s</w:t>
      </w:r>
      <w:r w:rsidRPr="00E8358C">
        <w:t>a</w:t>
      </w:r>
      <w:r w:rsidRPr="00E8358C">
        <w:t xml:space="preserve">voirs des esclaves africains. Le regroupement des fidèles vodouisants au sein des </w:t>
      </w:r>
      <w:r w:rsidRPr="00E8358C">
        <w:rPr>
          <w:i/>
        </w:rPr>
        <w:t>lakou</w:t>
      </w:r>
      <w:r w:rsidRPr="00E8358C">
        <w:t xml:space="preserve"> (habitations) qui abritent souvent des familles éte</w:t>
      </w:r>
      <w:r w:rsidRPr="00E8358C">
        <w:t>n</w:t>
      </w:r>
      <w:r w:rsidRPr="00E8358C">
        <w:t xml:space="preserve">dues, rappelle le mode d’occupation de l’espace par les familles en Afrique et durant la colonisation esclavagiste. </w:t>
      </w:r>
      <w:r w:rsidRPr="00E8358C">
        <w:rPr>
          <w:iCs/>
        </w:rPr>
        <w:t>À travers de nombre</w:t>
      </w:r>
      <w:r w:rsidRPr="00E8358C">
        <w:rPr>
          <w:iCs/>
        </w:rPr>
        <w:t>u</w:t>
      </w:r>
      <w:r w:rsidRPr="00E8358C">
        <w:rPr>
          <w:iCs/>
        </w:rPr>
        <w:t xml:space="preserve">ses chansons très imagées, les vodouisants retracent un peu l’histoire de l’esclavage dans la colonie de Saint-Domingue et les </w:t>
      </w:r>
      <w:r>
        <w:rPr>
          <w:iCs/>
        </w:rPr>
        <w:t xml:space="preserve">[347] </w:t>
      </w:r>
      <w:r w:rsidRPr="00E8358C">
        <w:rPr>
          <w:iCs/>
        </w:rPr>
        <w:t>situ</w:t>
      </w:r>
      <w:r w:rsidRPr="00E8358C">
        <w:rPr>
          <w:iCs/>
        </w:rPr>
        <w:t>a</w:t>
      </w:r>
      <w:r w:rsidRPr="00E8358C">
        <w:rPr>
          <w:iCs/>
        </w:rPr>
        <w:t>tions macabres des esclaves africains. Ils espèrent un jour retourner en Afrique, ce qu’ils expriment par ce chant :</w:t>
      </w:r>
    </w:p>
    <w:p w:rsidR="004C50DC" w:rsidRPr="00E8358C" w:rsidRDefault="004C50DC" w:rsidP="004C50DC">
      <w:pPr>
        <w:spacing w:before="120" w:after="120"/>
        <w:jc w:val="both"/>
        <w:rPr>
          <w:iCs/>
        </w:rPr>
      </w:pPr>
      <w:r>
        <w:rPr>
          <w:iCs/>
        </w:rPr>
        <w:br w:type="page"/>
      </w:r>
    </w:p>
    <w:p w:rsidR="004C50DC" w:rsidRPr="00AB49ED" w:rsidRDefault="004C50DC" w:rsidP="004C50DC">
      <w:pPr>
        <w:pStyle w:val="parolesi"/>
      </w:pPr>
      <w:bookmarkStart w:id="453" w:name="_Toc406486105"/>
      <w:bookmarkStart w:id="454" w:name="_Toc406489731"/>
      <w:bookmarkStart w:id="455" w:name="_Toc421022318"/>
      <w:bookmarkStart w:id="456" w:name="_Toc423347369"/>
      <w:bookmarkStart w:id="457" w:name="_Toc423348302"/>
      <w:bookmarkStart w:id="458" w:name="_Toc442280549"/>
      <w:r w:rsidRPr="00AB49ED">
        <w:t>Ahiboo ayibobo</w:t>
      </w:r>
      <w:bookmarkEnd w:id="453"/>
      <w:bookmarkEnd w:id="454"/>
      <w:bookmarkEnd w:id="455"/>
      <w:bookmarkEnd w:id="456"/>
      <w:bookmarkEnd w:id="457"/>
      <w:bookmarkEnd w:id="458"/>
    </w:p>
    <w:p w:rsidR="004C50DC" w:rsidRPr="00AB49ED" w:rsidRDefault="004C50DC" w:rsidP="004C50DC">
      <w:pPr>
        <w:pStyle w:val="parolesi"/>
      </w:pPr>
      <w:r w:rsidRPr="00AB49ED">
        <w:t>Yo voye rele mwen nan peyi sa</w:t>
      </w:r>
    </w:p>
    <w:p w:rsidR="004C50DC" w:rsidRPr="00AB49ED" w:rsidRDefault="004C50DC" w:rsidP="004C50DC">
      <w:pPr>
        <w:pStyle w:val="parolesi"/>
      </w:pPr>
      <w:r w:rsidRPr="00AB49ED">
        <w:t>Si langinen pa te lwen konsa…</w:t>
      </w:r>
    </w:p>
    <w:p w:rsidR="004C50DC" w:rsidRPr="00AB49ED" w:rsidRDefault="004C50DC" w:rsidP="004C50DC">
      <w:pPr>
        <w:pStyle w:val="parolesi"/>
      </w:pPr>
      <w:r w:rsidRPr="00AB49ED">
        <w:t>M pa bèf o, yo voye m labatwa</w:t>
      </w:r>
    </w:p>
    <w:p w:rsidR="004C50DC" w:rsidRPr="00AB49ED" w:rsidRDefault="004C50DC" w:rsidP="004C50DC">
      <w:pPr>
        <w:pStyle w:val="parolesi"/>
      </w:pPr>
      <w:r w:rsidRPr="00AB49ED">
        <w:t>Yo di ya touye mwen</w:t>
      </w:r>
      <w:r>
        <w:rPr>
          <w:i w:val="0"/>
        </w:rPr>
        <w:t> </w:t>
      </w:r>
      <w:r>
        <w:rPr>
          <w:rStyle w:val="Appelnotedebasdep"/>
          <w:i w:val="0"/>
        </w:rPr>
        <w:footnoteReference w:id="892"/>
      </w:r>
      <w:r w:rsidRPr="00AB49ED">
        <w:t>.</w:t>
      </w:r>
    </w:p>
    <w:p w:rsidR="004C50DC" w:rsidRDefault="004C50DC" w:rsidP="004C50DC">
      <w:pPr>
        <w:jc w:val="center"/>
        <w:rPr>
          <w:szCs w:val="22"/>
        </w:rPr>
      </w:pPr>
      <w:bookmarkStart w:id="459" w:name="_Toc406486106"/>
      <w:bookmarkStart w:id="460" w:name="_Toc406489732"/>
      <w:bookmarkStart w:id="461" w:name="_Toc421022319"/>
      <w:bookmarkStart w:id="462" w:name="_Toc423347370"/>
      <w:bookmarkStart w:id="463" w:name="_Toc423348303"/>
      <w:bookmarkStart w:id="464" w:name="_Toc442280550"/>
    </w:p>
    <w:p w:rsidR="004C50DC" w:rsidRPr="00AB49ED" w:rsidRDefault="004C50DC" w:rsidP="004C50DC">
      <w:pPr>
        <w:pStyle w:val="paroles"/>
      </w:pPr>
      <w:r w:rsidRPr="00AB49ED">
        <w:t>[Ahiboo ayibobo</w:t>
      </w:r>
      <w:bookmarkEnd w:id="459"/>
      <w:bookmarkEnd w:id="460"/>
      <w:bookmarkEnd w:id="461"/>
      <w:bookmarkEnd w:id="462"/>
      <w:bookmarkEnd w:id="463"/>
      <w:bookmarkEnd w:id="464"/>
    </w:p>
    <w:p w:rsidR="004C50DC" w:rsidRPr="00AB49ED" w:rsidRDefault="004C50DC" w:rsidP="004C50DC">
      <w:pPr>
        <w:pStyle w:val="paroles"/>
      </w:pPr>
      <w:bookmarkStart w:id="465" w:name="_Toc406486107"/>
      <w:bookmarkStart w:id="466" w:name="_Toc406489733"/>
      <w:bookmarkStart w:id="467" w:name="_Toc421022320"/>
      <w:bookmarkStart w:id="468" w:name="_Toc423347371"/>
      <w:bookmarkStart w:id="469" w:name="_Toc423348304"/>
      <w:bookmarkStart w:id="470" w:name="_Toc442280551"/>
      <w:r w:rsidRPr="00AB49ED">
        <w:t>J’ai été conduit dans ce pays</w:t>
      </w:r>
      <w:bookmarkEnd w:id="465"/>
      <w:bookmarkEnd w:id="466"/>
      <w:bookmarkEnd w:id="467"/>
      <w:bookmarkEnd w:id="468"/>
      <w:bookmarkEnd w:id="469"/>
      <w:bookmarkEnd w:id="470"/>
    </w:p>
    <w:p w:rsidR="004C50DC" w:rsidRPr="00AB49ED" w:rsidRDefault="004C50DC" w:rsidP="004C50DC">
      <w:pPr>
        <w:pStyle w:val="paroles"/>
      </w:pPr>
      <w:bookmarkStart w:id="471" w:name="_Toc406486108"/>
      <w:bookmarkStart w:id="472" w:name="_Toc406489734"/>
      <w:bookmarkStart w:id="473" w:name="_Toc421022321"/>
      <w:bookmarkStart w:id="474" w:name="_Toc423347372"/>
      <w:bookmarkStart w:id="475" w:name="_Toc423348305"/>
      <w:bookmarkStart w:id="476" w:name="_Toc442280552"/>
      <w:r w:rsidRPr="00AB49ED">
        <w:t>Si la Guinée n’était pas si éloignée…</w:t>
      </w:r>
      <w:bookmarkEnd w:id="471"/>
      <w:bookmarkEnd w:id="472"/>
      <w:bookmarkEnd w:id="473"/>
      <w:bookmarkEnd w:id="474"/>
      <w:bookmarkEnd w:id="475"/>
      <w:bookmarkEnd w:id="476"/>
    </w:p>
    <w:p w:rsidR="004C50DC" w:rsidRPr="00AB49ED" w:rsidRDefault="004C50DC" w:rsidP="004C50DC">
      <w:pPr>
        <w:pStyle w:val="paroles"/>
      </w:pPr>
      <w:bookmarkStart w:id="477" w:name="_Toc406486109"/>
      <w:bookmarkStart w:id="478" w:name="_Toc406489735"/>
      <w:bookmarkStart w:id="479" w:name="_Toc421022322"/>
      <w:bookmarkStart w:id="480" w:name="_Toc423347373"/>
      <w:bookmarkStart w:id="481" w:name="_Toc423348306"/>
      <w:bookmarkStart w:id="482" w:name="_Toc442280553"/>
      <w:r w:rsidRPr="00AB49ED">
        <w:t>Je ne suis pas un bœuf,</w:t>
      </w:r>
      <w:bookmarkEnd w:id="477"/>
      <w:bookmarkEnd w:id="478"/>
      <w:bookmarkEnd w:id="479"/>
      <w:bookmarkEnd w:id="480"/>
      <w:bookmarkEnd w:id="481"/>
      <w:bookmarkEnd w:id="482"/>
    </w:p>
    <w:p w:rsidR="004C50DC" w:rsidRPr="00AB49ED" w:rsidRDefault="004C50DC" w:rsidP="004C50DC">
      <w:pPr>
        <w:pStyle w:val="paroles"/>
      </w:pPr>
      <w:bookmarkStart w:id="483" w:name="_Toc406486110"/>
      <w:bookmarkStart w:id="484" w:name="_Toc406489736"/>
      <w:bookmarkStart w:id="485" w:name="_Toc421022323"/>
      <w:bookmarkStart w:id="486" w:name="_Toc423347374"/>
      <w:bookmarkStart w:id="487" w:name="_Toc423348307"/>
      <w:bookmarkStart w:id="488" w:name="_Toc442280554"/>
      <w:r w:rsidRPr="00AB49ED">
        <w:t>On me conduit à l’abattoir</w:t>
      </w:r>
      <w:bookmarkEnd w:id="483"/>
      <w:bookmarkEnd w:id="484"/>
      <w:bookmarkEnd w:id="485"/>
      <w:bookmarkEnd w:id="486"/>
      <w:bookmarkEnd w:id="487"/>
      <w:bookmarkEnd w:id="488"/>
    </w:p>
    <w:p w:rsidR="004C50DC" w:rsidRPr="00AB49ED" w:rsidRDefault="004C50DC" w:rsidP="004C50DC">
      <w:pPr>
        <w:pStyle w:val="paroles"/>
      </w:pPr>
      <w:bookmarkStart w:id="489" w:name="_Toc406486111"/>
      <w:bookmarkStart w:id="490" w:name="_Toc406489737"/>
      <w:bookmarkStart w:id="491" w:name="_Toc421022324"/>
      <w:bookmarkStart w:id="492" w:name="_Toc423347375"/>
      <w:bookmarkStart w:id="493" w:name="_Toc423348308"/>
      <w:bookmarkStart w:id="494" w:name="_Toc442280555"/>
      <w:r w:rsidRPr="00AB49ED">
        <w:t>Ils veulent me tuer</w:t>
      </w:r>
      <w:bookmarkEnd w:id="489"/>
      <w:bookmarkEnd w:id="490"/>
      <w:bookmarkEnd w:id="491"/>
      <w:bookmarkEnd w:id="492"/>
      <w:bookmarkEnd w:id="493"/>
      <w:r w:rsidRPr="00AB49ED">
        <w:t>.]</w:t>
      </w:r>
      <w:bookmarkEnd w:id="494"/>
    </w:p>
    <w:p w:rsidR="004C50DC" w:rsidRDefault="004C50DC" w:rsidP="004C50DC">
      <w:pPr>
        <w:spacing w:before="120" w:after="120"/>
        <w:jc w:val="both"/>
      </w:pPr>
    </w:p>
    <w:p w:rsidR="004C50DC" w:rsidRDefault="004C50DC" w:rsidP="004C50DC">
      <w:pPr>
        <w:spacing w:before="120" w:after="120"/>
        <w:jc w:val="both"/>
      </w:pPr>
      <w:r w:rsidRPr="00E8358C">
        <w:t>Quel est donc l’apport du vodou dans la lutte pour l’indépendance haïtienne</w:t>
      </w:r>
      <w:r>
        <w:t> ? L’Ati national nous répond :</w:t>
      </w:r>
    </w:p>
    <w:p w:rsidR="004C50DC" w:rsidRPr="00E8358C" w:rsidRDefault="004C50DC" w:rsidP="004C50DC">
      <w:pPr>
        <w:pStyle w:val="Citation0i"/>
      </w:pPr>
    </w:p>
    <w:p w:rsidR="004C50DC" w:rsidRPr="00E8358C" w:rsidRDefault="004C50DC" w:rsidP="004C50DC">
      <w:pPr>
        <w:pStyle w:val="Citation0i"/>
        <w:rPr>
          <w:szCs w:val="22"/>
        </w:rPr>
      </w:pPr>
      <w:r w:rsidRPr="00E8358C">
        <w:rPr>
          <w:szCs w:val="22"/>
        </w:rPr>
        <w:t>Yon jou nèg Toussaint Louverture a reyini ak yon bann lòt vayan gason te reyini yon kote nan nò Dayiti yo rele Bwa Kayiman pou te di monchè jan Blan sa yo vle nou viv la li p ap bon pou nou. Fòk nou fè yon jan ak yo pou nou ba yo tèt kabrit, mete yo atè. Evidaman se pa la bagay yo te k</w:t>
      </w:r>
      <w:r w:rsidRPr="00E8358C">
        <w:rPr>
          <w:szCs w:val="22"/>
        </w:rPr>
        <w:t>o</w:t>
      </w:r>
      <w:r w:rsidRPr="00E8358C">
        <w:rPr>
          <w:szCs w:val="22"/>
        </w:rPr>
        <w:t>manse. Nou ka pale de Makandal, Padre Jean. Te gen lòt ki te reziste a</w:t>
      </w:r>
      <w:r w:rsidRPr="00E8358C">
        <w:rPr>
          <w:szCs w:val="22"/>
        </w:rPr>
        <w:t>n</w:t>
      </w:r>
      <w:r w:rsidRPr="00E8358C">
        <w:rPr>
          <w:szCs w:val="22"/>
        </w:rPr>
        <w:t>kò, ki te mennen de mouvman de rezistans tou. Men pat janm te gen yon moman de rezistan konkrè avan Bwa Kayiman a. Seremoni ki te fèt jou ki te 14 dawout 1791. Yo te mande kijan pou n fè blan yo ale ? Konsa nou t ap vin lib nèt. N ap gen peyi a pou nou. Solisyon an te nan Vodou a. Ebyen pa gen pwoblèm, nou te gen yon gran papa. Kiyès ki te gran papa sa a? Se te Dan Petro. Men kiyès ki te Dan Petro a? Dan Petro se te wa  Kongo. Wa des Moulassa, roi des Panzou. Slogan an te vin koupe tèt boule kay. Depi nou koupe tèt yo boule kay yo, yo p ap gen plas pou yo rete. Y ap oblije ale. Se ko</w:t>
      </w:r>
      <w:r w:rsidRPr="00E8358C">
        <w:rPr>
          <w:szCs w:val="22"/>
        </w:rPr>
        <w:t>n</w:t>
      </w:r>
      <w:r w:rsidRPr="00E8358C">
        <w:rPr>
          <w:szCs w:val="22"/>
        </w:rPr>
        <w:t xml:space="preserve">sa nou te defini yon strateji de gè. </w:t>
      </w:r>
    </w:p>
    <w:p w:rsidR="004C50DC" w:rsidRPr="00E8358C" w:rsidRDefault="004C50DC" w:rsidP="004C50DC">
      <w:pPr>
        <w:pStyle w:val="Citation0"/>
        <w:rPr>
          <w:i/>
        </w:rPr>
      </w:pPr>
      <w:r w:rsidRPr="00E8358C">
        <w:t>[Un jour Toussaint Louverture et ses généraux étaient réunis à Bois-Caïman, situé au nord d’Haïti. Ils prenaient conscience du mode de vie que leur imposait le système colonial esclavagiste établi par les Français. Ils juraient de se débarrasser de ces colons. Il faut se rappeler par le pa</w:t>
      </w:r>
      <w:r w:rsidRPr="00E8358C">
        <w:t>s</w:t>
      </w:r>
      <w:r w:rsidRPr="00E8358C">
        <w:t>sé d’autres figures comme Mackandal et Padre Jean qui s’étaient aussi di</w:t>
      </w:r>
      <w:r w:rsidRPr="00E8358C">
        <w:t>s</w:t>
      </w:r>
      <w:r w:rsidRPr="00E8358C">
        <w:t>tingués dans des formes de résistance. Mais la cér</w:t>
      </w:r>
      <w:r w:rsidRPr="00E8358C">
        <w:t>é</w:t>
      </w:r>
      <w:r w:rsidRPr="00E8358C">
        <w:t>monie du Bois était la plus concrète. Cette cérémonie avait eu lieu dans la nuit du 14 au 15 août 1791. La question était : comment forcer les Blancs à quitter la col</w:t>
      </w:r>
      <w:r w:rsidRPr="00E8358C">
        <w:t>o</w:t>
      </w:r>
      <w:r w:rsidRPr="00E8358C">
        <w:t>nie ? Ainsi nous serons des hommes et des femmes libres. Et Haïti nous appa</w:t>
      </w:r>
      <w:r w:rsidRPr="00E8358C">
        <w:t>r</w:t>
      </w:r>
      <w:r w:rsidRPr="00E8358C">
        <w:t>tiendra pour toujours. La solution était dans le vodou. Ils faisaient appel à leur grand-père, à leur Dieu : Dan Petro. Qui était Dan Petro ? C’est le roi des Kongo, Roi des M</w:t>
      </w:r>
      <w:r w:rsidRPr="00E8358C">
        <w:t>a</w:t>
      </w:r>
      <w:r w:rsidRPr="00E8358C">
        <w:t xml:space="preserve">loussa, roi des </w:t>
      </w:r>
      <w:r w:rsidRPr="00E8358C">
        <w:rPr>
          <w:i/>
        </w:rPr>
        <w:t>Panzou</w:t>
      </w:r>
      <w:r>
        <w:t> </w:t>
      </w:r>
      <w:r w:rsidRPr="00104873">
        <w:rPr>
          <w:rStyle w:val="Appelnotedebasdep"/>
          <w:szCs w:val="22"/>
        </w:rPr>
        <w:footnoteReference w:id="893"/>
      </w:r>
      <w:r w:rsidRPr="00E8358C">
        <w:rPr>
          <w:i/>
        </w:rPr>
        <w:t xml:space="preserve">. </w:t>
      </w:r>
      <w:r w:rsidRPr="00E8358C">
        <w:t>Le mot d’ordre adopté contre les colons était : « Décapitez-les,</w:t>
      </w:r>
      <w:r>
        <w:t xml:space="preserve"> [348]</w:t>
      </w:r>
      <w:r w:rsidRPr="00E8358C">
        <w:t xml:space="preserve"> brûlez leurs maisons ». Ai</w:t>
      </w:r>
      <w:r w:rsidRPr="00E8358C">
        <w:t>n</w:t>
      </w:r>
      <w:r w:rsidRPr="00E8358C">
        <w:t>si, ils n’auront a</w:t>
      </w:r>
      <w:r w:rsidRPr="00E8358C">
        <w:t>u</w:t>
      </w:r>
      <w:r w:rsidRPr="00E8358C">
        <w:t>cun espace pour habiter. Ils finiront par s’en aller face à notre stratégie de guerre.]</w:t>
      </w:r>
    </w:p>
    <w:p w:rsidR="004C50DC" w:rsidRPr="00E8358C" w:rsidRDefault="004C50DC" w:rsidP="004C50DC">
      <w:pPr>
        <w:pStyle w:val="Citation0c"/>
        <w:rPr>
          <w:i/>
        </w:rPr>
      </w:pPr>
      <w:r w:rsidRPr="00E8358C">
        <w:t>(Max Beauvoir, entrevue, Mariani, 21 juillet 2014)</w:t>
      </w:r>
    </w:p>
    <w:p w:rsidR="004C50DC" w:rsidRPr="00E8358C" w:rsidRDefault="004C50DC" w:rsidP="004C50DC">
      <w:pPr>
        <w:pStyle w:val="Citation0i"/>
      </w:pPr>
    </w:p>
    <w:p w:rsidR="004C50DC" w:rsidRPr="00E8358C" w:rsidRDefault="004C50DC" w:rsidP="004C50DC">
      <w:pPr>
        <w:spacing w:before="120" w:after="120"/>
        <w:jc w:val="both"/>
      </w:pPr>
      <w:r w:rsidRPr="00E8358C">
        <w:t>En voulant faire de l’ancienne colonie de Saint-Domingue leur pays, en le rebaptisant Haïti, les nouveaux dirigeants se sont appr</w:t>
      </w:r>
      <w:r w:rsidRPr="00E8358C">
        <w:t>o</w:t>
      </w:r>
      <w:r w:rsidRPr="00E8358C">
        <w:t xml:space="preserve">priés l’espace territorial, qui est devenu leur propre patrimoine, car les empreintes des douleurs de leurs pairs sont visibles dans les ruines des habitations et des fortifications. Ils se sont débarrassés des colons blancs pour faire d’Haïti la première République noire. Benito, 56 ans, un </w:t>
      </w:r>
      <w:r w:rsidRPr="00E8358C">
        <w:rPr>
          <w:i/>
        </w:rPr>
        <w:t>houngan</w:t>
      </w:r>
      <w:r w:rsidRPr="00E8358C">
        <w:t xml:space="preserve"> de Léogâne, a répondu à nos questions de façon conde</w:t>
      </w:r>
      <w:r w:rsidRPr="00E8358C">
        <w:t>n</w:t>
      </w:r>
      <w:r w:rsidRPr="00E8358C">
        <w:t>sée :</w:t>
      </w:r>
    </w:p>
    <w:p w:rsidR="004C50DC" w:rsidRPr="00E8358C" w:rsidRDefault="004C50DC" w:rsidP="004C50DC">
      <w:pPr>
        <w:pStyle w:val="Citation0i"/>
      </w:pPr>
      <w:r w:rsidRPr="00E8358C">
        <w:t>Lit la te kòmanse ak mo dòd koupe tèt boule kay nan bwa Kayiman ki pran nou 13 lane ap lite pou n rive a Vertières 18 novanm 1803. Pandan 13 l</w:t>
      </w:r>
      <w:r w:rsidRPr="00E8358C">
        <w:t>a</w:t>
      </w:r>
      <w:r w:rsidRPr="00E8358C">
        <w:t>ne sa yo tout bagay pase ladan l. Anpil moun pase, anpil moun mouri, yo rapòte depi nan premye semenn nan aprè 14 dawout la pou rive jiska 21 dawout 1791la dife te kòmanse mete nan tout chan kann yo. Bwa kayiman te reyini preske tout nanchon</w:t>
      </w:r>
      <w:r>
        <w:rPr>
          <w:i w:val="0"/>
        </w:rPr>
        <w:t> </w:t>
      </w:r>
      <w:r w:rsidRPr="00E8358C">
        <w:rPr>
          <w:rStyle w:val="Appelnotedebasdep"/>
          <w:i w:val="0"/>
          <w:szCs w:val="22"/>
        </w:rPr>
        <w:footnoteReference w:id="894"/>
      </w:r>
      <w:r w:rsidRPr="00E8358C">
        <w:t xml:space="preserve"> yo. Tout nanchon sa yo ki te sot nan Ginen, 21 nanchon se yo menm ki te reyini ansanm pou fome Bwa Kayiman ki pra l evolye pou bann Ayiti jounen jodia. 18 novanm 1803 blan franse pete kouri. </w:t>
      </w:r>
    </w:p>
    <w:p w:rsidR="004C50DC" w:rsidRPr="00E8358C" w:rsidRDefault="004C50DC" w:rsidP="004C50DC">
      <w:pPr>
        <w:pStyle w:val="Citation0"/>
      </w:pPr>
      <w:r w:rsidRPr="00E8358C">
        <w:t>[La lutte a débuté avec le slogan « décapitez-les, brûlez leurs ma</w:t>
      </w:r>
      <w:r w:rsidRPr="00E8358C">
        <w:t>i</w:t>
      </w:r>
      <w:r w:rsidRPr="00E8358C">
        <w:t>sons » à Bois-Caïman et a duré treize ans avant d’aboutir à la victoire de Vertières le 18 novembre 1803. Dès la première semaine du 14 au 21 août 1791, on pouvait dénombrer plusieurs morts et blessés, plusieurs plantations rav</w:t>
      </w:r>
      <w:r w:rsidRPr="00E8358C">
        <w:t>a</w:t>
      </w:r>
      <w:r w:rsidRPr="00E8358C">
        <w:t xml:space="preserve">gées par le feu. Tous les courants d’idées étaient présents à Bois-Caïman. Les idées partagées proviennent de l’Afrique, on pouvait compter environ 21 </w:t>
      </w:r>
      <w:r w:rsidRPr="00E8358C">
        <w:rPr>
          <w:i/>
        </w:rPr>
        <w:t>Nanchon</w:t>
      </w:r>
      <w:r w:rsidRPr="00E8358C">
        <w:t>. Cette cérémonie allait galvaniser les esclaves et déboucher sur l’indépendance d’Haïti. Car le 18 novembre 1803, les Français ont c</w:t>
      </w:r>
      <w:r w:rsidRPr="00E8358C">
        <w:t>a</w:t>
      </w:r>
      <w:r w:rsidRPr="00E8358C">
        <w:t>pitulé et ont abandonné la colonie.]</w:t>
      </w:r>
    </w:p>
    <w:p w:rsidR="004C50DC" w:rsidRDefault="004C50DC" w:rsidP="004C50DC">
      <w:pPr>
        <w:pStyle w:val="Citation0c"/>
      </w:pPr>
      <w:r w:rsidRPr="00E8358C">
        <w:t>(Benito, entrevue, Léogâne, 12 juillet 2014)</w:t>
      </w:r>
    </w:p>
    <w:p w:rsidR="004C50DC" w:rsidRPr="00E8358C" w:rsidRDefault="004C50DC" w:rsidP="004C50DC">
      <w:pPr>
        <w:pStyle w:val="Citation0c"/>
      </w:pPr>
    </w:p>
    <w:p w:rsidR="004C50DC" w:rsidRPr="00E8358C" w:rsidRDefault="004C50DC" w:rsidP="004C50DC">
      <w:pPr>
        <w:spacing w:before="120" w:after="120"/>
        <w:jc w:val="both"/>
      </w:pPr>
      <w:r w:rsidRPr="00E8358C">
        <w:t>Il est aussi important de souligner que les esclaves n’avaient pas seulement libéré la partie française de l’île par la victoire de Vertières. Toute l’île avait été libérée, car le 22 juillet 1795, au beau milieu de la lutte pour l’indépendance, les Espagnols avaient cédé à la France la partie Est par le traité de Bâle. Peu d’Haïtiens le savent ; du moins cette mémoire n’est pas revendiquée et intégrée au patrimoine mém</w:t>
      </w:r>
      <w:r w:rsidRPr="00E8358C">
        <w:t>o</w:t>
      </w:r>
      <w:r w:rsidRPr="00E8358C">
        <w:t xml:space="preserve">riel haïtien. </w:t>
      </w:r>
    </w:p>
    <w:p w:rsidR="004C50DC" w:rsidRPr="00E8358C" w:rsidRDefault="004C50DC" w:rsidP="004C50DC">
      <w:pPr>
        <w:spacing w:before="120" w:after="120"/>
        <w:jc w:val="both"/>
      </w:pPr>
      <w:r w:rsidRPr="00E8358C">
        <w:t xml:space="preserve">Les propos d’Asefia, 67 ans, </w:t>
      </w:r>
      <w:r w:rsidRPr="00E8358C">
        <w:rPr>
          <w:i/>
        </w:rPr>
        <w:t>manbo</w:t>
      </w:r>
      <w:r>
        <w:t> </w:t>
      </w:r>
      <w:r w:rsidRPr="00E8358C">
        <w:rPr>
          <w:rStyle w:val="Appelnotedebasdep"/>
        </w:rPr>
        <w:footnoteReference w:id="895"/>
      </w:r>
      <w:r w:rsidRPr="00E8358C">
        <w:t>, recueillis à la plaine du Cul-de-sac, semblent converger dans le sens de ceux de l’Ati nationa</w:t>
      </w:r>
      <w:r w:rsidRPr="00E8358C">
        <w:t>l</w:t>
      </w:r>
      <w:r w:rsidRPr="00E8358C">
        <w:t>sur l’importance du vodou dans l’histoire</w:t>
      </w:r>
      <w:r>
        <w:t xml:space="preserve"> [349]</w:t>
      </w:r>
      <w:r w:rsidRPr="00E8358C">
        <w:t xml:space="preserve"> du peuple haïtien.</w:t>
      </w:r>
    </w:p>
    <w:p w:rsidR="004C50DC" w:rsidRDefault="004C50DC" w:rsidP="004C50DC">
      <w:pPr>
        <w:pStyle w:val="Citation0i"/>
      </w:pPr>
    </w:p>
    <w:p w:rsidR="004C50DC" w:rsidRPr="00E8358C" w:rsidRDefault="004C50DC" w:rsidP="004C50DC">
      <w:pPr>
        <w:pStyle w:val="Citation0i"/>
      </w:pPr>
      <w:r w:rsidRPr="00E8358C">
        <w:t>Lè yon Ayisyen di li pa apresye vodou, li panse ke ti Ayisyen pa ta dwe pouse sou tè a menm jan ak djondjon. Li bliye tèt li tou. Se konsa nou ye sou bout tè sa. Se blag. Lavi chak ayisyen se yon long chemen nan listwa n ki gen doulè, ki fèt de kouraj ak detèminasyon, se tout kilti ak sèvis diferan yo ki mennen nou kote nou ye a, ki fè nou se moun tankou tout moun. Sa vin rantre nan sa nou rele idantite n. Si yon moun ta vle efase sa vodou fè pou pèp ayisyen se kom si li ta vle retounen nou nan esklavaj tankou e</w:t>
      </w:r>
      <w:r w:rsidRPr="00E8358C">
        <w:t>s</w:t>
      </w:r>
      <w:r w:rsidRPr="00E8358C">
        <w:t>klav gran paran nou yo nan Se</w:t>
      </w:r>
      <w:r w:rsidRPr="00E8358C">
        <w:t>n</w:t>
      </w:r>
      <w:r w:rsidRPr="00E8358C">
        <w:t xml:space="preserve">domeng. </w:t>
      </w:r>
    </w:p>
    <w:p w:rsidR="004C50DC" w:rsidRPr="00E8358C" w:rsidRDefault="004C50DC" w:rsidP="004C50DC">
      <w:pPr>
        <w:pStyle w:val="Citation0"/>
      </w:pPr>
      <w:r w:rsidRPr="00E8358C">
        <w:t>[Quand un Haïtien prétend haïr le vodou, c’est parce que, dans sa tête, il devait être le seul Haïtien à habiter ce territoire. Il s’ignore au</w:t>
      </w:r>
      <w:r w:rsidRPr="00E8358C">
        <w:t>s</w:t>
      </w:r>
      <w:r w:rsidRPr="00E8358C">
        <w:t>si. Car la vie de chaque Haïtien est un long cheminement à travers l’histoire, un cheminement de douleur, un cheminement de courage, de détermination ; une somme de cultures et de cultes. Le vodou est un élément identitaire du citoyen haïtien. Donc, vouloir effacer les empreintes historiques et patr</w:t>
      </w:r>
      <w:r w:rsidRPr="00E8358C">
        <w:t>i</w:t>
      </w:r>
      <w:r w:rsidRPr="00E8358C">
        <w:t>moniales du vodou de la mémoire co</w:t>
      </w:r>
      <w:r w:rsidRPr="00E8358C">
        <w:t>l</w:t>
      </w:r>
      <w:r w:rsidRPr="00E8358C">
        <w:t>lective haïtienne, c’est vouloir nous réduire en esclavage, comme nos ancêtres dans la colonie de Saint-Domingue.]</w:t>
      </w:r>
    </w:p>
    <w:p w:rsidR="004C50DC" w:rsidRDefault="004C50DC" w:rsidP="004C50DC">
      <w:pPr>
        <w:pStyle w:val="Citation0c"/>
      </w:pPr>
      <w:r w:rsidRPr="00E8358C">
        <w:t>(Asefia, entrevue, 12 janvier 2015)</w:t>
      </w:r>
    </w:p>
    <w:p w:rsidR="004C50DC" w:rsidRPr="00E8358C" w:rsidRDefault="004C50DC" w:rsidP="004C50DC">
      <w:pPr>
        <w:pStyle w:val="Citation0c"/>
      </w:pPr>
    </w:p>
    <w:p w:rsidR="004C50DC" w:rsidRPr="00E8358C" w:rsidRDefault="004C50DC" w:rsidP="004C50DC">
      <w:pPr>
        <w:spacing w:before="120" w:after="120"/>
        <w:jc w:val="both"/>
      </w:pPr>
      <w:r w:rsidRPr="00E8358C">
        <w:t>Pour les vodouisants, la mémoire de l’esclavage haïtien se con</w:t>
      </w:r>
      <w:r w:rsidRPr="00E8358C">
        <w:t>s</w:t>
      </w:r>
      <w:r w:rsidRPr="00E8358C">
        <w:t>truit autour de cette religion. C’est-à-dire que l’on ne saurait parler des représentations de l’esclavage en Haïti sans évoquer le vodou. C’est aussi l’avis de Laënnec Hurbon qui, dans ses principaux ouvrages et articles</w:t>
      </w:r>
      <w:r>
        <w:t> </w:t>
      </w:r>
      <w:r>
        <w:rPr>
          <w:rStyle w:val="Appelnotedebasdep"/>
        </w:rPr>
        <w:footnoteReference w:id="896"/>
      </w:r>
      <w:r>
        <w:t xml:space="preserve"> </w:t>
      </w:r>
      <w:r w:rsidRPr="00E8358C">
        <w:t>sur le sujet, soutient que le vodou est l’un des éléments c</w:t>
      </w:r>
      <w:r w:rsidRPr="00E8358C">
        <w:t>a</w:t>
      </w:r>
      <w:r w:rsidRPr="00E8358C">
        <w:t xml:space="preserve">ractéristiques de la mémoire de l’esclavage en Haïti. </w:t>
      </w:r>
    </w:p>
    <w:p w:rsidR="004C50DC" w:rsidRPr="00E8358C" w:rsidRDefault="004C50DC" w:rsidP="004C50DC">
      <w:pPr>
        <w:spacing w:before="120" w:after="120"/>
        <w:jc w:val="both"/>
      </w:pPr>
      <w:r w:rsidRPr="00E8358C">
        <w:t>Quelle est donc aujourd’hui la place du vodou dans la société ha</w:t>
      </w:r>
      <w:r w:rsidRPr="00E8358C">
        <w:t>ï</w:t>
      </w:r>
      <w:r w:rsidRPr="00E8358C">
        <w:t>tienne ? L’Ati national commence par nous rappeler le rôle du vodou dans la lutte pour l’égalité et le respect des droits de l’homme à tr</w:t>
      </w:r>
      <w:r w:rsidRPr="00E8358C">
        <w:t>a</w:t>
      </w:r>
      <w:r w:rsidRPr="00E8358C">
        <w:t>vers le monde, avant de confirmer que cette religion est très mal pe</w:t>
      </w:r>
      <w:r w:rsidRPr="00E8358C">
        <w:t>r</w:t>
      </w:r>
      <w:r w:rsidRPr="00E8358C">
        <w:t>çue en Haïti.</w:t>
      </w:r>
    </w:p>
    <w:p w:rsidR="004C50DC" w:rsidRDefault="004C50DC" w:rsidP="004C50DC">
      <w:pPr>
        <w:pStyle w:val="Citation0i"/>
      </w:pPr>
    </w:p>
    <w:p w:rsidR="004C50DC" w:rsidRPr="00E8358C" w:rsidRDefault="004C50DC" w:rsidP="004C50DC">
      <w:pPr>
        <w:pStyle w:val="Citation0i"/>
      </w:pPr>
      <w:r w:rsidRPr="00E8358C">
        <w:t xml:space="preserve">Nou konnen ke 18 novanm 1803, nou bat blan yo Vètyè. Le mond antye aplodi mouvman sa ki bay dwa moun valè, ki bay Nèg yo valè, yon gran pati mond benefisye mouvman sa. Si Obama ka vin prezidan Etazini se gras a endepandans sa ke vodouyizan yo te patisipe pou konstwi a. Jiska jodia vodou pa gen ankenn plas nan sosyete a. Yo mal wè li. </w:t>
      </w:r>
    </w:p>
    <w:p w:rsidR="004C50DC" w:rsidRDefault="004C50DC" w:rsidP="004C50DC">
      <w:pPr>
        <w:spacing w:before="120" w:after="120"/>
        <w:jc w:val="both"/>
        <w:rPr>
          <w:szCs w:val="22"/>
        </w:rPr>
      </w:pPr>
      <w:r>
        <w:rPr>
          <w:szCs w:val="22"/>
        </w:rPr>
        <w:t>[350]</w:t>
      </w:r>
    </w:p>
    <w:p w:rsidR="004C50DC" w:rsidRPr="00E8358C" w:rsidRDefault="004C50DC" w:rsidP="004C50DC">
      <w:pPr>
        <w:pStyle w:val="Citation0"/>
      </w:pPr>
      <w:r w:rsidRPr="00E8358C">
        <w:t>[Le 18 novembre 1803, on a vaincu les Français à Vertières. C’est un acte initiateur du respect des droits de l’homme, de la libération de l’être h</w:t>
      </w:r>
      <w:r w:rsidRPr="00E8358C">
        <w:t>u</w:t>
      </w:r>
      <w:r w:rsidRPr="00E8358C">
        <w:t>main et de la valorisation du peuple noir à travers le monde. Si Barack Obama peut être élu président des États-Unis d’Amérique, c’est parce les vodouisants ont contribué à rendre Haïti indépendante. Malheureusement, aujourd’hui encore le vodou n’a pas une place de choix dans la société haïtienne. Les vodouisants sont pour la plupart marginalisés.]</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Pr="00E8358C" w:rsidRDefault="004C50DC" w:rsidP="004C50DC">
      <w:pPr>
        <w:spacing w:before="120" w:after="120"/>
        <w:jc w:val="both"/>
      </w:pPr>
      <w:r w:rsidRPr="00E8358C">
        <w:t>Jean-Jacques Dessalines, la figure principale de la Révolution ha</w:t>
      </w:r>
      <w:r w:rsidRPr="00E8358C">
        <w:t>ï</w:t>
      </w:r>
      <w:r w:rsidRPr="00E8358C">
        <w:t>tienne, fut assassiné en 1806. Ce « parricide » avait permis aux élites dirigeantes, pour qui Dessalines constituait une barrière à leur volonté d’accaparer toutes les richesses de la jeune Nation, d’exclure encore davantage les masses paysannes. Les vodouisants avaient été les pr</w:t>
      </w:r>
      <w:r w:rsidRPr="00E8358C">
        <w:t>e</w:t>
      </w:r>
      <w:r w:rsidRPr="00E8358C">
        <w:t xml:space="preserve">mières victimes collatérales de cet assassinat qui visait également à les tenir en dehors du cercle décisionnel du pays. Voulant retenir notre attention sur cet aspect, l’Ati national poursuit : </w:t>
      </w:r>
    </w:p>
    <w:p w:rsidR="004C50DC" w:rsidRDefault="004C50DC" w:rsidP="004C50DC">
      <w:pPr>
        <w:pStyle w:val="Citation0i"/>
      </w:pPr>
    </w:p>
    <w:p w:rsidR="004C50DC" w:rsidRPr="00E8358C" w:rsidRDefault="004C50DC" w:rsidP="004C50DC">
      <w:pPr>
        <w:pStyle w:val="Citation0i"/>
      </w:pPr>
      <w:r w:rsidRPr="00E8358C">
        <w:t>Men nan lane 1806, mwens ke 3 lane pita yon gwoup Ayisyen pral touye papa peyi a. Ou konnen si yo touye papa w se yon ak regretab. Li pat lim</w:t>
      </w:r>
      <w:r w:rsidRPr="00E8358C">
        <w:t>i</w:t>
      </w:r>
      <w:r w:rsidRPr="00E8358C">
        <w:t>te a yon moun. Non selman li touye papa peyi a men, li to</w:t>
      </w:r>
      <w:r w:rsidRPr="00E8358C">
        <w:t>n</w:t>
      </w:r>
      <w:r w:rsidRPr="00E8358C">
        <w:t>be etabli yon liy de pataj. Li di tout moun sa yo ladan l, tout moun sa yo pa ladan l, patik</w:t>
      </w:r>
      <w:r w:rsidRPr="00E8358C">
        <w:t>i</w:t>
      </w:r>
      <w:r w:rsidRPr="00E8358C">
        <w:t>lyèman vodouyizan yo andeyò lavi sosyal, ekon</w:t>
      </w:r>
      <w:r w:rsidRPr="00E8358C">
        <w:t>o</w:t>
      </w:r>
      <w:r w:rsidRPr="00E8358C">
        <w:t>mik ak politik peyi Ayiti. Yo rele yo moun andeyò.</w:t>
      </w:r>
    </w:p>
    <w:p w:rsidR="004C50DC" w:rsidRPr="00E8358C" w:rsidRDefault="004C50DC" w:rsidP="004C50DC">
      <w:pPr>
        <w:pStyle w:val="Citation0"/>
      </w:pPr>
      <w:r w:rsidRPr="00E8358C">
        <w:t>[Moins de trois ans après l’indépendance, soit en 1806, le père fondateur de la République, Jean-Jacques Dessalines a été assassiné. Ce fut un acte regrettable et un parricide qui n’est pas limité seul</w:t>
      </w:r>
      <w:r w:rsidRPr="00E8358C">
        <w:t>e</w:t>
      </w:r>
      <w:r w:rsidRPr="00E8358C">
        <w:t>ment à Dessalines, mais aussi aux vodouisants et aux paysans qual</w:t>
      </w:r>
      <w:r w:rsidRPr="00E8358C">
        <w:t>i</w:t>
      </w:r>
      <w:r w:rsidRPr="00E8358C">
        <w:t>fiés de « gens en dehors ». Une ligne de partage a été créée. Les a</w:t>
      </w:r>
      <w:r w:rsidRPr="00E8358C">
        <w:t>u</w:t>
      </w:r>
      <w:r w:rsidRPr="00E8358C">
        <w:t>teurs du crime ont accaparé toutes les richesses du pays et ont exclu totalement la masse populaire. Les v</w:t>
      </w:r>
      <w:r w:rsidRPr="00E8358C">
        <w:t>o</w:t>
      </w:r>
      <w:r w:rsidRPr="00E8358C">
        <w:t>douisants étaient principalement visés. Ils étaient mis à l’écart de la vie sociale, économique et polit</w:t>
      </w:r>
      <w:r w:rsidRPr="00E8358C">
        <w:t>i</w:t>
      </w:r>
      <w:r w:rsidRPr="00E8358C">
        <w:t>que du pays. Ils vivaient comme les paysans en marge de la société.]</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Default="004C50DC" w:rsidP="004C50DC">
      <w:pPr>
        <w:spacing w:before="120" w:after="120"/>
        <w:jc w:val="both"/>
      </w:pPr>
      <w:r w:rsidRPr="00E8358C">
        <w:t xml:space="preserve">La notion de </w:t>
      </w:r>
      <w:r w:rsidRPr="00E8358C">
        <w:rPr>
          <w:i/>
        </w:rPr>
        <w:t>moun andeyò</w:t>
      </w:r>
      <w:r w:rsidRPr="00E8358C">
        <w:t xml:space="preserve"> est vide de sens pour certaines perso</w:t>
      </w:r>
      <w:r w:rsidRPr="00E8358C">
        <w:t>n</w:t>
      </w:r>
      <w:r w:rsidRPr="00E8358C">
        <w:t>nes. Pourtant, elle renvoie à la notion d’exclusion de la vie sociale, économique et politique haïtienne. Ce groupe accapareur que cite l’Ati sont les élites</w:t>
      </w:r>
      <w:r>
        <w:t> </w:t>
      </w:r>
      <w:r w:rsidRPr="00E8358C">
        <w:rPr>
          <w:rStyle w:val="Appelnotedebasdep"/>
        </w:rPr>
        <w:footnoteReference w:id="897"/>
      </w:r>
      <w:r w:rsidRPr="00E8358C">
        <w:t xml:space="preserve"> économiques et politiques composées pour la plupart de mulâtres accusés d’être les assassins de l’empereur Jean-Jacques Dessalines. Ces élites ont la gouverne d’Haïti depuis 1806. Elles ne jurent que par leurs intérêts et veulent faire taire la masse paysa</w:t>
      </w:r>
      <w:r>
        <w:t>nne qui croupit dans la misère.</w:t>
      </w:r>
    </w:p>
    <w:p w:rsidR="004C50DC" w:rsidRPr="00E8358C" w:rsidRDefault="004C50DC" w:rsidP="004C50DC">
      <w:pPr>
        <w:spacing w:before="120" w:after="120"/>
        <w:jc w:val="both"/>
      </w:pPr>
      <w:r>
        <w:t>[351]</w:t>
      </w:r>
    </w:p>
    <w:p w:rsidR="004C50DC" w:rsidRDefault="004C50DC" w:rsidP="004C50DC">
      <w:pPr>
        <w:spacing w:before="120" w:after="120"/>
        <w:jc w:val="both"/>
      </w:pPr>
      <w:r w:rsidRPr="00E8358C">
        <w:t>Quelle est la réaction des vodouisants face à ces persécutions ? G</w:t>
      </w:r>
      <w:r w:rsidRPr="00E8358C">
        <w:t>a</w:t>
      </w:r>
      <w:r w:rsidRPr="00E8358C">
        <w:t xml:space="preserve">ry, 55 ans, prêtre vodou à  Léogâne, expose son point de vue : </w:t>
      </w:r>
    </w:p>
    <w:p w:rsidR="004C50DC" w:rsidRPr="00E8358C" w:rsidRDefault="004C50DC" w:rsidP="004C50DC">
      <w:pPr>
        <w:spacing w:before="120" w:after="120"/>
        <w:jc w:val="both"/>
      </w:pPr>
    </w:p>
    <w:p w:rsidR="004C50DC" w:rsidRPr="00E8358C" w:rsidRDefault="004C50DC" w:rsidP="004C50DC">
      <w:pPr>
        <w:pStyle w:val="Citation0i"/>
      </w:pPr>
      <w:r w:rsidRPr="00E8358C">
        <w:t>Fas ak pwoblèm y ap bay group ekskli a, peyizan ak vodouyizan yo vin pa kwè ke li se Ayisyen vre. Anpil ladan yo kouri al Sen Domeng, pase anba fil fè. Pran ti kannòt lage kò yo Etazini. Men gen lòt v</w:t>
      </w:r>
      <w:r w:rsidRPr="00E8358C">
        <w:t>o</w:t>
      </w:r>
      <w:r w:rsidRPr="00E8358C">
        <w:t>douyizan ki fin pa kwè se Ayisyen yo ye menm jan ak tout Ayisyen. Yo òganize yo, sa fè 20 a 25 lane konsa. Nou panse se malere paske en reyalite nan yon peyi pa gen moun ki pa gen valè. Kelke swa moun nan. Pou yon peyi mache fòk tout moun mete men. Otreman gwoup ki pa mete men an, li vin yon pwa lou. Si ou pa gen revni, ou pa gen dwa mete men nan anyen ou vin yon pwa lou nan peyi a. Ayiti kondane pou l rete pòv. N ap toujou pòv tout</w:t>
      </w:r>
      <w:r w:rsidRPr="00E8358C">
        <w:t>o</w:t>
      </w:r>
      <w:r w:rsidRPr="00E8358C">
        <w:t>tan nou pa konprann pou peyi sa m</w:t>
      </w:r>
      <w:r w:rsidRPr="00E8358C">
        <w:t>a</w:t>
      </w:r>
      <w:r w:rsidRPr="00E8358C">
        <w:t>che fòk tou moun ka mete men. Tout tan nou vle kenbe l separe, di v</w:t>
      </w:r>
      <w:r w:rsidRPr="00E8358C">
        <w:t>o</w:t>
      </w:r>
      <w:r w:rsidRPr="00E8358C">
        <w:t>dou pa vo anyen, epi kwè l konsa n ap toujou pòv. Nan moman ou vle ekskli yon gwoup sosyal ou kondane peyi a pou l m</w:t>
      </w:r>
      <w:r w:rsidRPr="00E8358C">
        <w:t>a</w:t>
      </w:r>
      <w:r w:rsidRPr="00E8358C">
        <w:t xml:space="preserve">che mande. Yo kondane n  pou n viv sou kont etranje. </w:t>
      </w:r>
    </w:p>
    <w:p w:rsidR="004C50DC" w:rsidRPr="00E8358C" w:rsidRDefault="004C50DC" w:rsidP="004C50DC">
      <w:pPr>
        <w:pStyle w:val="Citation0"/>
      </w:pPr>
      <w:r w:rsidRPr="00E8358C">
        <w:t>[Face aux persécutions dont sont souvent victimes les vodouisants et les paysans, ils sont nombreux ceux qui ont fini par croire qu’ils ne sont pas des citoyens haïtiens. Certains ont préféré quitter le pays pour se rendre en République Dominicaine. D’autres ont choisi d’immigrer illégalement aux États-Unis. Cependant, depuis 20 à 25 ans, plusieurs vodouisants revend</w:t>
      </w:r>
      <w:r w:rsidRPr="00E8358C">
        <w:t>i</w:t>
      </w:r>
      <w:r w:rsidRPr="00E8358C">
        <w:t>quent leurs droits de citoyens et s’organisent pour faire valoir leur place dans la société haïtienne. La politique d’exclusion est très néfaste pour le développement du pays.Chaque Haïtien a sa place dans une construction sociale durable. La contribution de chacun est vivement souhaitée. Autr</w:t>
      </w:r>
      <w:r w:rsidRPr="00E8358C">
        <w:t>e</w:t>
      </w:r>
      <w:r w:rsidRPr="00E8358C">
        <w:t>ment dit, le groupe exclu constituerait un handicap à ce développement. Et Haïti serait conda</w:t>
      </w:r>
      <w:r w:rsidRPr="00E8358C">
        <w:t>m</w:t>
      </w:r>
      <w:r w:rsidRPr="00E8358C">
        <w:t>née à rester pauvre. La barrière érigée contre certains groupes sociaux du pays visant à dévaloriser le vodou ne pourrait pas f</w:t>
      </w:r>
      <w:r w:rsidRPr="00E8358C">
        <w:t>a</w:t>
      </w:r>
      <w:r w:rsidRPr="00E8358C">
        <w:t>voriser non plus la sortie du pays du gouffre de la paupérisation. La co</w:t>
      </w:r>
      <w:r w:rsidRPr="00E8358C">
        <w:t>m</w:t>
      </w:r>
      <w:r w:rsidRPr="00E8358C">
        <w:t>munauté internationale continuera à voler à sa rescousse.]</w:t>
      </w:r>
    </w:p>
    <w:p w:rsidR="004C50DC" w:rsidRDefault="004C50DC" w:rsidP="004C50DC">
      <w:pPr>
        <w:pStyle w:val="Citation0c"/>
      </w:pPr>
      <w:r w:rsidRPr="00E8358C">
        <w:t>(Gary, entrevue, Léogâne, 21 juin 2014)</w:t>
      </w:r>
    </w:p>
    <w:p w:rsidR="004C50DC" w:rsidRPr="00E8358C" w:rsidRDefault="004C50DC" w:rsidP="004C50DC">
      <w:pPr>
        <w:pStyle w:val="Citation0c"/>
      </w:pPr>
    </w:p>
    <w:p w:rsidR="004C50DC" w:rsidRPr="00E8358C" w:rsidRDefault="004C50DC" w:rsidP="004C50DC">
      <w:pPr>
        <w:spacing w:before="120" w:after="120"/>
        <w:jc w:val="both"/>
      </w:pPr>
      <w:r w:rsidRPr="00E8358C">
        <w:t>L’on ne saurait ignorer l’apport du vodou à la construction de la nation haïtienne. Un autre Bois-Caïman chrétien pourrait-il réellement faire oublier cette contribution à la liberté des esclaves ? En tout cas, c’est le vœu de certains fidèles protestants qui ne cessent de critiquer la cérémonie réalisée à Bois-Caïman dans la nuit du 14 au 15 août 1791, et qu’ils rendent responsable des malheurs d’Haïti. Pierre, cet étudiant que nous avons rencontré à Tabarre et cité au précédent ch</w:t>
      </w:r>
      <w:r w:rsidRPr="00E8358C">
        <w:t>a</w:t>
      </w:r>
      <w:r w:rsidRPr="00E8358C">
        <w:t>pitre, semble vouloir répondre à la question.</w:t>
      </w:r>
    </w:p>
    <w:p w:rsidR="004C50DC" w:rsidRPr="00E8358C" w:rsidRDefault="004C50DC" w:rsidP="004C50DC">
      <w:pPr>
        <w:spacing w:before="120" w:after="120"/>
        <w:jc w:val="both"/>
        <w:rPr>
          <w:szCs w:val="22"/>
        </w:rPr>
      </w:pPr>
      <w:r w:rsidRPr="00E8358C">
        <w:rPr>
          <w:szCs w:val="22"/>
        </w:rPr>
        <w:t>La population haïtienne fait semblant d’ignorer un élément impor</w:t>
      </w:r>
      <w:r w:rsidRPr="00E8358C">
        <w:rPr>
          <w:szCs w:val="22"/>
        </w:rPr>
        <w:t>a</w:t>
      </w:r>
      <w:r w:rsidRPr="00E8358C">
        <w:rPr>
          <w:szCs w:val="22"/>
        </w:rPr>
        <w:t>tant de sa propre identité qui est le vodou pour mettre en application les dogmes du christianisme qui est une religion importée. Il est i</w:t>
      </w:r>
      <w:r w:rsidRPr="00E8358C">
        <w:rPr>
          <w:szCs w:val="22"/>
        </w:rPr>
        <w:t>m</w:t>
      </w:r>
      <w:r w:rsidRPr="00E8358C">
        <w:rPr>
          <w:szCs w:val="22"/>
        </w:rPr>
        <w:t>portant de savoir que le vodou est le symbole de notre fierté pour sa contribution à l’indépendance d’Haïti. Le vodou devrait être une e</w:t>
      </w:r>
      <w:r w:rsidRPr="00E8358C">
        <w:rPr>
          <w:szCs w:val="22"/>
        </w:rPr>
        <w:t>x</w:t>
      </w:r>
      <w:r w:rsidRPr="00E8358C">
        <w:rPr>
          <w:szCs w:val="22"/>
        </w:rPr>
        <w:t xml:space="preserve">pression de la vie quotidienne haïtienne. </w:t>
      </w:r>
    </w:p>
    <w:p w:rsidR="004C50DC" w:rsidRPr="00E8358C" w:rsidRDefault="004C50DC" w:rsidP="004C50DC">
      <w:pPr>
        <w:spacing w:before="120" w:after="120"/>
        <w:jc w:val="both"/>
        <w:rPr>
          <w:szCs w:val="22"/>
        </w:rPr>
      </w:pPr>
      <w:r w:rsidRPr="00E8358C">
        <w:rPr>
          <w:szCs w:val="22"/>
        </w:rPr>
        <w:t>(Pierre, entrevue, Tabarre, 29 septembre 2013)</w:t>
      </w:r>
    </w:p>
    <w:p w:rsidR="004C50DC" w:rsidRDefault="004C50DC" w:rsidP="004C50DC">
      <w:pPr>
        <w:spacing w:before="120" w:after="120"/>
        <w:jc w:val="both"/>
      </w:pPr>
      <w:r w:rsidRPr="00E8358C">
        <w:t>Le vodou est un élément de cohésion sociale en Haïti. C’est aussi un patrimoine religieux. En ce sens, plusieurs auteurs étrangers, et n</w:t>
      </w:r>
      <w:r w:rsidRPr="00E8358C">
        <w:t>o</w:t>
      </w:r>
      <w:r w:rsidRPr="00E8358C">
        <w:t>tamment Jean-Claude de Verger, croient que</w:t>
      </w:r>
      <w:r>
        <w:t xml:space="preserve"> [352]</w:t>
      </w:r>
      <w:r w:rsidRPr="00E8358C">
        <w:t xml:space="preserve"> le vodou est l’héritage sacré par excellence de l’ensemble du peuple haïtien</w:t>
      </w:r>
      <w:r>
        <w:t> </w:t>
      </w:r>
      <w:r w:rsidRPr="00E8358C">
        <w:rPr>
          <w:rStyle w:val="Appelnotedebasdep"/>
        </w:rPr>
        <w:footnoteReference w:id="898"/>
      </w:r>
      <w:r w:rsidRPr="00E8358C">
        <w:t>. Comme le souligne Gary, le prêtre vodou, la relation qu’entretiennent les vodouisants avec leurs dieux est privilégiée. Il faut leur offrir rég</w:t>
      </w:r>
      <w:r w:rsidRPr="00E8358C">
        <w:t>u</w:t>
      </w:r>
      <w:r w:rsidRPr="00E8358C">
        <w:t>lièrement des offrandes :</w:t>
      </w:r>
    </w:p>
    <w:p w:rsidR="004C50DC" w:rsidRPr="00AB49ED" w:rsidRDefault="004C50DC" w:rsidP="004C50DC">
      <w:pPr>
        <w:pStyle w:val="parolesi"/>
      </w:pPr>
      <w:r w:rsidRPr="00AB49ED">
        <w:t>M achte ti poul.</w:t>
      </w:r>
    </w:p>
    <w:p w:rsidR="004C50DC" w:rsidRPr="00AB49ED" w:rsidRDefault="004C50DC" w:rsidP="004C50DC">
      <w:pPr>
        <w:pStyle w:val="parolesi"/>
      </w:pPr>
      <w:r w:rsidRPr="00AB49ED">
        <w:t>M achte ti poul pou Yaya.</w:t>
      </w:r>
    </w:p>
    <w:p w:rsidR="004C50DC" w:rsidRPr="00AB49ED" w:rsidRDefault="004C50DC" w:rsidP="004C50DC">
      <w:pPr>
        <w:pStyle w:val="parolesi"/>
      </w:pPr>
      <w:r w:rsidRPr="00AB49ED">
        <w:t>Balanse Yaya</w:t>
      </w:r>
      <w:r>
        <w:rPr>
          <w:i w:val="0"/>
        </w:rPr>
        <w:t> </w:t>
      </w:r>
      <w:r>
        <w:rPr>
          <w:rStyle w:val="Appelnotedebasdep"/>
          <w:i w:val="0"/>
        </w:rPr>
        <w:footnoteReference w:id="899"/>
      </w:r>
      <w:r w:rsidRPr="00AB49ED">
        <w:t>.</w:t>
      </w:r>
    </w:p>
    <w:p w:rsidR="004C50DC" w:rsidRDefault="004C50DC" w:rsidP="004C50DC">
      <w:pPr>
        <w:pStyle w:val="paroles"/>
      </w:pPr>
    </w:p>
    <w:p w:rsidR="004C50DC" w:rsidRPr="00AB49ED" w:rsidRDefault="004C50DC" w:rsidP="004C50DC">
      <w:pPr>
        <w:pStyle w:val="paroles"/>
      </w:pPr>
      <w:r w:rsidRPr="00AB49ED">
        <w:t>[J’ai acheté une poulette.</w:t>
      </w:r>
    </w:p>
    <w:p w:rsidR="004C50DC" w:rsidRPr="00AB49ED" w:rsidRDefault="004C50DC" w:rsidP="004C50DC">
      <w:pPr>
        <w:pStyle w:val="paroles"/>
      </w:pPr>
      <w:r w:rsidRPr="00AB49ED">
        <w:t>J’ai acheté une poulette pour Yaya.</w:t>
      </w:r>
    </w:p>
    <w:p w:rsidR="004C50DC" w:rsidRPr="00AB49ED" w:rsidRDefault="004C50DC" w:rsidP="004C50DC">
      <w:pPr>
        <w:pStyle w:val="paroles"/>
      </w:pPr>
      <w:r w:rsidRPr="00AB49ED">
        <w:t>Balance-toi Yaya.]</w:t>
      </w:r>
    </w:p>
    <w:p w:rsidR="004C50DC" w:rsidRPr="00AB49ED" w:rsidRDefault="004C50DC" w:rsidP="004C50DC">
      <w:pPr>
        <w:pStyle w:val="paroles"/>
      </w:pPr>
      <w:r w:rsidRPr="00AB49ED">
        <w:t>(Gary, entrevue, Léogâne, 21 juin 2014)</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Quel rapport entretient la religion vodou avec l’État haïtien ? Est-il reconnu et encadré ? Sans hésiter, l’Atinational répond : </w:t>
      </w:r>
    </w:p>
    <w:p w:rsidR="004C50DC" w:rsidRDefault="004C50DC" w:rsidP="004C50DC">
      <w:pPr>
        <w:pStyle w:val="Citation0i"/>
      </w:pPr>
    </w:p>
    <w:p w:rsidR="004C50DC" w:rsidRPr="00E8358C" w:rsidRDefault="004C50DC" w:rsidP="004C50DC">
      <w:pPr>
        <w:pStyle w:val="Citation0i"/>
      </w:pPr>
      <w:r w:rsidRPr="00E8358C">
        <w:t>Nou pa janm gen relasyon ak okenn leta. Menm ak ministè kilt se relasyon rekonesans selman ki genyen. Leta a janm ban nou 5 kòb. Leta sibvansy</w:t>
      </w:r>
      <w:r w:rsidRPr="00E8358C">
        <w:t>o</w:t>
      </w:r>
      <w:r w:rsidRPr="00E8358C">
        <w:t xml:space="preserve">ne tout lot legliz yo. Chak pè gen chèk chak mwa, jou menm li sakre pè. </w:t>
      </w:r>
    </w:p>
    <w:p w:rsidR="004C50DC" w:rsidRPr="00E8358C" w:rsidRDefault="004C50DC" w:rsidP="004C50DC">
      <w:pPr>
        <w:pStyle w:val="Citation0"/>
      </w:pPr>
      <w:r w:rsidRPr="00E8358C">
        <w:t>[Nous n’avons développé aucun rapport officiel avec l’État haïtien. Le ministère des Cultes ne fait que reconnaître le culte du vodou. Nous n’avons jamais été subventionnés par l’État haïtien, comme c’est le cas pour les autres confessions religieuses. Les prêtres catholiques, par exe</w:t>
      </w:r>
      <w:r w:rsidRPr="00E8358C">
        <w:t>m</w:t>
      </w:r>
      <w:r w:rsidRPr="00E8358C">
        <w:t>ple, reçoivent un chèque régulièrement.]</w:t>
      </w:r>
    </w:p>
    <w:p w:rsidR="004C50DC" w:rsidRPr="00E8358C" w:rsidRDefault="004C50DC" w:rsidP="004C50DC">
      <w:pPr>
        <w:pStyle w:val="Citation0c"/>
      </w:pPr>
      <w:r w:rsidRPr="00E8358C">
        <w:t>(Max Beauvoir, entrevue, Mariani, 21 juillet 2014)</w:t>
      </w:r>
    </w:p>
    <w:p w:rsidR="004C50DC" w:rsidRDefault="004C50DC" w:rsidP="004C50DC">
      <w:pPr>
        <w:spacing w:before="120" w:after="120"/>
        <w:jc w:val="both"/>
      </w:pPr>
    </w:p>
    <w:p w:rsidR="004C50DC" w:rsidRPr="00E8358C" w:rsidRDefault="004C50DC" w:rsidP="004C50DC">
      <w:pPr>
        <w:spacing w:before="120" w:after="120"/>
        <w:jc w:val="both"/>
      </w:pPr>
      <w:r w:rsidRPr="00E8358C">
        <w:t>D’après les propos de l’Atinational, ne serait-il pas important de nous interroger sur la structure organisationnelle du vodou ? Certes, le problème de sa reconnaissance légale a été un handicap, mais les v</w:t>
      </w:r>
      <w:r w:rsidRPr="00E8358C">
        <w:t>o</w:t>
      </w:r>
      <w:r w:rsidRPr="00E8358C">
        <w:t>douisants peinent encore à s’organiser pour pouvoir s’imposer dans le concert des religions en Haïti. Le combat doit être aussi gagné sur le plan patrimonial, c’est-à-dire qu’il s’agit de faire reconnaître le vodou comme un patrimoine religieux, une culture nationale. Il y a lieu d’espérer une amélioration dans les relations entre le vodou et l’État haïtien. La reconnaissance constitutionnelle est déjà un pas en avant ; mais il faut que les vodouisants se mettent également ensemble pour s’imposer comme une force culturelle et religieus</w:t>
      </w:r>
      <w:r>
        <w:t xml:space="preserve">e [353] </w:t>
      </w:r>
      <w:r w:rsidRPr="00E8358C">
        <w:t>organisée. La « conscience patrimoniale » est nécessaire également pour déco</w:t>
      </w:r>
      <w:r w:rsidRPr="00E8358C">
        <w:t>u</w:t>
      </w:r>
      <w:r w:rsidRPr="00E8358C">
        <w:t>vrir les valeurs culturelles du vodou. Cette conscience n’est que le sentiment intrinsèque à toute collectivité pour faire valoir sa mémoire, créer des instants de bonheur et construire son avenir sur son identité. Elle est indispensable à la compréhension de l’homme dans son un</w:t>
      </w:r>
      <w:r w:rsidRPr="00E8358C">
        <w:t>i</w:t>
      </w:r>
      <w:r w:rsidRPr="00E8358C">
        <w:t>vers social et culturel. Donc la conscience patrimoniale est sociétale. Elle tient compte des perturbations communautaires qui peuvent a</w:t>
      </w:r>
      <w:r w:rsidRPr="00E8358C">
        <w:t>f</w:t>
      </w:r>
      <w:r w:rsidRPr="00E8358C">
        <w:t>fecter le « vouloir vivre ensemble » des membres.</w:t>
      </w:r>
    </w:p>
    <w:p w:rsidR="004C50DC" w:rsidRPr="00E8358C" w:rsidRDefault="004C50DC" w:rsidP="004C50DC">
      <w:pPr>
        <w:spacing w:before="120" w:after="120"/>
        <w:jc w:val="both"/>
      </w:pPr>
      <w:r w:rsidRPr="00E8358C">
        <w:t>Peut-on utiliser le vodou pour amener les autorités étatiques à prendre en charge la masse des paysans en Haïti ? Les propos de B</w:t>
      </w:r>
      <w:r w:rsidRPr="00E8358C">
        <w:t>e</w:t>
      </w:r>
      <w:r w:rsidRPr="00E8358C">
        <w:t xml:space="preserve">nito, le </w:t>
      </w:r>
      <w:r w:rsidRPr="00E8358C">
        <w:rPr>
          <w:i/>
        </w:rPr>
        <w:t>houngan</w:t>
      </w:r>
      <w:r w:rsidRPr="00E8358C">
        <w:t xml:space="preserve">, expriment les idées partagées parles fidèles de cette religion. </w:t>
      </w:r>
    </w:p>
    <w:p w:rsidR="004C50DC" w:rsidRDefault="004C50DC" w:rsidP="004C50DC">
      <w:pPr>
        <w:pStyle w:val="Citation0i"/>
      </w:pPr>
    </w:p>
    <w:p w:rsidR="004C50DC" w:rsidRPr="00E8358C" w:rsidRDefault="004C50DC" w:rsidP="004C50DC">
      <w:pPr>
        <w:pStyle w:val="Citation0i"/>
      </w:pPr>
      <w:r w:rsidRPr="00E8358C">
        <w:t>Atansyon vodou p ap patisipe non. Vodou a se yon revolisyon menm pa r</w:t>
      </w:r>
      <w:r w:rsidRPr="00E8358C">
        <w:t>e</w:t>
      </w:r>
      <w:r w:rsidRPr="00E8358C">
        <w:t>zistans nou. Se vwa k ap menen a atenn peyizan yo vrèman. Le nou kons</w:t>
      </w:r>
      <w:r w:rsidRPr="00E8358C">
        <w:t>i</w:t>
      </w:r>
      <w:r w:rsidRPr="00E8358C">
        <w:t>dere des milliards de dola ke yo depanse pou fè n disparèt. Depi 1804 a jounen jodia, san nou pa bliye 40 lane ambago aprè endepandans lan. Yo koupe kontak ak nou. Se esklav nou ye. Yo tande nou di nou endepandan. Nou reyisi viv kanmenm. Vodou a te rive simante peyizan antre yo. Se pa tout, enmi deyò yo ba n prezidan Boyer. Boyer se yon blan ki vin isit pou konbat soulèvman esklav. Yo voye l pou sa, menmjan Pétion tou. Si n so</w:t>
      </w:r>
      <w:r w:rsidRPr="00E8358C">
        <w:t>n</w:t>
      </w:r>
      <w:r w:rsidRPr="00E8358C">
        <w:t>je la Crête à Pierrot, chak boulèt ki tonbe sou fò a Dessalines di sa se P</w:t>
      </w:r>
      <w:r w:rsidRPr="00E8358C">
        <w:t>é</w:t>
      </w:r>
      <w:r w:rsidRPr="00E8358C">
        <w:t>tion. Li te vin konbat mouvman esklav yo tou. Se yo ki pral vin 2 premye prezidan peyi a apre yo fin touye Dessalines. Vodou a te pèmèt peyizan yo reziste kont regime sa yo. Kidonk voudou a ka fose otorite nan Leta a ta</w:t>
      </w:r>
      <w:r w:rsidRPr="00E8358C">
        <w:t>n</w:t>
      </w:r>
      <w:r w:rsidRPr="00E8358C">
        <w:t xml:space="preserve">de pawol peyizan yo epi reponn ak revandikasyon yo. </w:t>
      </w:r>
    </w:p>
    <w:p w:rsidR="004C50DC" w:rsidRPr="00E8358C" w:rsidRDefault="004C50DC" w:rsidP="004C50DC">
      <w:pPr>
        <w:pStyle w:val="Citation0"/>
      </w:pPr>
      <w:r w:rsidRPr="00E8358C">
        <w:t>[Attention, le vodou ne participera pas. Le vodou est une révol</w:t>
      </w:r>
      <w:r w:rsidRPr="00E8358C">
        <w:t>u</w:t>
      </w:r>
      <w:r w:rsidRPr="00E8358C">
        <w:t>tion. C’est la voie à exploiter pour toucher la masse des paysans. Quand on considère les milliards de dollars investis, cette longue p</w:t>
      </w:r>
      <w:r w:rsidRPr="00E8358C">
        <w:t>é</w:t>
      </w:r>
      <w:r w:rsidRPr="00E8358C">
        <w:t>riode de 40 ans d’embargos imposés au pays pour nous contraindre à retourner dans l’esclavage, on a pu résister. Le vodou favorisait objectivement et symboliquement  le ra</w:t>
      </w:r>
      <w:r w:rsidRPr="00E8358C">
        <w:t>l</w:t>
      </w:r>
      <w:r w:rsidRPr="00E8358C">
        <w:t>liement des paysans.Après, les e</w:t>
      </w:r>
      <w:r w:rsidRPr="00E8358C">
        <w:t>n</w:t>
      </w:r>
      <w:r w:rsidRPr="00E8358C">
        <w:t>nemis de l’extérieur nous imposaient le président Jean-Pierre Boyer. C’était un envoyé spécial du Blanc avec pour mission de combattre le soulèvement des esclaves. Il ne faut pas oublier aussi Alexandre P</w:t>
      </w:r>
      <w:r w:rsidRPr="00E8358C">
        <w:t>é</w:t>
      </w:r>
      <w:r w:rsidRPr="00E8358C">
        <w:t>tion. Si on se rappelle bien, au combat de la Crête-à-Pierrot, les boulets tirés sur le fort selon Dessalines étaient l’œuvre de P</w:t>
      </w:r>
      <w:r w:rsidRPr="00E8358C">
        <w:t>é</w:t>
      </w:r>
      <w:r w:rsidRPr="00E8358C">
        <w:t>tion. Sa mission était aussi de mater le mouvement insurrectionnel des e</w:t>
      </w:r>
      <w:r w:rsidRPr="00E8358C">
        <w:t>s</w:t>
      </w:r>
      <w:r w:rsidRPr="00E8358C">
        <w:t>claves. Ils sont devenus par la suite les deux premiers présidents d’Haïti après l’assassinat de Dessalines. Mais le vodou a permis à la masse paysa</w:t>
      </w:r>
      <w:r w:rsidRPr="00E8358C">
        <w:t>n</w:t>
      </w:r>
      <w:r w:rsidRPr="00E8358C">
        <w:t>ne de résister une fois de plus à ces deux gouvernements. Donc, le v</w:t>
      </w:r>
      <w:r w:rsidRPr="00E8358C">
        <w:t>o</w:t>
      </w:r>
      <w:r w:rsidRPr="00E8358C">
        <w:t>dou peut porter les autorités étatiques à entendre le cri des paysans en Haïti et à donner suite à leurs revendications.]</w:t>
      </w:r>
    </w:p>
    <w:p w:rsidR="004C50DC" w:rsidRPr="00E8358C" w:rsidRDefault="004C50DC" w:rsidP="004C50DC">
      <w:pPr>
        <w:pStyle w:val="Citation0c"/>
      </w:pPr>
      <w:r w:rsidRPr="00E8358C">
        <w:t>(Benito, entrevue, Léogâne, 12 juillet 2014)</w:t>
      </w:r>
    </w:p>
    <w:p w:rsidR="004C50DC" w:rsidRDefault="004C50DC" w:rsidP="004C50DC">
      <w:pPr>
        <w:spacing w:before="120" w:after="120"/>
        <w:jc w:val="both"/>
      </w:pPr>
    </w:p>
    <w:p w:rsidR="004C50DC" w:rsidRPr="00E8358C" w:rsidRDefault="004C50DC" w:rsidP="004C50DC">
      <w:pPr>
        <w:spacing w:before="120" w:after="120"/>
        <w:jc w:val="both"/>
      </w:pPr>
      <w:r w:rsidRPr="00E8358C">
        <w:t>Le « Blanc » est toujours présenté comme le principal responsable des malheurs d’Haïti. Jusqu’à ce jour, de nombreux Haïtiens croient encore que ce « Blanc » symbolique qui résume « les puissances occ</w:t>
      </w:r>
      <w:r w:rsidRPr="00E8358C">
        <w:t>i</w:t>
      </w:r>
      <w:r w:rsidRPr="00E8358C">
        <w:t>dentales » est derrière les positions prises par les gouvernements v</w:t>
      </w:r>
      <w:r w:rsidRPr="00E8358C">
        <w:t>i</w:t>
      </w:r>
      <w:r w:rsidRPr="00E8358C">
        <w:t>sant à marginaliser la masse paysanne. Les propos de Gladys, une v</w:t>
      </w:r>
      <w:r w:rsidRPr="00E8358C">
        <w:t>o</w:t>
      </w:r>
      <w:r w:rsidRPr="00E8358C">
        <w:t>douisante rencontrée à Mariani lors de nos enquêtes de terrain, vie</w:t>
      </w:r>
      <w:r w:rsidRPr="00E8358C">
        <w:t>n</w:t>
      </w:r>
      <w:r w:rsidRPr="00E8358C">
        <w:t>nent compléter</w:t>
      </w:r>
      <w:r>
        <w:t xml:space="preserve"> [354]</w:t>
      </w:r>
      <w:r w:rsidRPr="00E8358C">
        <w:t xml:space="preserve"> l’attitude précédemment décrite.</w:t>
      </w:r>
    </w:p>
    <w:p w:rsidR="004C50DC" w:rsidRDefault="004C50DC" w:rsidP="004C50DC">
      <w:pPr>
        <w:pStyle w:val="Citation0i"/>
      </w:pPr>
    </w:p>
    <w:p w:rsidR="004C50DC" w:rsidRPr="00E8358C" w:rsidRDefault="004C50DC" w:rsidP="004C50DC">
      <w:pPr>
        <w:pStyle w:val="Citation0i"/>
      </w:pPr>
      <w:r w:rsidRPr="00E8358C">
        <w:t>Yo ba nou yon Konkòda en 1860 ki se envazyon masiv de mesye pè yo ki sot sou bato blan epi ki vin swadizan andoktrine nou kont vodou. Yo r</w:t>
      </w:r>
      <w:r w:rsidRPr="00E8358C">
        <w:t>e</w:t>
      </w:r>
      <w:r w:rsidRPr="00E8358C">
        <w:t>mèt yo monopòl edikasyon peyi a. Pi devan yo pral vini ak okipasyon amer</w:t>
      </w:r>
      <w:r w:rsidRPr="00E8358C">
        <w:t>i</w:t>
      </w:r>
      <w:r w:rsidRPr="00E8358C">
        <w:t>kenn (1915 1934). Vin gen aprè, yon toro yo rele Elie Lescot, Stenio Vi</w:t>
      </w:r>
      <w:r w:rsidRPr="00E8358C">
        <w:t>n</w:t>
      </w:r>
      <w:r w:rsidRPr="00E8358C">
        <w:t xml:space="preserve">cent et menm yon Paul Eugène Magloire. Sa plis ke anpeche n vanse, mete baton nan wou nou. </w:t>
      </w:r>
    </w:p>
    <w:p w:rsidR="004C50DC" w:rsidRPr="00E8358C" w:rsidRDefault="004C50DC" w:rsidP="004C50DC">
      <w:pPr>
        <w:pStyle w:val="Citation0"/>
      </w:pPr>
      <w:r w:rsidRPr="00E8358C">
        <w:t>[On nous a imposé un Concordat en 1860. C’est une invasion de prêtres blancs qui viennent nous endoctriner contre le vodou</w:t>
      </w:r>
      <w:r>
        <w:t> </w:t>
      </w:r>
      <w:r>
        <w:rPr>
          <w:rStyle w:val="Appelnotedebasdep"/>
        </w:rPr>
        <w:footnoteReference w:id="900"/>
      </w:r>
      <w:r w:rsidRPr="00E8358C">
        <w:t>. Ils avaient la cha</w:t>
      </w:r>
      <w:r w:rsidRPr="00E8358C">
        <w:t>r</w:t>
      </w:r>
      <w:r w:rsidRPr="00E8358C">
        <w:t>ge d’éduquer nos enfants. Plus tard, nous devons faire face à une occup</w:t>
      </w:r>
      <w:r w:rsidRPr="00E8358C">
        <w:t>a</w:t>
      </w:r>
      <w:r w:rsidRPr="00E8358C">
        <w:t>tion américaine (1915-1934). Des chefs d’État comme Élie Lescot, Sténio Vincent et Paul-Eugène Magloire viennent continuer la politique d’exclusion encouragée par les forces d’occupation. Ils nous ont mis des bâtons dans les roues.]</w:t>
      </w:r>
    </w:p>
    <w:p w:rsidR="004C50DC" w:rsidRDefault="004C50DC" w:rsidP="004C50DC">
      <w:pPr>
        <w:pStyle w:val="Citation0c"/>
      </w:pPr>
      <w:r w:rsidRPr="00E8358C">
        <w:t>(Gladys, entrevue, Mariani, 22 juillet 2014)</w:t>
      </w:r>
    </w:p>
    <w:p w:rsidR="004C50DC" w:rsidRPr="00E8358C" w:rsidRDefault="004C50DC" w:rsidP="004C50DC">
      <w:pPr>
        <w:pStyle w:val="Citation0c"/>
      </w:pPr>
    </w:p>
    <w:p w:rsidR="004C50DC" w:rsidRDefault="004C50DC" w:rsidP="004C50DC">
      <w:pPr>
        <w:spacing w:before="120" w:after="120"/>
        <w:jc w:val="both"/>
      </w:pPr>
      <w:r w:rsidRPr="00E8358C">
        <w:t>Toute l’histoire du vodou est faite de résistance. Il y a lieu de se demander comment cette religion a pu se développer et s’imposer comme patrimoine dans des conditions perpétuelles de résistance ? Le temps passé à résister contre les ennemis déclarés ou non déclarés est soustrait à l’ensemble du temps de production, d’utilité et de création. Le contexte mémoriel et patrimonial de l’esclavage serait-il favorable au développement légitime du vodou ?</w:t>
      </w:r>
      <w:bookmarkEnd w:id="450"/>
    </w:p>
    <w:p w:rsidR="004C50DC" w:rsidRPr="00E8358C" w:rsidRDefault="004C50DC" w:rsidP="004C50DC">
      <w:pPr>
        <w:spacing w:before="120" w:after="120"/>
        <w:jc w:val="both"/>
      </w:pPr>
    </w:p>
    <w:p w:rsidR="004C50DC" w:rsidRPr="00AB49ED" w:rsidRDefault="004C50DC" w:rsidP="004C50DC">
      <w:pPr>
        <w:pStyle w:val="b"/>
      </w:pPr>
      <w:bookmarkStart w:id="495" w:name="_Toc442280556"/>
      <w:r w:rsidRPr="00AB49ED">
        <w:t>Gédé et rapport au passé colonial esclavagiste</w:t>
      </w:r>
      <w:bookmarkEnd w:id="495"/>
      <w:r w:rsidRPr="00AB49ED">
        <w:t xml:space="preserve">  </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Max Beauvoir, le </w:t>
      </w:r>
      <w:r w:rsidRPr="00792DC7">
        <w:t>chef suprême de la religion vodou en Haïti</w:t>
      </w:r>
      <w:r>
        <w:t> </w:t>
      </w:r>
      <w:r>
        <w:rPr>
          <w:rStyle w:val="Appelnotedebasdep"/>
        </w:rPr>
        <w:footnoteReference w:id="901"/>
      </w:r>
      <w:r w:rsidRPr="00E8358C">
        <w:t>, e</w:t>
      </w:r>
      <w:r w:rsidRPr="00E8358C">
        <w:t>x</w:t>
      </w:r>
      <w:r w:rsidRPr="00E8358C">
        <w:t>plique que la date du 1</w:t>
      </w:r>
      <w:r w:rsidRPr="00E8358C">
        <w:rPr>
          <w:vertAlign w:val="superscript"/>
        </w:rPr>
        <w:t>er</w:t>
      </w:r>
      <w:r w:rsidRPr="00E8358C">
        <w:t xml:space="preserve"> novembre est le premier jour de l’an pour les </w:t>
      </w:r>
      <w:r w:rsidRPr="00E8358C">
        <w:rPr>
          <w:i/>
        </w:rPr>
        <w:t>gédés</w:t>
      </w:r>
      <w:r>
        <w:t> </w:t>
      </w:r>
      <w:r>
        <w:rPr>
          <w:rStyle w:val="Appelnotedebasdep"/>
        </w:rPr>
        <w:footnoteReference w:id="902"/>
      </w:r>
      <w:r w:rsidRPr="00E8358C">
        <w:t>. C’est le moment de rendre</w:t>
      </w:r>
      <w:r>
        <w:t xml:space="preserve"> [355]</w:t>
      </w:r>
      <w:r w:rsidRPr="00E8358C">
        <w:t xml:space="preserve"> hommage aux âmes disp</w:t>
      </w:r>
      <w:r w:rsidRPr="00E8358C">
        <w:t>a</w:t>
      </w:r>
      <w:r w:rsidRPr="00E8358C">
        <w:t>rues. Les âmes des héros de l’indépendance (</w:t>
      </w:r>
      <w:r w:rsidRPr="00E8358C">
        <w:rPr>
          <w:i/>
        </w:rPr>
        <w:t>zanzèt</w:t>
      </w:r>
      <w:r w:rsidRPr="00E8358C">
        <w:t>) sont aussi hon</w:t>
      </w:r>
      <w:r w:rsidRPr="00E8358C">
        <w:t>o</w:t>
      </w:r>
      <w:r w:rsidRPr="00E8358C">
        <w:t xml:space="preserve">rées. Dans le vodou, les </w:t>
      </w:r>
      <w:r w:rsidRPr="00E8358C">
        <w:rPr>
          <w:i/>
        </w:rPr>
        <w:t>gédés</w:t>
      </w:r>
      <w:r w:rsidRPr="00E8358C">
        <w:t xml:space="preserve"> vivent une vie à l’envers. À tr</w:t>
      </w:r>
      <w:r w:rsidRPr="00E8358C">
        <w:t>a</w:t>
      </w:r>
      <w:r w:rsidRPr="00E8358C">
        <w:t xml:space="preserve">vers le </w:t>
      </w:r>
      <w:r w:rsidRPr="00E8358C">
        <w:rPr>
          <w:i/>
        </w:rPr>
        <w:t>gédé</w:t>
      </w:r>
      <w:r w:rsidRPr="00E8358C">
        <w:t>, la liberté est célébrée. Toutefois, cette fête est souvent perturbée par des chrétiens protestants qui investissent les cimetières, au même moment, pour empêcher son bon déroulement. Ils veulent profiter de l’occasion pour appeler les vodouisants à la conversion. Pour les fid</w:t>
      </w:r>
      <w:r w:rsidRPr="00E8358C">
        <w:t>è</w:t>
      </w:r>
      <w:r w:rsidRPr="00E8358C">
        <w:t>les vodouisants, le comportement agressif affiché par ces fidèles pr</w:t>
      </w:r>
      <w:r w:rsidRPr="00E8358C">
        <w:t>o</w:t>
      </w:r>
      <w:r w:rsidRPr="00E8358C">
        <w:t xml:space="preserve">testants ne fait pas honneur aux divinités associées à la fête </w:t>
      </w:r>
      <w:r w:rsidRPr="00E8358C">
        <w:rPr>
          <w:i/>
        </w:rPr>
        <w:t>gédé</w:t>
      </w:r>
      <w:r w:rsidRPr="00E8358C">
        <w:t>. Max Beauvoir essaie de nous expliquer pourquoi.</w:t>
      </w:r>
    </w:p>
    <w:p w:rsidR="004C50DC" w:rsidRDefault="004C50DC" w:rsidP="004C50DC">
      <w:pPr>
        <w:pStyle w:val="Citation0i"/>
      </w:pPr>
    </w:p>
    <w:p w:rsidR="004C50DC" w:rsidRPr="00E8358C" w:rsidRDefault="004C50DC" w:rsidP="004C50DC">
      <w:pPr>
        <w:pStyle w:val="Citation0i"/>
      </w:pPr>
      <w:r w:rsidRPr="00E8358C">
        <w:t>Protestan sa yo se moun ki pa gen konesans, se moun ki sòt, yo pa gen lespri. Se yon seri de pastè ke yo te voye al etidye nan Mississipi, Alab</w:t>
      </w:r>
      <w:r w:rsidRPr="00E8358C">
        <w:t>a</w:t>
      </w:r>
      <w:r w:rsidRPr="00E8358C">
        <w:t>ma. Se kwen Ozetazini Damerik ki nouri menm moun ki rasis. Ki pa re</w:t>
      </w:r>
      <w:r w:rsidRPr="00E8358C">
        <w:t>n</w:t>
      </w:r>
      <w:r w:rsidRPr="00E8358C">
        <w:t>men wè moun nwè. Yon kote yo te konn mare moun nwè dèyè kamyon, tr</w:t>
      </w:r>
      <w:r w:rsidRPr="00E8358C">
        <w:t>e</w:t>
      </w:r>
      <w:r w:rsidRPr="00E8358C">
        <w:t>nen yo nan lari. Se la ke pastè nou yo al etidye, aprè konsa yo voye reto</w:t>
      </w:r>
      <w:r w:rsidRPr="00E8358C">
        <w:t>u</w:t>
      </w:r>
      <w:r w:rsidRPr="00E8358C">
        <w:t>nen ban nou pou vin fòme ti Ayisyen, pou yo vin deayisyanize Ayisyen yo. Y ap fè yon travay de akiltirasyon ki sovaj. Nan sèten ka, yo konn r</w:t>
      </w:r>
      <w:r w:rsidRPr="00E8358C">
        <w:t>e</w:t>
      </w:r>
      <w:r w:rsidRPr="00E8358C">
        <w:t xml:space="preserve">yisi tou. Men nou trè fyè de kilti nou, vodou a ki selebre gede, an menm tan an libète. Nou di nou pap rete ak moun ankò, menm jan zansèt nou yo te di a. </w:t>
      </w:r>
    </w:p>
    <w:p w:rsidR="004C50DC" w:rsidRPr="00E8358C" w:rsidRDefault="004C50DC" w:rsidP="004C50DC">
      <w:pPr>
        <w:pStyle w:val="Citation0"/>
      </w:pPr>
      <w:r w:rsidRPr="00E8358C">
        <w:t>[Ces chrétiens protestants font preuve de leur ignorance, d’un manque d’ouverture d’esprit. C’est un ensemble de pasteurs haïtiens formés dans le Mississippi et l’Alabama aux États-Unis. Ce sont des États qui alime</w:t>
      </w:r>
      <w:r w:rsidRPr="00E8358C">
        <w:t>n</w:t>
      </w:r>
      <w:r w:rsidRPr="00E8358C">
        <w:t>tent toujours le moulin du racisme. Les habitants de cet endroit ont une haine contre les Noirs. Ils avaient été victimes d’atrocités incomparables et d’actes de torture dans ces États. Malhe</w:t>
      </w:r>
      <w:r w:rsidRPr="00E8358C">
        <w:t>u</w:t>
      </w:r>
      <w:r w:rsidRPr="00E8358C">
        <w:t>reusement, ces pasteurs ont été formés à cette école. Ils sont retournés pour tenter de « déshaïtianiser » le peuple haïtien. Manifestement, ils s’investissent corps et âme dans un pr</w:t>
      </w:r>
      <w:r w:rsidRPr="00E8358C">
        <w:t>o</w:t>
      </w:r>
      <w:r w:rsidRPr="00E8358C">
        <w:t>cessus d’acculturation du peuple haïtien. Certes, ils réussissent dans ce</w:t>
      </w:r>
      <w:r w:rsidRPr="00E8358C">
        <w:t>r</w:t>
      </w:r>
      <w:r w:rsidRPr="00E8358C">
        <w:t>tains cas, mais nous so</w:t>
      </w:r>
      <w:r w:rsidRPr="00E8358C">
        <w:t>m</w:t>
      </w:r>
      <w:r w:rsidRPr="00E8358C">
        <w:t>mes encore très fiers de notre culture, de notre vodou qui célèbre le gédé et la liberté. Nous jurons de rester libres et de suivre les pas de nos ancêtres.]</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Default="004C50DC" w:rsidP="004C50DC">
      <w:pPr>
        <w:spacing w:before="120" w:after="120"/>
        <w:jc w:val="both"/>
      </w:pPr>
      <w:r w:rsidRPr="00E8358C">
        <w:t>Le « nous » utilisé dans la dernière phrase prend en compte surtout les vodouisants qu’il défend énergiquement. Toujours face aux détra</w:t>
      </w:r>
      <w:r w:rsidRPr="00E8358C">
        <w:t>c</w:t>
      </w:r>
      <w:r w:rsidRPr="00E8358C">
        <w:t>teurs de la religion vodou, l’Ati national  lance un appel, tout en rev</w:t>
      </w:r>
      <w:r w:rsidRPr="00E8358C">
        <w:t>e</w:t>
      </w:r>
      <w:r w:rsidRPr="00E8358C">
        <w:t>nant dans l’ensemble sur les multiples persécutions dont sont victimes les vodouisants depuis l’Indépendance.</w:t>
      </w:r>
    </w:p>
    <w:p w:rsidR="004C50DC" w:rsidRDefault="004C50DC" w:rsidP="004C50DC">
      <w:pPr>
        <w:spacing w:before="120" w:after="120"/>
        <w:jc w:val="both"/>
      </w:pPr>
      <w:r>
        <w:t>[356]</w:t>
      </w:r>
    </w:p>
    <w:p w:rsidR="004C50DC" w:rsidRPr="00E8358C" w:rsidRDefault="004C50DC" w:rsidP="004C50DC">
      <w:pPr>
        <w:spacing w:before="120" w:after="120"/>
        <w:jc w:val="both"/>
      </w:pPr>
    </w:p>
    <w:p w:rsidR="004C50DC" w:rsidRPr="00E8358C" w:rsidRDefault="004C50DC" w:rsidP="004C50DC">
      <w:pPr>
        <w:pStyle w:val="Citation0i"/>
      </w:pPr>
      <w:r w:rsidRPr="00E8358C">
        <w:t>M ap di kenbe fò. M ap di kenbe fò paske nan tout listwa pèp ay</w:t>
      </w:r>
      <w:r w:rsidRPr="00E8358C">
        <w:t>i</w:t>
      </w:r>
      <w:r w:rsidRPr="00E8358C">
        <w:t>syen an ke nou konnen de 1804 a jouenn jodia, se yon listwa de debòdman kont v</w:t>
      </w:r>
      <w:r w:rsidRPr="00E8358C">
        <w:t>o</w:t>
      </w:r>
      <w:r w:rsidRPr="00E8358C">
        <w:t>dou. Moun ki pratike lot relijyon yo ap kouri sou v</w:t>
      </w:r>
      <w:r w:rsidRPr="00E8358C">
        <w:t>o</w:t>
      </w:r>
      <w:r w:rsidRPr="00E8358C">
        <w:t>douyizan. Yo touye yo, kraze yo, fè yo yon bann mechanste. Yo pran gouvènman nan men yo. Nou fin fè yon revolisyon, fè endepandans yo touye papa Dessalines, 2 zan pita yo pran peyi a ankò nan men yo. Epi y ap mennen peyi a tankou se te yo ki blan an, yo menm ki kolon an. Tout sa ban nou anpil pwoblèm. Mwen panse ke moman an rive pou nou libere tèt nou. Parce que nous sommes des garçons et des filles d’hommes libres. Paske se kondisyon l</w:t>
      </w:r>
      <w:r w:rsidRPr="00E8358C">
        <w:t>i</w:t>
      </w:r>
      <w:r w:rsidRPr="00E8358C">
        <w:t>bète sa ke nou kapab pwodi kiltirèlman dabò. Men nou ka pwodi tou  sou plan te</w:t>
      </w:r>
      <w:r w:rsidRPr="00E8358C">
        <w:t>k</w:t>
      </w:r>
      <w:r w:rsidRPr="00E8358C">
        <w:t>nik, arti</w:t>
      </w:r>
      <w:r w:rsidRPr="00E8358C">
        <w:t>s</w:t>
      </w:r>
      <w:r w:rsidRPr="00E8358C">
        <w:t>tik, sou plan literè. Pou nou ka pwodi, fòk nou lib. C’est en être libre, jan zansèt nou yo te renmen wè nou an. Se konsa pou n wè tèt nou tou pou ke nou evolye nan sans sa. Kwasimbo. Rete lib, se nan l</w:t>
      </w:r>
      <w:r w:rsidRPr="00E8358C">
        <w:t>i</w:t>
      </w:r>
      <w:r w:rsidRPr="00E8358C">
        <w:t xml:space="preserve">bète a nou kapab vrèman de bon Ayisyen. </w:t>
      </w:r>
    </w:p>
    <w:p w:rsidR="004C50DC" w:rsidRPr="00E8358C" w:rsidRDefault="004C50DC" w:rsidP="004C50DC">
      <w:pPr>
        <w:pStyle w:val="Citation0"/>
      </w:pPr>
      <w:r w:rsidRPr="00E8358C">
        <w:t>[Du courage ! Du courage, car toute l’histoire d’Haïti de 1804 à nos jours est une histoire de débordement de violence contre la rel</w:t>
      </w:r>
      <w:r w:rsidRPr="00E8358C">
        <w:t>i</w:t>
      </w:r>
      <w:r w:rsidRPr="00E8358C">
        <w:t>gion vodou. Des fidèles chrétiens traquent des vodouisants. Ces de</w:t>
      </w:r>
      <w:r w:rsidRPr="00E8358C">
        <w:t>r</w:t>
      </w:r>
      <w:r w:rsidRPr="00E8358C">
        <w:t>niers sont tués, menacés de mort, maltraités, exclus. Les détracteurs ont volé leur indépendance. Les vodouisants ont été les principaux artisans de la construction de la R</w:t>
      </w:r>
      <w:r w:rsidRPr="00E8358C">
        <w:t>é</w:t>
      </w:r>
      <w:r w:rsidRPr="00E8358C">
        <w:t>publique d’Haïti. Les dénigreurs du vodou ont assassiné papa Dessalines</w:t>
      </w:r>
      <w:r>
        <w:t> </w:t>
      </w:r>
      <w:r w:rsidRPr="00E8358C">
        <w:rPr>
          <w:rStyle w:val="Appelnotedebasdep"/>
          <w:szCs w:val="22"/>
        </w:rPr>
        <w:footnoteReference w:id="903"/>
      </w:r>
      <w:r w:rsidRPr="00E8358C">
        <w:t xml:space="preserve"> deux ans plus tard et se sont comportés comme les nouveaux colons. Cette situation est alarmante. Le moment de la libération mentale est enfin arr</w:t>
      </w:r>
      <w:r w:rsidRPr="00E8358C">
        <w:t>i</w:t>
      </w:r>
      <w:r w:rsidRPr="00E8358C">
        <w:t>vé. Car nous sommes des fils et des filles d’hommes libres. Cette liberté doit nous permettre de produire sur les plans culturel, technique, artistique et littéraire. Rien ne vaut cette liberté. Pour produire, nous devons être l</w:t>
      </w:r>
      <w:r w:rsidRPr="00E8358C">
        <w:t>i</w:t>
      </w:r>
      <w:r w:rsidRPr="00E8358C">
        <w:t>bres tot</w:t>
      </w:r>
      <w:r w:rsidRPr="00E8358C">
        <w:t>a</w:t>
      </w:r>
      <w:r w:rsidRPr="00E8358C">
        <w:t>lement comme l’ont voulu nos ancêtres. Nous devons suivre leur trace pour un développement effectif. Kwasimbo</w:t>
      </w:r>
      <w:r>
        <w:t> </w:t>
      </w:r>
      <w:r>
        <w:rPr>
          <w:rStyle w:val="Appelnotedebasdep"/>
        </w:rPr>
        <w:footnoteReference w:id="904"/>
      </w:r>
      <w:r w:rsidRPr="00E8358C">
        <w:t> ! Restons libres, car dans la liberté on deviendra de vrais Haïtiens.]</w:t>
      </w:r>
    </w:p>
    <w:p w:rsidR="004C50DC" w:rsidRPr="00E8358C" w:rsidRDefault="004C50DC" w:rsidP="004C50DC">
      <w:pPr>
        <w:pStyle w:val="Citation0c"/>
      </w:pPr>
      <w:r w:rsidRPr="00E8358C">
        <w:t>(Max Beauvoir, entrevue, Mariani, 21 juillet 2014)</w:t>
      </w:r>
    </w:p>
    <w:p w:rsidR="004C50DC" w:rsidRDefault="004C50DC" w:rsidP="004C50DC">
      <w:pPr>
        <w:spacing w:before="120" w:after="120"/>
        <w:jc w:val="both"/>
      </w:pPr>
    </w:p>
    <w:p w:rsidR="004C50DC" w:rsidRDefault="004C50DC" w:rsidP="004C50DC">
      <w:pPr>
        <w:spacing w:before="120" w:after="120"/>
        <w:jc w:val="both"/>
      </w:pPr>
      <w:r w:rsidRPr="00E8358C">
        <w:t>Dans ce témoignage, on peut voir une forme de revendication de la contribution du vodou à la guerre d’Indépendance haïtienne. L’Ati veut montrer que le vodou est à la base de la réussite de la Révolution. Il s’oppose à tous ceux qui croient pouvoir exclure les vodouisants de la gestion du pays, particulièrement les chrétiens. Le vodou est une pratique culturelle indispensable au développement d’Haïti. On peut l’utiliser pour rallier une grande partie de la population à un plan str</w:t>
      </w:r>
      <w:r w:rsidRPr="00E8358C">
        <w:t>a</w:t>
      </w:r>
      <w:r w:rsidRPr="00E8358C">
        <w:t xml:space="preserve">tégique de développement durable de la société haïtienne. </w:t>
      </w:r>
    </w:p>
    <w:p w:rsidR="004C50DC" w:rsidRPr="00E8358C" w:rsidRDefault="004C50DC" w:rsidP="004C50DC">
      <w:pPr>
        <w:spacing w:before="120" w:after="120"/>
        <w:jc w:val="both"/>
      </w:pPr>
    </w:p>
    <w:p w:rsidR="004C50DC" w:rsidRPr="00AB49ED" w:rsidRDefault="004C50DC" w:rsidP="004C50DC">
      <w:pPr>
        <w:pStyle w:val="b"/>
      </w:pPr>
      <w:bookmarkStart w:id="496" w:name="_Toc442280557"/>
      <w:r w:rsidRPr="00AB49ED">
        <w:t>De l’esclavage à la zombification :</w:t>
      </w:r>
      <w:r>
        <w:br/>
      </w:r>
      <w:r w:rsidRPr="00AB49ED">
        <w:t>questionnement de la continu</w:t>
      </w:r>
      <w:r w:rsidRPr="00AB49ED">
        <w:t>i</w:t>
      </w:r>
      <w:r w:rsidRPr="00AB49ED">
        <w:t>té coloniale</w:t>
      </w:r>
      <w:bookmarkEnd w:id="496"/>
    </w:p>
    <w:p w:rsidR="004C50DC" w:rsidRDefault="004C50DC" w:rsidP="004C50DC">
      <w:pPr>
        <w:spacing w:before="120" w:after="120"/>
        <w:jc w:val="both"/>
      </w:pPr>
    </w:p>
    <w:p w:rsidR="004C50DC" w:rsidRDefault="004C50DC" w:rsidP="004C50DC">
      <w:pPr>
        <w:spacing w:before="120" w:after="120"/>
        <w:jc w:val="both"/>
      </w:pPr>
      <w:r w:rsidRPr="00E8358C">
        <w:t>Des chercheurs ont travaillé sur le rapport entre l’esclavage et la zombification dans la</w:t>
      </w:r>
      <w:r>
        <w:t xml:space="preserve"> [357]</w:t>
      </w:r>
      <w:r w:rsidRPr="00E8358C">
        <w:t xml:space="preserve"> société haïtienne. Alfred Métraux a ouvert la voie en définissant le zombi comme « un individu dont un </w:t>
      </w:r>
      <w:r w:rsidRPr="00E8358C">
        <w:rPr>
          <w:i/>
        </w:rPr>
        <w:t>bòkòr</w:t>
      </w:r>
      <w:r>
        <w:t> </w:t>
      </w:r>
      <w:r>
        <w:rPr>
          <w:rStyle w:val="Appelnotedebasdep"/>
        </w:rPr>
        <w:footnoteReference w:id="905"/>
      </w:r>
      <w:r w:rsidRPr="00E8358C">
        <w:t xml:space="preserve"> a enlevé l’âme et qu’il a réduit en servitude »</w:t>
      </w:r>
      <w:r>
        <w:t> </w:t>
      </w:r>
      <w:r>
        <w:rPr>
          <w:rStyle w:val="Appelnotedebasdep"/>
        </w:rPr>
        <w:footnoteReference w:id="906"/>
      </w:r>
      <w:r w:rsidRPr="00E8358C">
        <w:t>. Franck Dégoul porte aussi un regard plus sociopolitique sur le zombi qu’il lie clairement au passé colonial esclavagiste</w:t>
      </w:r>
      <w:r>
        <w:t> </w:t>
      </w:r>
      <w:r>
        <w:rPr>
          <w:rStyle w:val="Appelnotedebasdep"/>
        </w:rPr>
        <w:footnoteReference w:id="907"/>
      </w:r>
      <w:r w:rsidRPr="00E8358C">
        <w:t>. Pour cet auteur, « le zombi est un escl</w:t>
      </w:r>
      <w:r w:rsidRPr="00E8358C">
        <w:t>a</w:t>
      </w:r>
      <w:r w:rsidRPr="00E8358C">
        <w:t>ve voué au labeur, une bête de somme, une main-d’œuvre corvé</w:t>
      </w:r>
      <w:r w:rsidRPr="00E8358C">
        <w:t>a</w:t>
      </w:r>
      <w:r w:rsidRPr="00E8358C">
        <w:t>ble à merci sans autre valeur qu’instrumentale »</w:t>
      </w:r>
      <w:r>
        <w:t> </w:t>
      </w:r>
      <w:r w:rsidRPr="00E8358C">
        <w:rPr>
          <w:rStyle w:val="Appelnotedebasdep"/>
        </w:rPr>
        <w:footnoteReference w:id="908"/>
      </w:r>
      <w:r w:rsidRPr="00E8358C">
        <w:t>. La façon de s’habiller en haillons, voire d’être presque nu, et les maisons où sontlogés les zo</w:t>
      </w:r>
      <w:r w:rsidRPr="00E8358C">
        <w:t>m</w:t>
      </w:r>
      <w:r w:rsidRPr="00E8358C">
        <w:t>bis, montre bien une similitude des « modes d’entretien et d’exploitation respectifs des zombis et de leurs ascendants réels, les esclaves de l’histoire coloniale »</w:t>
      </w:r>
      <w:r>
        <w:t> </w:t>
      </w:r>
      <w:r w:rsidRPr="00E8358C">
        <w:rPr>
          <w:rStyle w:val="Appelnotedebasdep"/>
        </w:rPr>
        <w:footnoteReference w:id="909"/>
      </w:r>
      <w:r w:rsidRPr="00E8358C">
        <w:t>. Ce n’est pas Gary, le prêtre v</w:t>
      </w:r>
      <w:r w:rsidRPr="00E8358C">
        <w:t>o</w:t>
      </w:r>
      <w:r w:rsidRPr="00E8358C">
        <w:t>dou de Léogâne, qui diraitle contraire.</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Zonbi a pa gen okenn dwa. Se mèt li ki deside lè pou li travay, manje, bwè ou domi. Dayè pou tout moun li mouri e antere. Si li sou tè a se pou travay san pran souf. Li pa gen dwa pou li refize tou. Ke</w:t>
      </w:r>
      <w:r w:rsidRPr="00E8358C">
        <w:t>l</w:t>
      </w:r>
      <w:r w:rsidRPr="00E8358C">
        <w:t xml:space="preserve">keswa jan li ta mouri a, zombi a vin esklav mèt li ki ba l yon lòt vi. </w:t>
      </w:r>
    </w:p>
    <w:p w:rsidR="004C50DC" w:rsidRPr="00E8358C" w:rsidRDefault="004C50DC" w:rsidP="004C50DC">
      <w:pPr>
        <w:pStyle w:val="Citation0"/>
      </w:pPr>
      <w:r w:rsidRPr="00E8358C">
        <w:t>[Le zombi n’a aucun droit. Le maître seul peut décider quand il doit tr</w:t>
      </w:r>
      <w:r w:rsidRPr="00E8358C">
        <w:t>a</w:t>
      </w:r>
      <w:r w:rsidRPr="00E8358C">
        <w:t>vailler, manger, boire ou dormir. C’est un mort officiellement déclaré et enterré. S’il se trouve encore sur la terre, c’est pour travailler à perpétu</w:t>
      </w:r>
      <w:r w:rsidRPr="00E8358C">
        <w:t>i</w:t>
      </w:r>
      <w:r w:rsidRPr="00E8358C">
        <w:t>té. Il ne pourrait pas refuser. Quelle que soit la raison de sa mort, le zo</w:t>
      </w:r>
      <w:r w:rsidRPr="00E8358C">
        <w:t>m</w:t>
      </w:r>
      <w:r w:rsidRPr="00E8358C">
        <w:t>bi est devenu un esclave, la propriété du maître qui lui a donné une s</w:t>
      </w:r>
      <w:r w:rsidRPr="00E8358C">
        <w:t>e</w:t>
      </w:r>
      <w:r w:rsidRPr="00E8358C">
        <w:t>conde vie.]</w:t>
      </w:r>
    </w:p>
    <w:p w:rsidR="004C50DC" w:rsidRDefault="004C50DC" w:rsidP="004C50DC">
      <w:pPr>
        <w:pStyle w:val="Citation0c"/>
      </w:pPr>
      <w:r w:rsidRPr="00E8358C">
        <w:t>(Gary, entrevue, Léogâne, 21 juin 2014)</w:t>
      </w:r>
    </w:p>
    <w:p w:rsidR="004C50DC" w:rsidRPr="00E8358C" w:rsidRDefault="004C50DC" w:rsidP="004C50DC">
      <w:pPr>
        <w:pStyle w:val="Citation0c"/>
      </w:pPr>
    </w:p>
    <w:p w:rsidR="004C50DC" w:rsidRPr="00E8358C" w:rsidRDefault="004C50DC" w:rsidP="004C50DC">
      <w:pPr>
        <w:spacing w:before="120" w:after="120"/>
        <w:jc w:val="both"/>
      </w:pPr>
      <w:r w:rsidRPr="00E8358C">
        <w:t>Dans la colonie de Saint-Domingue, le maître avait le droit de vie et de mort sur son esclave</w:t>
      </w:r>
      <w:r>
        <w:t> </w:t>
      </w:r>
      <w:r w:rsidRPr="00E8358C">
        <w:rPr>
          <w:rStyle w:val="Appelnotedebasdep"/>
        </w:rPr>
        <w:footnoteReference w:id="910"/>
      </w:r>
      <w:r w:rsidRPr="00E8358C">
        <w:t>. Dans la situation de zombification, la même situation se reproduit pour l’individu zombi. Donc, le zombi, au service de son maître, devient un revenant social. Poizat en déduit que « le zombi incarne le souvenir de l’esclavage »</w:t>
      </w:r>
      <w:r>
        <w:t> </w:t>
      </w:r>
      <w:r>
        <w:rPr>
          <w:rStyle w:val="Appelnotedebasdep"/>
        </w:rPr>
        <w:footnoteReference w:id="911"/>
      </w:r>
      <w:r w:rsidRPr="00E8358C">
        <w:t>. Laënnec Hurbon, de son côté, fait le lien, à travers le sorcier, entre l’Afrique dépossédée et l’imaginaire européen marqué par l’invention de la figure du diable pour expliquer la zombification</w:t>
      </w:r>
      <w:r>
        <w:t> </w:t>
      </w:r>
      <w:r w:rsidRPr="00E8358C">
        <w:rPr>
          <w:rStyle w:val="Appelnotedebasdep"/>
        </w:rPr>
        <w:footnoteReference w:id="912"/>
      </w:r>
      <w:r w:rsidRPr="00E8358C">
        <w:t xml:space="preserve"> </w:t>
      </w:r>
      <w:r>
        <w:t xml:space="preserve">[358] </w:t>
      </w:r>
      <w:r w:rsidRPr="00E8358C">
        <w:t>et montrer ses rapports avec le passé colonial esclavagiste. Historiquement, le vodou charrie la « mémoire des opprimés »</w:t>
      </w:r>
      <w:r>
        <w:t> </w:t>
      </w:r>
      <w:r>
        <w:rPr>
          <w:rStyle w:val="Appelnotedebasdep"/>
        </w:rPr>
        <w:footnoteReference w:id="913"/>
      </w:r>
      <w:r w:rsidRPr="00E8358C">
        <w:t>. Dans la zombification, le zombi fait f</w:t>
      </w:r>
      <w:r w:rsidRPr="00E8358C">
        <w:t>i</w:t>
      </w:r>
      <w:r w:rsidRPr="00E8358C">
        <w:t>gure de victime de l’oppression du système socio-religieux élitaire. Dans la société haïtienne, l’oppresseur (</w:t>
      </w:r>
      <w:r w:rsidRPr="00E8358C">
        <w:rPr>
          <w:i/>
        </w:rPr>
        <w:t>bòkò</w:t>
      </w:r>
      <w:r w:rsidRPr="00E8358C">
        <w:t>) est aussi un opprimé qui veut justifier son rôle de commandeur. Il existe alors un véritable jeu de rôle entre les acteurs (</w:t>
      </w:r>
      <w:r w:rsidRPr="00E8358C">
        <w:rPr>
          <w:i/>
        </w:rPr>
        <w:t>bòkò</w:t>
      </w:r>
      <w:r w:rsidRPr="00E8358C">
        <w:t xml:space="preserve"> ou sorcier, zombi) dans le théâtre de commandement dans cette société. Le lourd héritage du chef est dev</w:t>
      </w:r>
      <w:r w:rsidRPr="00E8358C">
        <w:t>e</w:t>
      </w:r>
      <w:r w:rsidRPr="00E8358C">
        <w:t>nu une mémoire collective qui va même au-delà des considérations humaines.</w:t>
      </w:r>
    </w:p>
    <w:p w:rsidR="004C50DC" w:rsidRPr="00E8358C" w:rsidRDefault="004C50DC" w:rsidP="004C50DC">
      <w:pPr>
        <w:spacing w:before="120" w:after="120"/>
        <w:jc w:val="both"/>
      </w:pPr>
      <w:r w:rsidRPr="00E8358C">
        <w:t>En dehors des approches mystiques de la zombification, le terme charrie un autre sens, social celui-là, qui rappelle le système esclav</w:t>
      </w:r>
      <w:r w:rsidRPr="00E8358C">
        <w:t>a</w:t>
      </w:r>
      <w:r w:rsidRPr="00E8358C">
        <w:t xml:space="preserve">giste, comme dans l’expression </w:t>
      </w:r>
      <w:r w:rsidRPr="00E8358C">
        <w:rPr>
          <w:i/>
        </w:rPr>
        <w:t>Ou pa ka zonbifye m</w:t>
      </w:r>
      <w:r w:rsidRPr="00E8358C">
        <w:t xml:space="preserve"> (« Tu ne saurais m’asservir »). La zombification laisse entrevoir l’état imaginaire de l’esclavage. Ainsi, le zombi est une « forme légendaire, mythique, de l’aliénation et l’image du destin redouté et qu’il faut combattre »</w:t>
      </w:r>
      <w:r>
        <w:t> </w:t>
      </w:r>
      <w:r>
        <w:rPr>
          <w:rStyle w:val="Appelnotedebasdep"/>
        </w:rPr>
        <w:footnoteReference w:id="914"/>
      </w:r>
      <w:r w:rsidRPr="00E8358C">
        <w:t>. Le corps collectif haïtien en est fortement affecté. Franck Degoul a</w:t>
      </w:r>
      <w:r w:rsidRPr="00E8358C">
        <w:t>f</w:t>
      </w:r>
      <w:r w:rsidRPr="00E8358C">
        <w:t>firme avec raison :</w:t>
      </w:r>
    </w:p>
    <w:p w:rsidR="004C50DC" w:rsidRDefault="004C50DC" w:rsidP="004C50DC">
      <w:pPr>
        <w:pStyle w:val="Citation0"/>
      </w:pPr>
    </w:p>
    <w:p w:rsidR="004C50DC" w:rsidRDefault="004C50DC" w:rsidP="004C50DC">
      <w:pPr>
        <w:pStyle w:val="Citation0"/>
      </w:pPr>
      <w:r w:rsidRPr="00E8358C">
        <w:t>De l’esclave-</w:t>
      </w:r>
      <w:r w:rsidRPr="00E8358C">
        <w:rPr>
          <w:i/>
        </w:rPr>
        <w:t>zombi</w:t>
      </w:r>
      <w:r w:rsidRPr="00E8358C">
        <w:t xml:space="preserve"> au citoyen-</w:t>
      </w:r>
      <w:r w:rsidRPr="00E8358C">
        <w:rPr>
          <w:i/>
        </w:rPr>
        <w:t>zombi</w:t>
      </w:r>
      <w:r w:rsidRPr="00E8358C">
        <w:t>, c’est cette perpétuelle repr</w:t>
      </w:r>
      <w:r w:rsidRPr="00E8358C">
        <w:t>o</w:t>
      </w:r>
      <w:r w:rsidRPr="00E8358C">
        <w:t>duction des rapports inégalitaires qu’exprime l’utilisation politique de la notion de zombification. Issue primitivement de l’imaginaire populaire, elle est util</w:t>
      </w:r>
      <w:r w:rsidRPr="00E8358C">
        <w:t>i</w:t>
      </w:r>
      <w:r w:rsidRPr="00E8358C">
        <w:t>sée en second emploi comme modèle de compréhension de l’histoire ha</w:t>
      </w:r>
      <w:r w:rsidRPr="00E8358C">
        <w:t>ï</w:t>
      </w:r>
      <w:r w:rsidRPr="00E8358C">
        <w:t>tienne jusque dans ses aboutissements contemp</w:t>
      </w:r>
      <w:r w:rsidRPr="00E8358C">
        <w:t>o</w:t>
      </w:r>
      <w:r w:rsidRPr="00E8358C">
        <w:t>rains</w:t>
      </w:r>
      <w:r>
        <w:t> </w:t>
      </w:r>
      <w:r w:rsidRPr="00E8358C">
        <w:rPr>
          <w:rStyle w:val="Appelnotedebasdep"/>
          <w:szCs w:val="22"/>
        </w:rPr>
        <w:footnoteReference w:id="915"/>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Les mots d’Adélia, 27 ans, habitante de Bel-Air, rejoignent cette idée que soutiennent Maximilien Laroche et Franck Dégoul.</w:t>
      </w:r>
    </w:p>
    <w:p w:rsidR="004C50DC" w:rsidRDefault="004C50DC" w:rsidP="004C50DC">
      <w:pPr>
        <w:pStyle w:val="Citation0i"/>
      </w:pPr>
    </w:p>
    <w:p w:rsidR="004C50DC" w:rsidRPr="00E8358C" w:rsidRDefault="004C50DC" w:rsidP="004C50DC">
      <w:pPr>
        <w:pStyle w:val="Citation0i"/>
      </w:pPr>
      <w:r w:rsidRPr="00E8358C">
        <w:t xml:space="preserve">Depi 1804, yo zonbifye n ak bèl pwomès. Anyen pa janm fèt pou nou menm mas pèp la vre. Nou pa gen vwa ochapit pou n deside sak ki bon pou nou. </w:t>
      </w:r>
    </w:p>
    <w:p w:rsidR="004C50DC" w:rsidRPr="00E8358C" w:rsidRDefault="004C50DC" w:rsidP="004C50DC">
      <w:pPr>
        <w:pStyle w:val="Citation0"/>
      </w:pPr>
      <w:r w:rsidRPr="00E8358C">
        <w:t>[Depuis 1804, on nous fait des promesses pour nous maintenir dans un état de zombi. En réalité, la masse populaire n’a jamais tiré profit de ces di</w:t>
      </w:r>
      <w:r w:rsidRPr="00E8358C">
        <w:t>s</w:t>
      </w:r>
      <w:r w:rsidRPr="00E8358C">
        <w:t>cours. Nous ne participons pas aux prises de déc</w:t>
      </w:r>
      <w:r w:rsidRPr="00E8358C">
        <w:t>i</w:t>
      </w:r>
      <w:r w:rsidRPr="00E8358C">
        <w:t>sions.]</w:t>
      </w:r>
    </w:p>
    <w:p w:rsidR="004C50DC" w:rsidRPr="00E8358C" w:rsidRDefault="004C50DC" w:rsidP="004C50DC">
      <w:pPr>
        <w:pStyle w:val="Citation0c"/>
      </w:pPr>
      <w:r w:rsidRPr="00E8358C">
        <w:t>(Adélia, entrevue, Bel-Air, 11 mars 2013)</w:t>
      </w:r>
    </w:p>
    <w:p w:rsidR="004C50DC" w:rsidRPr="00E8358C" w:rsidRDefault="004C50DC" w:rsidP="004C50DC">
      <w:pPr>
        <w:spacing w:before="120" w:after="120"/>
        <w:jc w:val="both"/>
      </w:pPr>
      <w:r>
        <w:br w:type="page"/>
        <w:t>[359]</w:t>
      </w:r>
    </w:p>
    <w:p w:rsidR="004C50DC" w:rsidRPr="00E8358C" w:rsidRDefault="004C50DC" w:rsidP="004C50DC">
      <w:pPr>
        <w:spacing w:before="120" w:after="120"/>
        <w:jc w:val="both"/>
      </w:pPr>
      <w:r w:rsidRPr="00E8358C">
        <w:t>D’autre part, Gary estime que les vodouisants ont toujours été dans une situation de zombification politique et sociale. Sans doute fait-il allusion aux multiples campagnes dont le vodou a été victime et à ce</w:t>
      </w:r>
      <w:r w:rsidRPr="00E8358C">
        <w:t>t</w:t>
      </w:r>
      <w:r w:rsidRPr="00E8358C">
        <w:t xml:space="preserve">te condamnation de la société qui le rend responsable à certains égards des maux d’Haïti.  </w:t>
      </w:r>
    </w:p>
    <w:p w:rsidR="004C50DC" w:rsidRDefault="004C50DC" w:rsidP="004C50DC">
      <w:pPr>
        <w:pStyle w:val="Citation0i"/>
      </w:pPr>
    </w:p>
    <w:p w:rsidR="004C50DC" w:rsidRPr="00E8358C" w:rsidRDefault="004C50DC" w:rsidP="004C50DC">
      <w:pPr>
        <w:pStyle w:val="Citation0i"/>
      </w:pPr>
      <w:r w:rsidRPr="00E8358C">
        <w:t>Nou menm tou vodouyizan leta ak sosyete a vle zonbifye n tou. Yo te pa</w:t>
      </w:r>
      <w:r w:rsidRPr="00E8358C">
        <w:t>n</w:t>
      </w:r>
      <w:r w:rsidRPr="00E8358C">
        <w:t xml:space="preserve">se yo ka fè n fèmen bouch nou, men nou rive goute sèl lwa yo, se sa ki ka fè n egziste toujou nan peyi sa. </w:t>
      </w:r>
    </w:p>
    <w:p w:rsidR="004C50DC" w:rsidRPr="00E8358C" w:rsidRDefault="004C50DC" w:rsidP="004C50DC">
      <w:pPr>
        <w:pStyle w:val="Citation0"/>
      </w:pPr>
      <w:r w:rsidRPr="00E8358C">
        <w:t>[L’État et la société ont voulu faire des vodouisants des zombis.Ils pensent pouvoir nous faire taire, mais nous avons pu goûter le sel des Lwa qui nous gardent encore en vie dans ce pays. ]</w:t>
      </w:r>
    </w:p>
    <w:p w:rsidR="004C50DC" w:rsidRDefault="004C50DC" w:rsidP="004C50DC">
      <w:pPr>
        <w:pStyle w:val="Citation0c"/>
      </w:pPr>
      <w:r w:rsidRPr="00E8358C">
        <w:t>(Gary, entrevue, Léogâne, 21 juin 2014)</w:t>
      </w:r>
    </w:p>
    <w:p w:rsidR="004C50DC" w:rsidRPr="00E8358C" w:rsidRDefault="004C50DC" w:rsidP="004C50DC">
      <w:pPr>
        <w:pStyle w:val="Citation0c"/>
      </w:pPr>
    </w:p>
    <w:p w:rsidR="004C50DC" w:rsidRPr="00E8358C" w:rsidRDefault="004C50DC" w:rsidP="004C50DC">
      <w:pPr>
        <w:spacing w:before="120" w:after="120"/>
        <w:jc w:val="both"/>
      </w:pPr>
      <w:r w:rsidRPr="00E8358C">
        <w:t>Le sel permet à la personne du zombi de retrouver son âme. L’expression « zonbi goute sèl, li pa mande rete », employée dans ce</w:t>
      </w:r>
      <w:r w:rsidRPr="00E8358C">
        <w:t>r</w:t>
      </w:r>
      <w:r w:rsidRPr="00E8358C">
        <w:t>taines situations, donne au « sel » de multiples interprétations. Il peut revêtir le sens de lumière, de liberté, de connaissance, ou le sens d’une prise de conscience qui anime les actes de résistance ou de révolte dans la vie d’un individu ou d’un groupe social. René Depestre a montré les rapports de la zombification avec les formes d’expressions en lien avec le passé colonial ; pour lui,  l’esclave dans les plantations des colonies des Amériques est un zombi :</w:t>
      </w:r>
    </w:p>
    <w:p w:rsidR="004C50DC" w:rsidRDefault="004C50DC" w:rsidP="004C50DC">
      <w:pPr>
        <w:pStyle w:val="Citation0"/>
      </w:pPr>
    </w:p>
    <w:p w:rsidR="004C50DC" w:rsidRDefault="004C50DC" w:rsidP="004C50DC">
      <w:pPr>
        <w:pStyle w:val="Citation0"/>
      </w:pPr>
      <w:r w:rsidRPr="00E8358C">
        <w:t>Dans le langage, la religion, la magie, la musique, la danse, la f</w:t>
      </w:r>
      <w:r w:rsidRPr="00E8358C">
        <w:t>a</w:t>
      </w:r>
      <w:r w:rsidRPr="00E8358C">
        <w:t>bulation orale,la pharmacopée, la cuisine, les manières d’être, les arts populaires, les relations sexuelles, la famille, le carnaval, bref : dans toutes les formes d’expression de la vie en société, les esclaves des plantations américaines inventèrent des réponses mentales et motrices aux graves situations de cr</w:t>
      </w:r>
      <w:r w:rsidRPr="00E8358C">
        <w:t>i</w:t>
      </w:r>
      <w:r w:rsidRPr="00E8358C">
        <w:t>se, aux redoutables difficultés d’être qui menaçaient de zombifier à jamais leur conscience et leur sensibilité</w:t>
      </w:r>
      <w:r>
        <w:t> </w:t>
      </w:r>
      <w:r>
        <w:rPr>
          <w:rStyle w:val="Appelnotedebasdep"/>
        </w:rPr>
        <w:footnoteReference w:id="916"/>
      </w:r>
      <w:r w:rsidRPr="00E8358C">
        <w:t>.</w:t>
      </w:r>
    </w:p>
    <w:p w:rsidR="004C50DC" w:rsidRPr="00E8358C" w:rsidRDefault="004C50DC" w:rsidP="004C50DC">
      <w:pPr>
        <w:spacing w:before="120" w:after="120"/>
        <w:jc w:val="both"/>
        <w:rPr>
          <w:szCs w:val="22"/>
        </w:rPr>
      </w:pPr>
      <w:r>
        <w:rPr>
          <w:szCs w:val="22"/>
        </w:rPr>
        <w:br w:type="page"/>
      </w:r>
    </w:p>
    <w:p w:rsidR="004C50DC" w:rsidRPr="00AB49ED" w:rsidRDefault="004C50DC" w:rsidP="004C50DC">
      <w:pPr>
        <w:pStyle w:val="b"/>
      </w:pPr>
      <w:bookmarkStart w:id="497" w:name="_Toc406486112"/>
      <w:bookmarkStart w:id="498" w:name="_Toc406489739"/>
      <w:bookmarkStart w:id="499" w:name="_Toc442280558"/>
      <w:r w:rsidRPr="00AB49ED">
        <w:t>Vodou et phar</w:t>
      </w:r>
      <w:r>
        <w:t>macopée haïtienne :</w:t>
      </w:r>
      <w:r>
        <w:br/>
      </w:r>
      <w:r w:rsidRPr="00AB49ED">
        <w:t>un patrimoine mémoriel de l’esclavage</w:t>
      </w:r>
      <w:bookmarkEnd w:id="497"/>
      <w:bookmarkEnd w:id="498"/>
      <w:bookmarkEnd w:id="499"/>
    </w:p>
    <w:p w:rsidR="004C50DC" w:rsidRDefault="004C50DC" w:rsidP="004C50DC">
      <w:pPr>
        <w:spacing w:before="120" w:after="120"/>
        <w:jc w:val="both"/>
      </w:pPr>
    </w:p>
    <w:p w:rsidR="004C50DC" w:rsidRDefault="004C50DC" w:rsidP="004C50DC">
      <w:pPr>
        <w:spacing w:before="120" w:after="120"/>
        <w:jc w:val="both"/>
      </w:pPr>
      <w:r w:rsidRPr="00E8358C">
        <w:t>La pharmacopée haïtienne représente une somme de connaissances traditionnelles africaines ajoutées au savoir-faire des Amérindiens ta</w:t>
      </w:r>
      <w:r w:rsidRPr="00E8358C">
        <w:t>ï</w:t>
      </w:r>
      <w:r w:rsidRPr="00E8358C">
        <w:t>nos</w:t>
      </w:r>
      <w:r>
        <w:t> </w:t>
      </w:r>
      <w:r>
        <w:rPr>
          <w:rStyle w:val="Appelnotedebasdep"/>
        </w:rPr>
        <w:footnoteReference w:id="917"/>
      </w:r>
      <w:r w:rsidRPr="00E8358C">
        <w:t>. Ce corpus de connaissances alimente le moulin du patrimoine immatériel haïtien. Selon Max Beauvoir, les vodouisants sont les principaux détenteurs de cet héritage médicinal.</w:t>
      </w:r>
    </w:p>
    <w:p w:rsidR="004C50DC" w:rsidRDefault="004C50DC" w:rsidP="004C50DC">
      <w:pPr>
        <w:spacing w:before="120" w:after="120"/>
        <w:jc w:val="both"/>
      </w:pPr>
      <w:r>
        <w:t>[360]</w:t>
      </w:r>
    </w:p>
    <w:p w:rsidR="004C50DC" w:rsidRPr="00E8358C" w:rsidRDefault="004C50DC" w:rsidP="004C50DC">
      <w:pPr>
        <w:spacing w:before="120" w:after="120"/>
        <w:jc w:val="both"/>
      </w:pPr>
    </w:p>
    <w:p w:rsidR="004C50DC" w:rsidRPr="00E8358C" w:rsidRDefault="004C50DC" w:rsidP="004C50DC">
      <w:pPr>
        <w:pStyle w:val="Citation0"/>
      </w:pPr>
      <w:r w:rsidRPr="00E8358C">
        <w:t>Nous sommes au centre de nombreuses découvertes au niveau de la méd</w:t>
      </w:r>
      <w:r w:rsidRPr="00E8358C">
        <w:t>e</w:t>
      </w:r>
      <w:r w:rsidRPr="00E8358C">
        <w:t>cine moderne.Des chercheurs américains viennent souvent chez moi pour apprendre les techniques de guérison développées dans les pratiques my</w:t>
      </w:r>
      <w:r w:rsidRPr="00E8358C">
        <w:t>s</w:t>
      </w:r>
      <w:r w:rsidRPr="00E8358C">
        <w:t>tiques vodouesques grâce à nos rapports avec la n</w:t>
      </w:r>
      <w:r w:rsidRPr="00E8358C">
        <w:t>a</w:t>
      </w:r>
      <w:r w:rsidRPr="00E8358C">
        <w:t>ture, les plantes et  l’humain. La plupart de nos connaissances sont les résultats de l’écoute a</w:t>
      </w:r>
      <w:r w:rsidRPr="00E8358C">
        <w:t>c</w:t>
      </w:r>
      <w:r w:rsidRPr="00E8358C">
        <w:t>tive de la nature. Les plus grandes sommités de Mayo Clinic viennent se renseigner sur les techniques de traitement du cancer chez nous</w:t>
      </w:r>
      <w:r>
        <w:t> </w:t>
      </w:r>
      <w:r w:rsidRPr="00E8358C">
        <w:rPr>
          <w:rStyle w:val="Appelnotedebasdep"/>
          <w:szCs w:val="22"/>
        </w:rPr>
        <w:footnoteReference w:id="918"/>
      </w:r>
      <w:r w:rsidRPr="00E8358C">
        <w:t>. Car il leur manquait cette connaissance v</w:t>
      </w:r>
      <w:r w:rsidRPr="00E8358C">
        <w:t>o</w:t>
      </w:r>
      <w:r w:rsidRPr="00E8358C">
        <w:t xml:space="preserve">douesque, tenue par le </w:t>
      </w:r>
      <w:r w:rsidRPr="00E8358C">
        <w:rPr>
          <w:i/>
        </w:rPr>
        <w:t>houngan</w:t>
      </w:r>
      <w:r w:rsidRPr="00E8358C">
        <w:t xml:space="preserve"> ou la </w:t>
      </w:r>
      <w:r w:rsidRPr="00E8358C">
        <w:rPr>
          <w:i/>
        </w:rPr>
        <w:t>manbo</w:t>
      </w:r>
      <w:r>
        <w:t> </w:t>
      </w:r>
      <w:r w:rsidRPr="00DE648B">
        <w:rPr>
          <w:rStyle w:val="Appelnotedebasdep"/>
          <w:szCs w:val="22"/>
        </w:rPr>
        <w:footnoteReference w:id="919"/>
      </w:r>
      <w:r>
        <w:t xml:space="preserve"> </w:t>
      </w:r>
      <w:r w:rsidRPr="00E8358C">
        <w:t>(</w:t>
      </w:r>
      <w:r w:rsidRPr="00E8358C">
        <w:rPr>
          <w:i/>
        </w:rPr>
        <w:t>doktè fèy</w:t>
      </w:r>
      <w:r w:rsidRPr="00E8358C">
        <w:t xml:space="preserve">). Dans ses méthodes de traitement, le </w:t>
      </w:r>
      <w:r w:rsidRPr="00E8358C">
        <w:rPr>
          <w:i/>
        </w:rPr>
        <w:t xml:space="preserve">houngan </w:t>
      </w:r>
      <w:r w:rsidRPr="00E8358C">
        <w:t>rentre en contact avec le corps, l’esprit et l’âme du malade. Son profil historique est connu. Et le cancer est lié aussi au passé de l’individu malade, son m</w:t>
      </w:r>
      <w:r w:rsidRPr="00E8358C">
        <w:t>o</w:t>
      </w:r>
      <w:r w:rsidRPr="00E8358C">
        <w:t xml:space="preserve">de de vie. Donc, les chercheurs viennent également dans notre </w:t>
      </w:r>
      <w:r w:rsidRPr="00E8358C">
        <w:rPr>
          <w:i/>
        </w:rPr>
        <w:t>péristyle</w:t>
      </w:r>
      <w:r w:rsidRPr="00E8358C">
        <w:t xml:space="preserve"> ou </w:t>
      </w:r>
      <w:r w:rsidRPr="00E8358C">
        <w:rPr>
          <w:i/>
        </w:rPr>
        <w:t xml:space="preserve">oumfò </w:t>
      </w:r>
      <w:r w:rsidRPr="00E8358C">
        <w:t>(temple vodou) pour apprendre à traiter des cas de psychiatrie. Le docteur Nathan Klein</w:t>
      </w:r>
      <w:r>
        <w:t> </w:t>
      </w:r>
      <w:r w:rsidRPr="00E8358C">
        <w:rPr>
          <w:rStyle w:val="Appelnotedebasdep"/>
          <w:szCs w:val="22"/>
        </w:rPr>
        <w:footnoteReference w:id="920"/>
      </w:r>
      <w:r w:rsidRPr="00E8358C">
        <w:t xml:space="preserve"> fut l’un de ces chercheurs. Il a développé la méd</w:t>
      </w:r>
      <w:r w:rsidRPr="00E8358C">
        <w:t>e</w:t>
      </w:r>
      <w:r w:rsidRPr="00E8358C">
        <w:t xml:space="preserve">cine de groupe très reconnue dans le monde de la santé mentale. </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Pr="00E8358C" w:rsidRDefault="004C50DC" w:rsidP="004C50DC">
      <w:pPr>
        <w:spacing w:before="120" w:after="120"/>
        <w:jc w:val="both"/>
      </w:pPr>
      <w:r w:rsidRPr="00E8358C">
        <w:t>Nous ne disposons pas de moyens pour vérifier, dans l’état actuel de la recherche, que ces contributions sont le fruit de connaissances haïtiennes. Néanmoins, nous pouvons nous interroger sur le fait que ces chercheurs n’aient pas accordé le crédit de leurs inventions au v</w:t>
      </w:r>
      <w:r w:rsidRPr="00E8358C">
        <w:t>o</w:t>
      </w:r>
      <w:r w:rsidRPr="00E8358C">
        <w:t>dou haïtien.C’est à nouveau Max Beauvoir, l’Ati national, qui nous répond :</w:t>
      </w:r>
    </w:p>
    <w:p w:rsidR="004C50DC" w:rsidRDefault="004C50DC" w:rsidP="004C50DC">
      <w:pPr>
        <w:pStyle w:val="Citation0"/>
      </w:pPr>
    </w:p>
    <w:p w:rsidR="004C50DC" w:rsidRPr="00E8358C" w:rsidRDefault="004C50DC" w:rsidP="004C50DC">
      <w:pPr>
        <w:pStyle w:val="Citation0"/>
      </w:pPr>
      <w:r w:rsidRPr="00E8358C">
        <w:t>Il est vrai que les chercheurs n’ont jamais évoqué la contribution du vodou dans leur découverte, mais les vodouisants n’ont pas reve</w:t>
      </w:r>
      <w:r w:rsidRPr="00E8358C">
        <w:t>n</w:t>
      </w:r>
      <w:r w:rsidRPr="00E8358C">
        <w:t>diqué non plus leur apport à l’invention de ces traitements. Vous s</w:t>
      </w:r>
      <w:r w:rsidRPr="00E8358C">
        <w:t>a</w:t>
      </w:r>
      <w:r w:rsidRPr="00E8358C">
        <w:t>vez qu’aucun groupe social ne peut se développer sans le concours de son gouvernement. Les gouvernements passés et présents ont préféré nous traquer comme des animaux sauvages. Dans une telle atmosphère, comment peut-on entr</w:t>
      </w:r>
      <w:r w:rsidRPr="00E8358C">
        <w:t>e</w:t>
      </w:r>
      <w:r w:rsidRPr="00E8358C">
        <w:t>prendre une telle démarche ?</w:t>
      </w:r>
    </w:p>
    <w:p w:rsidR="004C50DC" w:rsidRDefault="004C50DC" w:rsidP="004C50DC">
      <w:pPr>
        <w:pStyle w:val="Citation0c"/>
      </w:pPr>
      <w:r w:rsidRPr="00E8358C">
        <w:t>(Max Beauvoir, entrevue, Mariani, 21 juillet 2014)</w:t>
      </w:r>
    </w:p>
    <w:p w:rsidR="004C50DC" w:rsidRPr="00E8358C" w:rsidRDefault="004C50DC" w:rsidP="004C50DC">
      <w:pPr>
        <w:pStyle w:val="Citation0c"/>
      </w:pPr>
    </w:p>
    <w:p w:rsidR="004C50DC" w:rsidRPr="00E8358C" w:rsidRDefault="004C50DC" w:rsidP="004C50DC">
      <w:pPr>
        <w:spacing w:before="120" w:after="120"/>
        <w:jc w:val="both"/>
      </w:pPr>
      <w:r w:rsidRPr="00E8358C">
        <w:t>Pourquoi ce refus du côté des autorités haïtiennes ? Il nous répond en ces termes :</w:t>
      </w:r>
    </w:p>
    <w:p w:rsidR="004C50DC" w:rsidRPr="00E8358C" w:rsidRDefault="004C50DC" w:rsidP="004C50DC">
      <w:pPr>
        <w:pStyle w:val="Citation0i"/>
      </w:pPr>
      <w:r w:rsidRPr="00E8358C">
        <w:t>Monchè se yon kesyon de rasism. Po w nwa. Yo panse se esklav ou ta dwe ap fè pou yo epi fini. Ou pa ka nan zafè devlopman, patisipe nan dekouvèt. Kesyon koulè a li peze anpil la. Fò w ka konprann byen bagay yo. Menm chèf nwa ki pase yo, po yo nwa men se blan yo pa</w:t>
      </w:r>
      <w:r w:rsidRPr="00E8358C">
        <w:t>n</w:t>
      </w:r>
      <w:r w:rsidRPr="00E8358C">
        <w:t xml:space="preserve">se. </w:t>
      </w:r>
    </w:p>
    <w:p w:rsidR="004C50DC" w:rsidRPr="00E8358C" w:rsidRDefault="004C50DC" w:rsidP="004C50DC">
      <w:pPr>
        <w:pStyle w:val="Citation0"/>
      </w:pPr>
      <w:r w:rsidRPr="00E8358C">
        <w:t>[Mon cher, tout n’est qu’une question de racisme. On est des Noirs. Dans leur monde, ces dirigeants pensent qu’on devrait être encore leurs escl</w:t>
      </w:r>
      <w:r w:rsidRPr="00E8358C">
        <w:t>a</w:t>
      </w:r>
      <w:r w:rsidRPr="00E8358C">
        <w:t xml:space="preserve">ves. Les vodouisants ne pourraient pas participer au développement du pays ou contribuer à des découvertes </w:t>
      </w:r>
      <w:r>
        <w:t xml:space="preserve">[361] </w:t>
      </w:r>
      <w:r w:rsidRPr="00E8358C">
        <w:t>scient</w:t>
      </w:r>
      <w:r w:rsidRPr="00E8358C">
        <w:t>i</w:t>
      </w:r>
      <w:r w:rsidRPr="00E8358C">
        <w:t>fiques. Le préjugé de couleur pèse lourd. Il faut bien se rendre à l’évidence, même les chefs d’État noirs haïtiens n’avaient que leur peau noire, mais leur pensée était toujours blanche.]</w:t>
      </w:r>
    </w:p>
    <w:p w:rsidR="004C50DC" w:rsidRPr="00E8358C" w:rsidRDefault="004C50DC" w:rsidP="004C50DC">
      <w:pPr>
        <w:pStyle w:val="Citation0c"/>
      </w:pPr>
      <w:r w:rsidRPr="00E8358C">
        <w:t>(Max Beauvoir, entrevue, Mariani, 21 juillet 2014)</w:t>
      </w:r>
    </w:p>
    <w:p w:rsidR="004C50DC" w:rsidRDefault="004C50DC" w:rsidP="004C50DC">
      <w:pPr>
        <w:pStyle w:val="Citation0"/>
      </w:pPr>
    </w:p>
    <w:p w:rsidR="004C50DC" w:rsidRDefault="004C50DC" w:rsidP="004C50DC">
      <w:pPr>
        <w:spacing w:before="120" w:after="120"/>
        <w:jc w:val="both"/>
      </w:pPr>
      <w:r w:rsidRPr="00E8358C">
        <w:t xml:space="preserve">Frantz Fanon trouverait-il ici un terrain d’application de sa théorie développée dans </w:t>
      </w:r>
      <w:r w:rsidRPr="00E8358C">
        <w:rPr>
          <w:i/>
        </w:rPr>
        <w:t>Peau noire, masques blancs</w:t>
      </w:r>
      <w:r>
        <w:t> </w:t>
      </w:r>
      <w:r w:rsidRPr="00E8358C">
        <w:rPr>
          <w:rStyle w:val="Appelnotedebasdep"/>
        </w:rPr>
        <w:footnoteReference w:id="921"/>
      </w:r>
      <w:r w:rsidRPr="00E8358C">
        <w:t> ? La question de co</w:t>
      </w:r>
      <w:r w:rsidRPr="00E8358C">
        <w:t>u</w:t>
      </w:r>
      <w:r w:rsidRPr="00E8358C">
        <w:t>leur, une fois de plus, reste un élément de la mémoire haïtienne qu’il ne faut pas contourner dans une mise en patrimoine des mémoires de l’esclavage.</w:t>
      </w:r>
    </w:p>
    <w:p w:rsidR="004C50DC" w:rsidRPr="00E8358C" w:rsidRDefault="004C50DC" w:rsidP="004C50DC">
      <w:pPr>
        <w:spacing w:before="120" w:after="120"/>
        <w:jc w:val="both"/>
      </w:pPr>
    </w:p>
    <w:p w:rsidR="004C50DC" w:rsidRPr="00E8358C" w:rsidRDefault="004C50DC" w:rsidP="004C50DC">
      <w:pPr>
        <w:pStyle w:val="planche"/>
      </w:pPr>
      <w:bookmarkStart w:id="500" w:name="_Toc442280559"/>
      <w:bookmarkStart w:id="501" w:name="Memoire_chap_VI_5"/>
      <w:r>
        <w:t>6.5. Pratiques alimentaires :</w:t>
      </w:r>
      <w:r>
        <w:br/>
      </w:r>
      <w:r w:rsidRPr="00E8358C">
        <w:t>un savoir-faire entre résistance et survie</w:t>
      </w:r>
      <w:bookmarkEnd w:id="500"/>
    </w:p>
    <w:bookmarkEnd w:id="501"/>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Plusieurs chercheurs, pour la plupart des ethnologues, s’attellent à comprendre les pratiques alimentaires, qui constituent des éléments essentiels de l’identité d’un peuple. Pour Claude Fischler, « l’alimentation est au centre des processus par lesquels un groupe humain marque son identité et l’altérité de ceux dont cette identité le distingue »</w:t>
      </w:r>
      <w:r>
        <w:t> </w:t>
      </w:r>
      <w:r w:rsidRPr="00E8358C">
        <w:rPr>
          <w:rStyle w:val="Appelnotedebasdep"/>
        </w:rPr>
        <w:footnoteReference w:id="922"/>
      </w:r>
      <w:r w:rsidRPr="00E8358C">
        <w:t>. Elle permet de consommer le territoire, de vivre la vie des ancêtres et de voyager dans le quotidien d’un monde quelques si</w:t>
      </w:r>
      <w:r w:rsidRPr="00E8358C">
        <w:t>è</w:t>
      </w:r>
      <w:r w:rsidRPr="00E8358C">
        <w:t>cles auparavant. C’est ce que Claude Fischler appelle le principe d’incorporation, le « je suis ce que je mange »</w:t>
      </w:r>
      <w:r>
        <w:t> </w:t>
      </w:r>
      <w:r>
        <w:rPr>
          <w:rStyle w:val="Appelnotedebasdep"/>
        </w:rPr>
        <w:footnoteReference w:id="923"/>
      </w:r>
      <w:r w:rsidRPr="00E8358C">
        <w:t>. Tout est susceptible d’être consommé (l’histoire, l’économique, le politique, le social).</w:t>
      </w:r>
    </w:p>
    <w:p w:rsidR="004C50DC" w:rsidRPr="00E8358C" w:rsidRDefault="004C50DC" w:rsidP="004C50DC">
      <w:pPr>
        <w:spacing w:before="120" w:after="120"/>
        <w:jc w:val="both"/>
      </w:pPr>
      <w:r w:rsidRPr="00E8358C">
        <w:t>Le repas gastronomique favorise aussi l’harmonie entre les conv</w:t>
      </w:r>
      <w:r w:rsidRPr="00E8358C">
        <w:t>i</w:t>
      </w:r>
      <w:r w:rsidRPr="00E8358C">
        <w:t>ves et leur environnement. En tant que savoir-faire, la cuisine d’une communauté est transmise de génération en génération pour être conservée. Ce faisant, les individus expriment leur attachement à ces mets qu’ils consomment avec plaisir et intérêt. Ils espèrent assurer une « continuité, s’inscrire dans le temps et construire une identité dur</w:t>
      </w:r>
      <w:r w:rsidRPr="00E8358C">
        <w:t>a</w:t>
      </w:r>
      <w:r w:rsidRPr="00E8358C">
        <w:t>ble »</w:t>
      </w:r>
      <w:r>
        <w:t> </w:t>
      </w:r>
      <w:r>
        <w:rPr>
          <w:rStyle w:val="Appelnotedebasdep"/>
        </w:rPr>
        <w:footnoteReference w:id="924"/>
      </w:r>
      <w:r w:rsidRPr="00E8358C">
        <w:t xml:space="preserve"> autour du</w:t>
      </w:r>
      <w:r>
        <w:t xml:space="preserve"> [362]</w:t>
      </w:r>
      <w:r w:rsidRPr="00E8358C">
        <w:t xml:space="preserve"> patrimoine culinaire qui se révèle aujourd’hui un moteur de développement durable</w:t>
      </w:r>
      <w:r>
        <w:t> </w:t>
      </w:r>
      <w:r>
        <w:rPr>
          <w:rStyle w:val="Appelnotedebasdep"/>
        </w:rPr>
        <w:footnoteReference w:id="925"/>
      </w:r>
      <w:r w:rsidRPr="00E8358C">
        <w:t>. Malgré toutes ces considér</w:t>
      </w:r>
      <w:r w:rsidRPr="00E8358C">
        <w:t>a</w:t>
      </w:r>
      <w:r w:rsidRPr="00E8358C">
        <w:t>tions identitaires, Laurier Turgeon estime que « le patrimoine alime</w:t>
      </w:r>
      <w:r w:rsidRPr="00E8358C">
        <w:t>n</w:t>
      </w:r>
      <w:r w:rsidRPr="00E8358C">
        <w:t>taire est un patrimoine très particulier et peu connu, dans la mesure où nous avons tendance à associer le patrimoine à des biens matériels, c’est-à-dire à des monuments, à des bâtiments historiques et à des o</w:t>
      </w:r>
      <w:r w:rsidRPr="00E8358C">
        <w:t>b</w:t>
      </w:r>
      <w:r w:rsidRPr="00E8358C">
        <w:t>jets »</w:t>
      </w:r>
      <w:r>
        <w:t> </w:t>
      </w:r>
      <w:r w:rsidRPr="00E8358C">
        <w:rPr>
          <w:rStyle w:val="Appelnotedebasdep"/>
        </w:rPr>
        <w:footnoteReference w:id="926"/>
      </w:r>
      <w:r w:rsidRPr="00E8358C">
        <w:t>. Cela dit, le patrimoine alimentaire est immatériel. Il prend en compte surtout les savoir-faire culinaires plus que les aliments</w:t>
      </w:r>
      <w:r>
        <w:t> </w:t>
      </w:r>
      <w:r w:rsidRPr="00E8358C">
        <w:rPr>
          <w:rStyle w:val="Appelnotedebasdep"/>
        </w:rPr>
        <w:footnoteReference w:id="927"/>
      </w:r>
      <w:r w:rsidRPr="00E8358C">
        <w:t xml:space="preserve">. </w:t>
      </w:r>
    </w:p>
    <w:p w:rsidR="004C50DC" w:rsidRPr="00E8358C" w:rsidRDefault="004C50DC" w:rsidP="004C50DC">
      <w:pPr>
        <w:spacing w:before="120" w:after="120"/>
        <w:jc w:val="both"/>
      </w:pPr>
      <w:r w:rsidRPr="00E8358C">
        <w:t>Le savoir-faire culinaire contribue largement à la richesse patrim</w:t>
      </w:r>
      <w:r w:rsidRPr="00E8358C">
        <w:t>o</w:t>
      </w:r>
      <w:r w:rsidRPr="00E8358C">
        <w:t>niale d’Haïti. Il charrie tout un art de bien manger, mais aussi une hi</w:t>
      </w:r>
      <w:r w:rsidRPr="00E8358C">
        <w:t>s</w:t>
      </w:r>
      <w:r w:rsidRPr="00E8358C">
        <w:t xml:space="preserve">toire de lutte et de survie. Chaque région se distingue par ses plats. Certaines pratiques alimentaires remontent même à l’époque coloniale esclavagiste. </w:t>
      </w:r>
      <w:r w:rsidRPr="00E8358C">
        <w:rPr>
          <w:lang w:eastAsia="ja-JP"/>
        </w:rPr>
        <w:t xml:space="preserve">Par exemple, le </w:t>
      </w:r>
      <w:r w:rsidRPr="00E8358C">
        <w:rPr>
          <w:i/>
          <w:lang w:eastAsia="ja-JP"/>
        </w:rPr>
        <w:t>rapadou</w:t>
      </w:r>
      <w:r w:rsidRPr="00E8358C">
        <w:rPr>
          <w:lang w:eastAsia="ja-JP"/>
        </w:rPr>
        <w:t xml:space="preserve"> (Figure 46), que les Français appellent  « pain de sucre », est une espèce de pâte de sucre </w:t>
      </w:r>
      <w:r w:rsidRPr="00E8358C">
        <w:t>brun ma</w:t>
      </w:r>
      <w:r w:rsidRPr="00E8358C">
        <w:t>i</w:t>
      </w:r>
      <w:r w:rsidRPr="00E8358C">
        <w:t>son</w:t>
      </w:r>
      <w:r w:rsidRPr="00E8358C">
        <w:rPr>
          <w:lang w:eastAsia="ja-JP"/>
        </w:rPr>
        <w:t xml:space="preserve"> enroulée dans des morceaux de stipe</w:t>
      </w:r>
      <w:r>
        <w:rPr>
          <w:lang w:eastAsia="ja-JP"/>
        </w:rPr>
        <w:t> </w:t>
      </w:r>
      <w:r w:rsidRPr="00E8358C">
        <w:rPr>
          <w:rStyle w:val="Appelnotedebasdep"/>
          <w:lang w:eastAsia="ja-JP"/>
        </w:rPr>
        <w:footnoteReference w:id="928"/>
      </w:r>
      <w:r w:rsidRPr="00E8358C">
        <w:rPr>
          <w:lang w:eastAsia="ja-JP"/>
        </w:rPr>
        <w:t xml:space="preserve"> de palmier, que les escl</w:t>
      </w:r>
      <w:r w:rsidRPr="00E8358C">
        <w:rPr>
          <w:lang w:eastAsia="ja-JP"/>
        </w:rPr>
        <w:t>a</w:t>
      </w:r>
      <w:r w:rsidRPr="00E8358C">
        <w:rPr>
          <w:lang w:eastAsia="ja-JP"/>
        </w:rPr>
        <w:t>ves avaient l’habitude de préparer avec le jus de canne bouilli dans les habitations à Saint-Domingue. L</w:t>
      </w:r>
      <w:r w:rsidRPr="00E8358C">
        <w:t xml:space="preserve">e Département du Centre en Haïti est très reconnu pour la production de bâtons de </w:t>
      </w:r>
      <w:r w:rsidRPr="00E8358C">
        <w:rPr>
          <w:i/>
        </w:rPr>
        <w:t>rapadou</w:t>
      </w:r>
      <w:r w:rsidRPr="00E8358C">
        <w:t xml:space="preserve">. </w:t>
      </w:r>
    </w:p>
    <w:p w:rsidR="004C50DC" w:rsidRPr="00E8358C" w:rsidRDefault="004C50DC" w:rsidP="004C50DC">
      <w:pPr>
        <w:spacing w:before="120" w:after="120"/>
        <w:jc w:val="both"/>
      </w:pPr>
      <w:r w:rsidRPr="00E8358C">
        <w:t xml:space="preserve">Dans la soupe au giraumont (soupe </w:t>
      </w:r>
      <w:r w:rsidRPr="00E8358C">
        <w:rPr>
          <w:i/>
        </w:rPr>
        <w:t>joumou</w:t>
      </w:r>
      <w:r w:rsidRPr="00E8358C">
        <w:t>) (Figure 47), une cha</w:t>
      </w:r>
      <w:r w:rsidRPr="00E8358C">
        <w:t>r</w:t>
      </w:r>
      <w:r w:rsidRPr="00E8358C">
        <w:t>ge mémorielle en lien avec la colonisation est bien présente. Il est rapporté que ce mets était interdit aux esclaves. Seuls les colons fra</w:t>
      </w:r>
      <w:r w:rsidRPr="00E8358C">
        <w:t>n</w:t>
      </w:r>
      <w:r w:rsidRPr="00E8358C">
        <w:t>çais pouvaient le consommer. C’est pourquoi Liliane Pierre-Paul voit dans cette soupe traditionnelle « une véritable revanche des va-nu-pieds de 1804 contre leurs anciens colons »</w:t>
      </w:r>
      <w:r>
        <w:t> </w:t>
      </w:r>
      <w:r>
        <w:rPr>
          <w:rStyle w:val="Appelnotedebasdep"/>
        </w:rPr>
        <w:footnoteReference w:id="929"/>
      </w:r>
      <w:r w:rsidRPr="00E8358C">
        <w:t>. Cette pratique coloni</w:t>
      </w:r>
      <w:r w:rsidRPr="00E8358C">
        <w:t>a</w:t>
      </w:r>
      <w:r w:rsidRPr="00E8358C">
        <w:t xml:space="preserve">le prit une part très significative à la célébration de l’indépendance aux Gonaïves. Selon Bayyinah Bello, la préparation de la soupe </w:t>
      </w:r>
      <w:r w:rsidRPr="00E8358C">
        <w:rPr>
          <w:i/>
        </w:rPr>
        <w:t>jo</w:t>
      </w:r>
      <w:r w:rsidRPr="00E8358C">
        <w:rPr>
          <w:i/>
        </w:rPr>
        <w:t>u</w:t>
      </w:r>
      <w:r w:rsidRPr="00E8358C">
        <w:rPr>
          <w:i/>
        </w:rPr>
        <w:t>mou</w:t>
      </w:r>
      <w:r w:rsidRPr="00E8358C">
        <w:t xml:space="preserve"> au 1</w:t>
      </w:r>
      <w:r w:rsidRPr="00E8358C">
        <w:rPr>
          <w:vertAlign w:val="superscript"/>
        </w:rPr>
        <w:t>er</w:t>
      </w:r>
      <w:r w:rsidRPr="00E8358C">
        <w:t xml:space="preserve"> janvier 1804 fut une idée de Claire Heureuse, la femme de l’empereur Jean-Jacques Dessalines. De la proclamation de l’indépendance d’Haïti à nos jours, ce mets est devenu « un aliment, un symbole fort, indissociable de l’histoire et de l’identité du</w:t>
      </w:r>
      <w:r>
        <w:t xml:space="preserve"> [363]</w:t>
      </w:r>
      <w:r w:rsidRPr="00E8358C">
        <w:t xml:space="preserve"> peuple haïtien »</w:t>
      </w:r>
      <w:r>
        <w:t> </w:t>
      </w:r>
      <w:r w:rsidRPr="00E8358C">
        <w:rPr>
          <w:rStyle w:val="Appelnotedebasdep"/>
        </w:rPr>
        <w:footnoteReference w:id="930"/>
      </w:r>
      <w:r w:rsidRPr="00E8358C">
        <w:t>.</w:t>
      </w:r>
    </w:p>
    <w:p w:rsidR="004C50DC" w:rsidRPr="00E8358C" w:rsidRDefault="004C50DC" w:rsidP="004C50DC">
      <w:pPr>
        <w:spacing w:before="120" w:after="120"/>
        <w:jc w:val="both"/>
        <w:rPr>
          <w:lang w:eastAsia="ja-JP"/>
        </w:rPr>
      </w:pPr>
    </w:p>
    <w:p w:rsidR="004C50DC" w:rsidRPr="00E8358C" w:rsidRDefault="009B614B" w:rsidP="004C50DC">
      <w:pPr>
        <w:pStyle w:val="fig"/>
      </w:pPr>
      <w:r w:rsidRPr="00E8358C">
        <w:rPr>
          <w:noProof/>
          <w:lang w:eastAsia="fr-FR"/>
        </w:rPr>
        <w:drawing>
          <wp:inline distT="0" distB="0" distL="0" distR="0">
            <wp:extent cx="3281045" cy="2194560"/>
            <wp:effectExtent l="25400" t="25400" r="8255" b="15240"/>
            <wp:docPr id="54" name="Image 6" descr="L1006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L1006471"/>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81045" cy="219456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502" w:name="_Toc417146088"/>
      <w:bookmarkStart w:id="503" w:name="Memoire_fig_46"/>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807287" w:rsidRDefault="004C50DC" w:rsidP="004C50DC">
      <w:pPr>
        <w:pStyle w:val="figst"/>
      </w:pPr>
      <w:r w:rsidRPr="00807287">
        <w:t xml:space="preserve">Figure </w:t>
      </w:r>
      <w:r w:rsidRPr="00807287">
        <w:fldChar w:fldCharType="begin"/>
      </w:r>
      <w:r w:rsidR="00EF1554">
        <w:instrText>SEQ</w:instrText>
      </w:r>
      <w:r w:rsidRPr="00807287">
        <w:instrText xml:space="preserve"> Figure \* ARABIC </w:instrText>
      </w:r>
      <w:r w:rsidRPr="00807287">
        <w:fldChar w:fldCharType="separate"/>
      </w:r>
      <w:r>
        <w:rPr>
          <w:noProof/>
        </w:rPr>
        <w:t>46</w:t>
      </w:r>
      <w:r w:rsidRPr="00807287">
        <w:fldChar w:fldCharType="end"/>
      </w:r>
      <w:r w:rsidRPr="00807287">
        <w:t>.</w:t>
      </w:r>
      <w:r>
        <w:t xml:space="preserve"> </w:t>
      </w:r>
      <w:r w:rsidRPr="00807287">
        <w:t>Bâtons de rapadou exposés au marché public de Mir</w:t>
      </w:r>
      <w:r w:rsidRPr="00807287">
        <w:t>e</w:t>
      </w:r>
      <w:r w:rsidRPr="00807287">
        <w:t>balais.</w:t>
      </w:r>
      <w:bookmarkEnd w:id="502"/>
    </w:p>
    <w:p w:rsidR="004C50DC" w:rsidRPr="00E8358C" w:rsidRDefault="004C50DC" w:rsidP="004C50DC">
      <w:pPr>
        <w:pStyle w:val="figst"/>
      </w:pPr>
      <w:r w:rsidRPr="00E8358C">
        <w:rPr>
          <w:szCs w:val="18"/>
        </w:rPr>
        <w:t xml:space="preserve">Photographie de Pradip Malde, mai 2014, en ligne, </w:t>
      </w:r>
      <w:r>
        <w:rPr>
          <w:szCs w:val="18"/>
        </w:rPr>
        <w:br/>
      </w:r>
      <w:hyperlink r:id="rId87" w:history="1">
        <w:r w:rsidRPr="00E8358C">
          <w:rPr>
            <w:rStyle w:val="Lienhypertexte"/>
            <w:szCs w:val="18"/>
          </w:rPr>
          <w:t>http://haiti.sewanee.edu/mirebalais-market/</w:t>
        </w:r>
      </w:hyperlink>
    </w:p>
    <w:bookmarkEnd w:id="503"/>
    <w:p w:rsidR="004C50DC" w:rsidRPr="00E8358C" w:rsidRDefault="004C50DC" w:rsidP="004C50DC">
      <w:pPr>
        <w:spacing w:before="120" w:after="120"/>
        <w:jc w:val="both"/>
      </w:pPr>
      <w:r>
        <w:br w:type="page"/>
      </w:r>
    </w:p>
    <w:p w:rsidR="004C50DC" w:rsidRPr="00E8358C" w:rsidRDefault="009B614B" w:rsidP="004C50DC">
      <w:pPr>
        <w:pStyle w:val="fig"/>
      </w:pPr>
      <w:r w:rsidRPr="00E8358C">
        <w:rPr>
          <w:noProof/>
          <w:lang w:eastAsia="fr-FR"/>
        </w:rPr>
        <w:drawing>
          <wp:inline distT="0" distB="0" distL="0" distR="0">
            <wp:extent cx="3463925" cy="2603500"/>
            <wp:effectExtent l="25400" t="25400" r="15875" b="12700"/>
            <wp:docPr id="55" name="Image 7" descr="36_DSC02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descr="36_DSC02579"/>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63925" cy="2603500"/>
                    </a:xfrm>
                    <a:prstGeom prst="rect">
                      <a:avLst/>
                    </a:prstGeom>
                    <a:noFill/>
                    <a:ln w="19050" cmpd="sng">
                      <a:solidFill>
                        <a:srgbClr val="000000"/>
                      </a:solidFill>
                      <a:miter lim="800000"/>
                      <a:headEnd/>
                      <a:tailEnd/>
                    </a:ln>
                    <a:effectLst/>
                  </pic:spPr>
                </pic:pic>
              </a:graphicData>
            </a:graphic>
          </wp:inline>
        </w:drawing>
      </w:r>
    </w:p>
    <w:p w:rsidR="004C50DC" w:rsidRDefault="004C50DC" w:rsidP="004C50DC">
      <w:pPr>
        <w:ind w:right="90" w:firstLine="0"/>
        <w:jc w:val="both"/>
        <w:rPr>
          <w:sz w:val="20"/>
        </w:rPr>
      </w:pPr>
      <w:bookmarkStart w:id="504" w:name="_Toc417146089"/>
      <w:bookmarkStart w:id="505" w:name="Memoire_fig_47"/>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pStyle w:val="figst"/>
        <w:rPr>
          <w:szCs w:val="18"/>
        </w:rPr>
      </w:pPr>
      <w:r w:rsidRPr="00807287">
        <w:t xml:space="preserve">Figure </w:t>
      </w:r>
      <w:r w:rsidRPr="00807287">
        <w:fldChar w:fldCharType="begin"/>
      </w:r>
      <w:r w:rsidR="00EF1554">
        <w:instrText>SEQ</w:instrText>
      </w:r>
      <w:r w:rsidRPr="00807287">
        <w:instrText xml:space="preserve"> Figure \* ARABIC </w:instrText>
      </w:r>
      <w:r w:rsidRPr="00807287">
        <w:fldChar w:fldCharType="separate"/>
      </w:r>
      <w:r>
        <w:rPr>
          <w:noProof/>
        </w:rPr>
        <w:t>47</w:t>
      </w:r>
      <w:r w:rsidRPr="00807287">
        <w:fldChar w:fldCharType="end"/>
      </w:r>
      <w:r w:rsidRPr="00807287">
        <w:t>. La soupe joumou (giraumont)</w:t>
      </w:r>
      <w:bookmarkEnd w:id="504"/>
      <w:r>
        <w:br/>
      </w:r>
      <w:r w:rsidRPr="00E8358C">
        <w:rPr>
          <w:szCs w:val="18"/>
        </w:rPr>
        <w:t>Source :</w:t>
      </w:r>
      <w:r w:rsidRPr="00E8358C">
        <w:t xml:space="preserve"> IPIMH 2011,</w:t>
      </w:r>
      <w:r w:rsidRPr="00E8358C">
        <w:rPr>
          <w:szCs w:val="18"/>
        </w:rPr>
        <w:t xml:space="preserve"> http://www.ipimh.ulaval.ca/</w:t>
      </w:r>
    </w:p>
    <w:bookmarkEnd w:id="505"/>
    <w:p w:rsidR="004C50DC" w:rsidRDefault="004C50DC" w:rsidP="004C50DC">
      <w:pPr>
        <w:spacing w:before="120" w:after="120"/>
        <w:jc w:val="both"/>
      </w:pPr>
    </w:p>
    <w:p w:rsidR="004C50DC" w:rsidRPr="00E8358C" w:rsidRDefault="004C50DC" w:rsidP="004C50DC">
      <w:pPr>
        <w:spacing w:before="120" w:after="120"/>
        <w:jc w:val="both"/>
        <w:rPr>
          <w:lang w:eastAsia="en-CA"/>
        </w:rPr>
      </w:pPr>
      <w:r w:rsidRPr="00E8358C">
        <w:t xml:space="preserve">La soupe </w:t>
      </w:r>
      <w:r w:rsidRPr="00E8358C">
        <w:rPr>
          <w:i/>
        </w:rPr>
        <w:t>joumou</w:t>
      </w:r>
      <w:r w:rsidRPr="00E8358C">
        <w:t xml:space="preserve"> est aussi le symbole de la liberté ; on la prépare le jour de l’An, le jour de la commémoration de l’Indépendance, le 1</w:t>
      </w:r>
      <w:r w:rsidRPr="00E8358C">
        <w:rPr>
          <w:vertAlign w:val="superscript"/>
        </w:rPr>
        <w:t>er</w:t>
      </w:r>
      <w:r w:rsidRPr="00E8358C">
        <w:t xml:space="preserve"> janvier. Elle permet aux Haïtiens de se rappeler les sacrifices des so</w:t>
      </w:r>
      <w:r w:rsidRPr="00E8358C">
        <w:t>l</w:t>
      </w:r>
      <w:r w:rsidRPr="00E8358C">
        <w:t>dats de l’Armée indigène pour leur construire et leur léguer ce pays. Des associations ou des fondations célèbrent l’indépendance en prép</w:t>
      </w:r>
      <w:r w:rsidRPr="00E8358C">
        <w:t>a</w:t>
      </w:r>
      <w:r w:rsidRPr="00E8358C">
        <w:t>rant la soupe</w:t>
      </w:r>
      <w:r>
        <w:t xml:space="preserve"> [364]</w:t>
      </w:r>
      <w:r w:rsidRPr="00E8358C">
        <w:t xml:space="preserve"> </w:t>
      </w:r>
      <w:r w:rsidRPr="00E8358C">
        <w:rPr>
          <w:i/>
        </w:rPr>
        <w:t>joumou</w:t>
      </w:r>
      <w:r w:rsidRPr="00E8358C">
        <w:t xml:space="preserve"> populaire. D’autres aliments, comme la « cassave », à base de manioc, sont dits d’origine </w:t>
      </w:r>
      <w:r>
        <w:t>taino </w:t>
      </w:r>
      <w:r>
        <w:rPr>
          <w:rStyle w:val="Appelnotedebasdep"/>
        </w:rPr>
        <w:footnoteReference w:id="931"/>
      </w:r>
      <w:r w:rsidRPr="00E8358C">
        <w:t>, mais a</w:t>
      </w:r>
      <w:r w:rsidRPr="00E8358C">
        <w:rPr>
          <w:lang w:eastAsia="en-CA"/>
        </w:rPr>
        <w:t>u XVII</w:t>
      </w:r>
      <w:r w:rsidRPr="00E8358C">
        <w:rPr>
          <w:vertAlign w:val="superscript"/>
          <w:lang w:eastAsia="en-CA"/>
        </w:rPr>
        <w:t>e</w:t>
      </w:r>
      <w:r w:rsidRPr="00E8358C">
        <w:rPr>
          <w:lang w:eastAsia="en-CA"/>
        </w:rPr>
        <w:t xml:space="preserve"> siècle, en pleine colonisation, la cassave était servie comme pain aux esclaves. La farine de manioc pouvait également accomp</w:t>
      </w:r>
      <w:r w:rsidRPr="00E8358C">
        <w:rPr>
          <w:lang w:eastAsia="en-CA"/>
        </w:rPr>
        <w:t>a</w:t>
      </w:r>
      <w:r w:rsidRPr="00E8358C">
        <w:rPr>
          <w:lang w:eastAsia="en-CA"/>
        </w:rPr>
        <w:t>gner des légumineuses</w:t>
      </w:r>
      <w:r>
        <w:rPr>
          <w:lang w:eastAsia="en-CA"/>
        </w:rPr>
        <w:t> </w:t>
      </w:r>
      <w:r>
        <w:rPr>
          <w:rStyle w:val="Appelnotedebasdep"/>
          <w:lang w:eastAsia="en-CA"/>
        </w:rPr>
        <w:footnoteReference w:id="932"/>
      </w:r>
      <w:r w:rsidRPr="00E8358C">
        <w:rPr>
          <w:lang w:eastAsia="en-CA"/>
        </w:rPr>
        <w:t xml:space="preserve"> ou des salaisons (bœuf, porc, cabri et h</w:t>
      </w:r>
      <w:r w:rsidRPr="00E8358C">
        <w:rPr>
          <w:lang w:eastAsia="en-CA"/>
        </w:rPr>
        <w:t>a</w:t>
      </w:r>
      <w:r w:rsidRPr="00E8358C">
        <w:rPr>
          <w:lang w:eastAsia="en-CA"/>
        </w:rPr>
        <w:t xml:space="preserve">reng), ou encore des patates douces dans certaines localités d’Haïti. </w:t>
      </w:r>
    </w:p>
    <w:p w:rsidR="004C50DC" w:rsidRPr="00E8358C" w:rsidRDefault="004C50DC" w:rsidP="004C50DC">
      <w:pPr>
        <w:spacing w:before="120" w:after="120"/>
        <w:jc w:val="both"/>
      </w:pPr>
      <w:r w:rsidRPr="00E8358C">
        <w:t>Presque toute la gastronomie haïtienne possède des liens avec le passé colonial esclavagiste nous rapporte Francette, 51 ans, institutrice rencontrée à Jérémie dans le département de la Grand-Anse.</w:t>
      </w:r>
    </w:p>
    <w:p w:rsidR="004C50DC" w:rsidRDefault="004C50DC" w:rsidP="004C50DC">
      <w:pPr>
        <w:pStyle w:val="Citation0"/>
      </w:pPr>
    </w:p>
    <w:p w:rsidR="004C50DC" w:rsidRPr="00E8358C" w:rsidRDefault="004C50DC" w:rsidP="004C50DC">
      <w:pPr>
        <w:pStyle w:val="Citation0"/>
      </w:pPr>
      <w:r w:rsidRPr="00E8358C">
        <w:t xml:space="preserve">Le </w:t>
      </w:r>
      <w:r w:rsidRPr="00E8358C">
        <w:rPr>
          <w:i/>
        </w:rPr>
        <w:t>Bobori</w:t>
      </w:r>
      <w:r>
        <w:t> </w:t>
      </w:r>
      <w:r w:rsidRPr="00E8358C">
        <w:rPr>
          <w:rStyle w:val="Appelnotedebasdep"/>
          <w:szCs w:val="22"/>
        </w:rPr>
        <w:footnoteReference w:id="933"/>
      </w:r>
      <w:r w:rsidRPr="00E8358C">
        <w:t xml:space="preserve">, les salaisons, l’igname et le poisson, le </w:t>
      </w:r>
      <w:r w:rsidRPr="00E8358C">
        <w:rPr>
          <w:i/>
        </w:rPr>
        <w:t>rapadou</w:t>
      </w:r>
      <w:r w:rsidRPr="00E8358C">
        <w:t xml:space="preserve"> sont des pr</w:t>
      </w:r>
      <w:r w:rsidRPr="00E8358C">
        <w:t>a</w:t>
      </w:r>
      <w:r w:rsidRPr="00E8358C">
        <w:t>tiques culinaires qui font partie du patrimoine alimentaire ha</w:t>
      </w:r>
      <w:r w:rsidRPr="00E8358C">
        <w:t>ï</w:t>
      </w:r>
      <w:r w:rsidRPr="00E8358C">
        <w:t>tien. Notre façon de préparer le riz et notre consommation parfois e</w:t>
      </w:r>
      <w:r w:rsidRPr="00E8358C">
        <w:t>x</w:t>
      </w:r>
      <w:r w:rsidRPr="00E8358C">
        <w:t>cessive de sel provient de l’héritage des esclaves originaires du Sén</w:t>
      </w:r>
      <w:r w:rsidRPr="00E8358C">
        <w:t>é</w:t>
      </w:r>
      <w:r w:rsidRPr="00E8358C">
        <w:t>gal déportés en Amérique à partir des années 1535. À côté du Sénégal, il y avait aussi des esclaves Bizango, de Bissau, arrivés dans la col</w:t>
      </w:r>
      <w:r w:rsidRPr="00E8358C">
        <w:t>o</w:t>
      </w:r>
      <w:r w:rsidRPr="00E8358C">
        <w:t xml:space="preserve">nie de Saint-Domingue, ils continuent à préparer le riz très épicé et avec un goût fort de sel. </w:t>
      </w:r>
    </w:p>
    <w:p w:rsidR="004C50DC" w:rsidRDefault="004C50DC" w:rsidP="004C50DC">
      <w:pPr>
        <w:pStyle w:val="Citation0c"/>
      </w:pPr>
      <w:r w:rsidRPr="00E8358C">
        <w:t>(Francette, entrevue, Jérémie, 9 février 2014)</w:t>
      </w:r>
    </w:p>
    <w:p w:rsidR="004C50DC" w:rsidRPr="00E8358C" w:rsidRDefault="004C50DC" w:rsidP="004C50DC">
      <w:pPr>
        <w:pStyle w:val="Citation0c"/>
      </w:pPr>
    </w:p>
    <w:p w:rsidR="004C50DC" w:rsidRPr="00E8358C" w:rsidRDefault="004C50DC" w:rsidP="004C50DC">
      <w:pPr>
        <w:spacing w:before="120" w:after="120"/>
        <w:jc w:val="both"/>
      </w:pPr>
      <w:r w:rsidRPr="00E8358C">
        <w:t>La consommation excessive de sel permettait aux esclaves de r</w:t>
      </w:r>
      <w:r w:rsidRPr="00E8358C">
        <w:t>e</w:t>
      </w:r>
      <w:r w:rsidRPr="00E8358C">
        <w:t>nouveler assez d’énergie pour pouvoir donner un meilleur rendement sur les habitations, de peur d’être châtiés. Ces esclaves étaient surtout confinés dans la région de l’Artibonite. Aujourd’hui encore, leurs de</w:t>
      </w:r>
      <w:r w:rsidRPr="00E8358C">
        <w:t>s</w:t>
      </w:r>
      <w:r w:rsidRPr="00E8358C">
        <w:t xml:space="preserve">cendants assurent la continuité de cette pratique et ajoutent d’autres condiments pour préparer de succulents plats comme « le riz et lalo », très symbolique de l’identité des Artibonitiens. La région de l’Artibonite est reconnue pour la culture du riz et la production de sel de mer. </w:t>
      </w:r>
    </w:p>
    <w:p w:rsidR="004C50DC" w:rsidRDefault="004C50DC" w:rsidP="004C50DC">
      <w:pPr>
        <w:spacing w:before="120" w:after="120"/>
        <w:jc w:val="both"/>
      </w:pPr>
      <w:r w:rsidRPr="00E8358C">
        <w:t xml:space="preserve">Le clairin, espèce de rhum produit dans les </w:t>
      </w:r>
      <w:r w:rsidRPr="00E8358C">
        <w:rPr>
          <w:i/>
        </w:rPr>
        <w:t>guildives</w:t>
      </w:r>
      <w:r w:rsidRPr="00E8358C">
        <w:t xml:space="preserve"> à partir du jus de canne à sucre, est une pratique alimentaire haïtienne très dema</w:t>
      </w:r>
      <w:r w:rsidRPr="00E8358C">
        <w:t>n</w:t>
      </w:r>
      <w:r w:rsidRPr="00E8358C">
        <w:t>dée. Le terme « guildive », dans les anciennes colonies françaises des Amériques dans un premier temps, renvoie à l’eau-de-vie préparée à partir du jus de canne à sucre fermenté. On l’appelle aussi en Haïti tafia ou clairin. Sur ce sujet, le père Labat écrivait : « l’eau-de-vie qu’on tire des cannes est appelée</w:t>
      </w:r>
      <w:r>
        <w:t xml:space="preserve"> [365]</w:t>
      </w:r>
      <w:r w:rsidRPr="00E8358C">
        <w:t xml:space="preserve"> </w:t>
      </w:r>
      <w:r w:rsidRPr="00E8358C">
        <w:rPr>
          <w:i/>
        </w:rPr>
        <w:t>guildive</w:t>
      </w:r>
      <w:r w:rsidRPr="00E8358C">
        <w:t>, les sauvages et les Nègres l’appellent tafia »</w:t>
      </w:r>
      <w:r>
        <w:t> </w:t>
      </w:r>
      <w:r>
        <w:rPr>
          <w:rStyle w:val="Appelnotedebasdep"/>
        </w:rPr>
        <w:footnoteReference w:id="934"/>
      </w:r>
      <w:r w:rsidRPr="00E8358C">
        <w:t xml:space="preserve">. Aujourd’hui, en Haïti, la </w:t>
      </w:r>
      <w:r w:rsidRPr="00E8358C">
        <w:rPr>
          <w:i/>
        </w:rPr>
        <w:t xml:space="preserve">guildive </w:t>
      </w:r>
      <w:r w:rsidRPr="00E8358C">
        <w:t>est d</w:t>
      </w:r>
      <w:r w:rsidRPr="00E8358C">
        <w:t>e</w:t>
      </w:r>
      <w:r w:rsidRPr="00E8358C">
        <w:t>venue le lieu où l’on prépare le clairin ou le tafia. Smith, 57 ans, paysan de Léogâne, déclare :</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 xml:space="preserve">Kleren an nou prepare nan gildiv la, se pwodi natif natal ayisyen li ye. Se nou menm ayisyen ki gen spesyalite sa. Nou te aprann fè li lè gran paran nou yo te nan esklavaj nan Sendomeng. </w:t>
      </w:r>
    </w:p>
    <w:p w:rsidR="004C50DC" w:rsidRPr="00E8358C" w:rsidRDefault="004C50DC" w:rsidP="004C50DC">
      <w:pPr>
        <w:pStyle w:val="Citation0"/>
      </w:pPr>
      <w:r w:rsidRPr="00E8358C">
        <w:t>[Le clairin que nous préparons dans les guildives est une production ha</w:t>
      </w:r>
      <w:r w:rsidRPr="00E8358C">
        <w:t>ï</w:t>
      </w:r>
      <w:r w:rsidRPr="00E8358C">
        <w:t>tienne. Nous avons cette spécialité. Nos ancêtres nous ont transmis ce s</w:t>
      </w:r>
      <w:r w:rsidRPr="00E8358C">
        <w:t>a</w:t>
      </w:r>
      <w:r w:rsidRPr="00E8358C">
        <w:t>voir-faire. Eux-mêmes l’avaient appris en esclavage à Saint-Domingue.]</w:t>
      </w:r>
    </w:p>
    <w:p w:rsidR="004C50DC" w:rsidRDefault="004C50DC" w:rsidP="004C50DC">
      <w:pPr>
        <w:pStyle w:val="Citation0c"/>
      </w:pPr>
      <w:r w:rsidRPr="00E8358C">
        <w:t>(Smith, entrevue, Léogâne, 2 avril 2013)</w:t>
      </w:r>
    </w:p>
    <w:p w:rsidR="004C50DC" w:rsidRPr="00E8358C" w:rsidRDefault="004C50DC" w:rsidP="004C50DC">
      <w:pPr>
        <w:pStyle w:val="Citation0c"/>
      </w:pPr>
    </w:p>
    <w:p w:rsidR="004C50DC" w:rsidRPr="00E8358C" w:rsidRDefault="004C50DC" w:rsidP="004C50DC">
      <w:pPr>
        <w:spacing w:before="120" w:after="120"/>
        <w:jc w:val="both"/>
      </w:pPr>
      <w:r w:rsidRPr="00E8358C">
        <w:t>Aujourd’hui, au-delà des efforts de patrimonialisation des prat</w:t>
      </w:r>
      <w:r w:rsidRPr="00E8358C">
        <w:t>i</w:t>
      </w:r>
      <w:r w:rsidRPr="00E8358C">
        <w:t>ques culinaires, l’insuffisance alimentaire devient une préoccupation nationale en Haïti. L’évocation de ce problème sert aussi de tremplin pour pouvoir questionner le passé colonial. Comment Haïti a-t-elle pu en arriver à ce stade de dépendance alimentaire ? Les grandes plant</w:t>
      </w:r>
      <w:r w:rsidRPr="00E8358C">
        <w:t>a</w:t>
      </w:r>
      <w:r w:rsidRPr="00E8358C">
        <w:t>tions coloniales étaient les symboles du développement économique et de l’abondance qui avaient valu à la colonie de Saint-Domingue l’appellation « Perle des Antilles ». Mais en réalité, cette prospérité était réalisée au détriment des esclaves. Ces derniers étaient mal nou</w:t>
      </w:r>
      <w:r w:rsidRPr="00E8358C">
        <w:t>r</w:t>
      </w:r>
      <w:r w:rsidRPr="00E8358C">
        <w:t xml:space="preserve">ris malgré les travaux que l’on exigeait d’eux quotidiennement. </w:t>
      </w:r>
    </w:p>
    <w:p w:rsidR="004C50DC" w:rsidRPr="00E8358C" w:rsidRDefault="004C50DC" w:rsidP="004C50DC">
      <w:pPr>
        <w:spacing w:before="120" w:after="120"/>
        <w:jc w:val="both"/>
      </w:pPr>
      <w:r w:rsidRPr="00E8358C">
        <w:t>Le problème de la faim était préoccupant dans la colonie de Saint-Domingue. Selon Marcel Dorigny et Bernard Gainot, la ration alime</w:t>
      </w:r>
      <w:r w:rsidRPr="00E8358C">
        <w:t>n</w:t>
      </w:r>
      <w:r w:rsidRPr="00E8358C">
        <w:t>taire des esclaves était généralement à base de manioc et de bananes, auxquels s’ajoutaient divers produits locaux (pois, mil, maïs, patates, fruits) ou importés (riz de Géorgie et des Carolines) ; pour la viande, ils élevaient sur place des animaux de basse-cour (cochons, volaille) ou consommaient des salaisons importées (morue de Nouvelle-Angleterre et bœuf des Antilles espagnoles)</w:t>
      </w:r>
      <w:r>
        <w:t> </w:t>
      </w:r>
      <w:r w:rsidRPr="00E8358C">
        <w:rPr>
          <w:rStyle w:val="Appelnotedebasdep"/>
        </w:rPr>
        <w:footnoteReference w:id="935"/>
      </w:r>
      <w:r w:rsidRPr="00E8358C">
        <w:t xml:space="preserve"> et des </w:t>
      </w:r>
      <w:r w:rsidRPr="00E8358C">
        <w:rPr>
          <w:lang w:eastAsia="en-CA"/>
        </w:rPr>
        <w:t>harengs.</w:t>
      </w:r>
    </w:p>
    <w:p w:rsidR="004C50DC" w:rsidRPr="00E8358C" w:rsidRDefault="004C50DC" w:rsidP="004C50DC">
      <w:pPr>
        <w:spacing w:before="120" w:after="120"/>
        <w:jc w:val="both"/>
      </w:pPr>
      <w:r w:rsidRPr="00E8358C">
        <w:t xml:space="preserve">D’une habitation à une autre, selon </w:t>
      </w:r>
      <w:r w:rsidRPr="00E8358C">
        <w:rPr>
          <w:lang w:eastAsia="en-CA"/>
        </w:rPr>
        <w:t xml:space="preserve">les habitudes alimentaires et en tenant compte aussi de l’altitude, </w:t>
      </w:r>
      <w:r w:rsidRPr="00E8358C">
        <w:t xml:space="preserve">la </w:t>
      </w:r>
      <w:r w:rsidRPr="00E8358C">
        <w:rPr>
          <w:lang w:eastAsia="en-CA"/>
        </w:rPr>
        <w:t xml:space="preserve">nourriture des esclaves était variée dans la colonie de Saint-Domingue. </w:t>
      </w:r>
      <w:r>
        <w:rPr>
          <w:lang w:eastAsia="en-CA"/>
        </w:rPr>
        <w:t xml:space="preserve">[366] </w:t>
      </w:r>
      <w:r w:rsidRPr="00E8358C">
        <w:rPr>
          <w:lang w:eastAsia="en-CA"/>
        </w:rPr>
        <w:t>Gabriel Debien rapporte les mots de l’économe Regnault de Beaumont, dont le père était colon indigotier à Léogâne. Dans une correspondance en date du 1</w:t>
      </w:r>
      <w:r w:rsidRPr="00E8358C">
        <w:rPr>
          <w:vertAlign w:val="superscript"/>
          <w:lang w:eastAsia="en-CA"/>
        </w:rPr>
        <w:t>er</w:t>
      </w:r>
      <w:r w:rsidRPr="00E8358C">
        <w:rPr>
          <w:lang w:eastAsia="en-CA"/>
        </w:rPr>
        <w:t xml:space="preserve"> mars 1776, Beaumont faisait état de la situation de famine qui frappait son habitation : « les nègres meurent de faim, il n’y a point de vivres et pas le sol pour en acheter »</w:t>
      </w:r>
      <w:r>
        <w:rPr>
          <w:lang w:eastAsia="en-CA"/>
        </w:rPr>
        <w:t> </w:t>
      </w:r>
      <w:r w:rsidRPr="00E8358C">
        <w:rPr>
          <w:rStyle w:val="Appelnotedebasdep"/>
          <w:lang w:eastAsia="en-CA"/>
        </w:rPr>
        <w:footnoteReference w:id="936"/>
      </w:r>
      <w:r w:rsidRPr="00E8358C">
        <w:rPr>
          <w:lang w:eastAsia="en-CA"/>
        </w:rPr>
        <w:t xml:space="preserve">. Alors, </w:t>
      </w:r>
      <w:r w:rsidRPr="00E8358C">
        <w:t>« surmenés moins par la diff</w:t>
      </w:r>
      <w:r w:rsidRPr="00E8358C">
        <w:t>i</w:t>
      </w:r>
      <w:r w:rsidRPr="00E8358C">
        <w:t>culté et la durée de leur travail, que par l’effet de la sous-alimentation ou de la malnutrition, les esclaves offraient des conditions idéales pour le développement des maladies »</w:t>
      </w:r>
      <w:r>
        <w:t> </w:t>
      </w:r>
      <w:r>
        <w:rPr>
          <w:rStyle w:val="Appelnotedebasdep"/>
        </w:rPr>
        <w:footnoteReference w:id="937"/>
      </w:r>
      <w:r w:rsidRPr="00E8358C">
        <w:t>.</w:t>
      </w:r>
    </w:p>
    <w:p w:rsidR="004C50DC" w:rsidRPr="00E8358C" w:rsidRDefault="004C50DC" w:rsidP="004C50DC">
      <w:pPr>
        <w:spacing w:before="120" w:after="120"/>
        <w:jc w:val="both"/>
      </w:pPr>
      <w:r w:rsidRPr="00E8358C">
        <w:t>La famine préoccupait aussi le gérant de la sucrerie Galbaud du Fort à Léogâne, qui mentionnait le manque de vivres pour les escl</w:t>
      </w:r>
      <w:r w:rsidRPr="00E8358C">
        <w:t>a</w:t>
      </w:r>
      <w:r w:rsidRPr="00E8358C">
        <w:t xml:space="preserve">ves. Dans une lettre adressée à Galbaud en date du 26 juin 1786, il prenait soin d’expliquer la situation : </w:t>
      </w:r>
    </w:p>
    <w:p w:rsidR="004C50DC" w:rsidRDefault="004C50DC" w:rsidP="004C50DC">
      <w:pPr>
        <w:pStyle w:val="Citation0"/>
      </w:pPr>
    </w:p>
    <w:p w:rsidR="004C50DC" w:rsidRDefault="004C50DC" w:rsidP="004C50DC">
      <w:pPr>
        <w:pStyle w:val="Citation0"/>
      </w:pPr>
      <w:r w:rsidRPr="00E8358C">
        <w:t>Léogane, 26 juin 1786- Depuis le 15 du courant, je manque abs</w:t>
      </w:r>
      <w:r w:rsidRPr="00E8358C">
        <w:t>o</w:t>
      </w:r>
      <w:r w:rsidRPr="00E8358C">
        <w:t>lument de vivres. Je ne puis trouver à m’en procurer si ce n’est du riz que je donne aux nègres nouveaux. J’ai cessé de faire du tafia pour soutenir les autres avec du sirop. Malgré cela l’atelier souffre et je souffre davantage d’en exiger du travail. C’est plutôt le besoin que la maladie qui en amène un grand nombre à l’hôpital. Je désirerais bien que le peu de maïs et de petit-mil que je distribue fût suffisant pour attendre les patates sur lesquelles je ne peux compter au plus tôt que dans six semaines</w:t>
      </w:r>
      <w:r>
        <w:t> </w:t>
      </w:r>
      <w:r w:rsidRPr="00E8358C">
        <w:rPr>
          <w:rStyle w:val="Appelnotedebasdep"/>
          <w:szCs w:val="22"/>
        </w:rPr>
        <w:footnoteReference w:id="938"/>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 xml:space="preserve">Sur toutes les plantations de Saint-Domingue, les esclaves étaient </w:t>
      </w:r>
      <w:r w:rsidRPr="00E8358C">
        <w:rPr>
          <w:lang w:eastAsia="en-CA"/>
        </w:rPr>
        <w:t xml:space="preserve">mal nourris. Donc, </w:t>
      </w:r>
      <w:r w:rsidRPr="00E8358C">
        <w:t>« la mauvaise nourriture et la sous-alimentation ont été la plaie permanente des îles, le plus grand mal de l’esclavage »</w:t>
      </w:r>
      <w:r>
        <w:t> </w:t>
      </w:r>
      <w:r w:rsidRPr="00E8358C">
        <w:rPr>
          <w:rStyle w:val="Appelnotedebasdep"/>
        </w:rPr>
        <w:footnoteReference w:id="939"/>
      </w:r>
      <w:r w:rsidRPr="00E8358C">
        <w:t xml:space="preserve">. </w:t>
      </w:r>
      <w:r w:rsidRPr="00E8358C">
        <w:rPr>
          <w:lang w:eastAsia="en-CA"/>
        </w:rPr>
        <w:t>La vie quotidienne des esclaves était faite de cette d</w:t>
      </w:r>
      <w:r w:rsidRPr="00E8358C">
        <w:rPr>
          <w:lang w:eastAsia="en-CA"/>
        </w:rPr>
        <w:t>u</w:t>
      </w:r>
      <w:r w:rsidRPr="00E8358C">
        <w:rPr>
          <w:lang w:eastAsia="en-CA"/>
        </w:rPr>
        <w:t xml:space="preserve">re réalité. </w:t>
      </w:r>
      <w:r w:rsidRPr="00E8358C">
        <w:t>Les maîtres ne pouvaient pas les nourrir normalement. Sous cet angle, Vertus Saint-Louis écrit : « l’esclave, privé de liberté, crève de faim, le colon, libre, fait bonne chère »</w:t>
      </w:r>
      <w:r>
        <w:t> </w:t>
      </w:r>
      <w:r w:rsidRPr="00E8358C">
        <w:rPr>
          <w:rStyle w:val="Appelnotedebasdep"/>
        </w:rPr>
        <w:footnoteReference w:id="940"/>
      </w:r>
      <w:r w:rsidRPr="00E8358C">
        <w:t xml:space="preserve">. Plus loin, il nous dresse un tableau de la réalité alimentaire à Saint-Domingue : </w:t>
      </w:r>
    </w:p>
    <w:p w:rsidR="004C50DC" w:rsidRDefault="004C50DC" w:rsidP="004C50DC">
      <w:pPr>
        <w:pStyle w:val="Citation0"/>
      </w:pPr>
    </w:p>
    <w:p w:rsidR="004C50DC" w:rsidRDefault="004C50DC" w:rsidP="004C50DC">
      <w:pPr>
        <w:pStyle w:val="Citation0"/>
      </w:pPr>
      <w:r w:rsidRPr="00E8358C">
        <w:t>Pour le colon, l’obsession de l’approvisionnement extérieur et la hantise de l’empoisonnement ; du côté de l’esclave et de la plupart des affranchis, on retiendra la recherche de la sécurité alimentaire, et l’attachement aux espaces des jardins et</w:t>
      </w:r>
      <w:r>
        <w:t xml:space="preserve"> [367]</w:t>
      </w:r>
      <w:r w:rsidRPr="00E8358C">
        <w:t xml:space="preserve"> marchés vivriers</w:t>
      </w:r>
      <w:r>
        <w:t> </w:t>
      </w:r>
      <w:r w:rsidRPr="00E8358C">
        <w:rPr>
          <w:rStyle w:val="Appelnotedebasdep"/>
          <w:szCs w:val="22"/>
        </w:rPr>
        <w:footnoteReference w:id="941"/>
      </w:r>
      <w:r>
        <w:t>.</w:t>
      </w:r>
    </w:p>
    <w:p w:rsidR="004C50DC" w:rsidRPr="00E8358C" w:rsidRDefault="004C50DC" w:rsidP="004C50DC">
      <w:pPr>
        <w:pStyle w:val="Citation0"/>
      </w:pPr>
    </w:p>
    <w:p w:rsidR="004C50DC" w:rsidRPr="00E8358C" w:rsidRDefault="004C50DC" w:rsidP="004C50DC">
      <w:pPr>
        <w:spacing w:before="120" w:after="120"/>
        <w:jc w:val="both"/>
      </w:pPr>
      <w:r w:rsidRPr="00E8358C">
        <w:t>La faim et la malnutrition étaient les causes principales de maladie et de mortalité au sein de la communauté servile. La dépopulation des esclaves à Saint-Domingue était manifeste, le renouvellement des e</w:t>
      </w:r>
      <w:r w:rsidRPr="00E8358C">
        <w:t>s</w:t>
      </w:r>
      <w:r w:rsidRPr="00E8358C">
        <w:t>claves ne pouvant résoudre que superficiellement le problème de la main-d’œuvre. C’est pourquoi Moreau de Saint-Méry, dans une o</w:t>
      </w:r>
      <w:r w:rsidRPr="00E8358C">
        <w:t>b</w:t>
      </w:r>
      <w:r w:rsidRPr="00E8358C">
        <w:t>servation rapportée sur la ville du Cap-Haïtien, avait souligné : « On ne peut pas ne pas remarquer les deux causes qui ont le plus d’influence sur certaines maladies des esclaves, le besoin d’une nou</w:t>
      </w:r>
      <w:r w:rsidRPr="00E8358C">
        <w:t>r</w:t>
      </w:r>
      <w:r w:rsidRPr="00E8358C">
        <w:t>riture abondante et celui de repos »</w:t>
      </w:r>
      <w:r>
        <w:t> </w:t>
      </w:r>
      <w:r>
        <w:rPr>
          <w:rStyle w:val="Appelnotedebasdep"/>
        </w:rPr>
        <w:footnoteReference w:id="942"/>
      </w:r>
      <w:r w:rsidRPr="00E8358C">
        <w:t xml:space="preserve">. </w:t>
      </w:r>
    </w:p>
    <w:p w:rsidR="004C50DC" w:rsidRPr="00E8358C" w:rsidRDefault="004C50DC" w:rsidP="004C50DC">
      <w:pPr>
        <w:spacing w:before="120" w:after="120"/>
        <w:jc w:val="both"/>
      </w:pPr>
      <w:r w:rsidRPr="00E8358C">
        <w:t>Après l’indépendance d’Haïti, la question de l’insuffisance alime</w:t>
      </w:r>
      <w:r w:rsidRPr="00E8358C">
        <w:t>n</w:t>
      </w:r>
      <w:r w:rsidRPr="00E8358C">
        <w:t>taire ne se posait pas. Le pays n’avait pas encore connu cette expl</w:t>
      </w:r>
      <w:r w:rsidRPr="00E8358C">
        <w:t>o</w:t>
      </w:r>
      <w:r w:rsidRPr="00E8358C">
        <w:t>sion démographique enregistrée de la fin du XX</w:t>
      </w:r>
      <w:r w:rsidRPr="00E8358C">
        <w:rPr>
          <w:vertAlign w:val="superscript"/>
        </w:rPr>
        <w:t>e</w:t>
      </w:r>
      <w:r w:rsidRPr="00E8358C">
        <w:t xml:space="preserve"> siècle au début de ce XXI</w:t>
      </w:r>
      <w:r w:rsidRPr="00E8358C">
        <w:rPr>
          <w:vertAlign w:val="superscript"/>
        </w:rPr>
        <w:t>e</w:t>
      </w:r>
      <w:r w:rsidRPr="00E8358C">
        <w:t xml:space="preserve"> siècle. Les populations pouvaient se nourrir convenablement sans compter sur l’aide étrangère. Jusqu’au début du XX</w:t>
      </w:r>
      <w:r w:rsidRPr="00E8358C">
        <w:rPr>
          <w:vertAlign w:val="superscript"/>
        </w:rPr>
        <w:t>e</w:t>
      </w:r>
      <w:r w:rsidRPr="00E8358C">
        <w:t xml:space="preserve"> siècle, Haïti était autosuffisante sur le plan alimentaire. C’est l’occupation amér</w:t>
      </w:r>
      <w:r w:rsidRPr="00E8358C">
        <w:t>i</w:t>
      </w:r>
      <w:r w:rsidRPr="00E8358C">
        <w:t>caine (1915-1934) qui a permis l’intervention directe des puissances étrangères dans la gestion de l’économie agricole haïtienne. A</w:t>
      </w:r>
      <w:r w:rsidRPr="00E8358C">
        <w:t>u</w:t>
      </w:r>
      <w:r w:rsidRPr="00E8358C">
        <w:t>jourd’hui, la mauvaise gouvernance sur le plan interne entraîne de graves conséquences sur l’agriculture haïtienne. L’insécurité alime</w:t>
      </w:r>
      <w:r w:rsidRPr="00E8358C">
        <w:t>n</w:t>
      </w:r>
      <w:r w:rsidRPr="00E8358C">
        <w:t>taire affecte le pays. Plus de 70% de la population haïtienne souffre d’insuffisance alimentaire</w:t>
      </w:r>
      <w:r>
        <w:t> </w:t>
      </w:r>
      <w:r>
        <w:rPr>
          <w:rStyle w:val="Appelnotedebasdep"/>
        </w:rPr>
        <w:footnoteReference w:id="943"/>
      </w:r>
      <w:r w:rsidRPr="00E8358C">
        <w:t>. Les politiques agricoles et économiques du pays sont défaillantes. Face à cette situation, Jacqueline, étudiante rencontrée à Milot, exprime son sentiment :</w:t>
      </w:r>
    </w:p>
    <w:p w:rsidR="004C50DC" w:rsidRDefault="004C50DC" w:rsidP="004C50DC">
      <w:pPr>
        <w:pStyle w:val="Citation0i"/>
      </w:pPr>
    </w:p>
    <w:p w:rsidR="004C50DC" w:rsidRPr="00E8358C" w:rsidRDefault="004C50DC" w:rsidP="004C50DC">
      <w:pPr>
        <w:pStyle w:val="Citation0i"/>
      </w:pPr>
      <w:r w:rsidRPr="00E8358C">
        <w:t>An Ayiti ou vinn wè ke nou pèdi otosifizan alimantè aprè 1986, lòske yo vann libète dwann yo aprè Jean-Claude Duvalier fin ale. Se lè sa bagay la fin gaye sou Henry Namphy, tout pwoteksyon pwodi</w:t>
      </w:r>
      <w:r w:rsidRPr="00E8358C">
        <w:t>k</w:t>
      </w:r>
      <w:r w:rsidRPr="00E8358C">
        <w:t>syon agrikòl peyi a tonbe. Nou vin gen yon pakèt bagay nou pwodwi k ap vinn lakay nou ta</w:t>
      </w:r>
      <w:r w:rsidRPr="00E8358C">
        <w:t>n</w:t>
      </w:r>
      <w:r w:rsidRPr="00E8358C">
        <w:t>kou diri ke nou genyen nan Latibonit. Sa fè n panse ke repli nou te genyen aprè 1804 la petèt te rann nou otosifizan paske nou pat twòp louvri sou le mond esteryè, nou pat konte sou etranje pou ban n</w:t>
      </w:r>
      <w:r>
        <w:t xml:space="preserve"> [368]</w:t>
      </w:r>
      <w:r w:rsidRPr="00E8358C">
        <w:t xml:space="preserve"> manje. Nou wè se aprè 1915 ke nou komanse kite blan an reprann dwa l an Ayiti. Li vin e</w:t>
      </w:r>
      <w:r w:rsidRPr="00E8358C">
        <w:t>n</w:t>
      </w:r>
      <w:r w:rsidRPr="00E8358C">
        <w:t xml:space="preserve">fliyan tandiske n ap pèdi pye. </w:t>
      </w:r>
    </w:p>
    <w:p w:rsidR="004C50DC" w:rsidRPr="00E8358C" w:rsidRDefault="004C50DC" w:rsidP="004C50DC">
      <w:pPr>
        <w:pStyle w:val="Citation0"/>
      </w:pPr>
      <w:r w:rsidRPr="00E8358C">
        <w:t>[C’est à partir de 1986, année qui marque aussi le départ du prés</w:t>
      </w:r>
      <w:r w:rsidRPr="00E8358C">
        <w:t>i</w:t>
      </w:r>
      <w:r w:rsidRPr="00E8358C">
        <w:t>dent Jean-Claude Duvalier, qu’Haïti commence réellement à se tro</w:t>
      </w:r>
      <w:r w:rsidRPr="00E8358C">
        <w:t>u</w:t>
      </w:r>
      <w:r w:rsidRPr="00E8358C">
        <w:t>ver dans un état où elle ne peut plus nourrir ses citoyens. Ce fut le moment de libér</w:t>
      </w:r>
      <w:r w:rsidRPr="00E8358C">
        <w:t>a</w:t>
      </w:r>
      <w:r w:rsidRPr="00E8358C">
        <w:t>tion des frontières douanières sous le gouvernement de Henry Namphy. Cette décision n’a eu que des effets négatifs sur la production nationale. L’importation massive de produits alimentaires des États-Unis, comme le riz déjà cultivé en Haïti, allait décourager les planteurs de la vallée de l’Artibonite. Cette situation me fait penser que la fermeture du pays au commerce extérieur après 1804 était très favorable à une autosuffisance. On ne pouvait compter que sur la pr</w:t>
      </w:r>
      <w:r w:rsidRPr="00E8358C">
        <w:t>o</w:t>
      </w:r>
      <w:r w:rsidRPr="00E8358C">
        <w:t>duction nationale. Cette ouverture sur l’extérieur dans le domaine alimentaire à partir de 1915 a facilité la mai</w:t>
      </w:r>
      <w:r w:rsidRPr="00E8358C">
        <w:t>n</w:t>
      </w:r>
      <w:r w:rsidRPr="00E8358C">
        <w:t>mise du Blanc sur le pays. Le « Blanc » devient incontournable en Haïti.]</w:t>
      </w:r>
    </w:p>
    <w:p w:rsidR="004C50DC" w:rsidRPr="00E8358C" w:rsidRDefault="004C50DC" w:rsidP="004C50DC">
      <w:pPr>
        <w:pStyle w:val="Citation0c"/>
      </w:pPr>
      <w:r w:rsidRPr="00E8358C">
        <w:t>(Jacqueline, entrevue, Milot, 3 juillet 2013)</w:t>
      </w:r>
    </w:p>
    <w:p w:rsidR="004C50DC" w:rsidRPr="00E8358C" w:rsidRDefault="004C50DC" w:rsidP="004C50DC">
      <w:pPr>
        <w:spacing w:before="120" w:after="120"/>
        <w:jc w:val="both"/>
      </w:pPr>
    </w:p>
    <w:p w:rsidR="004C50DC" w:rsidRPr="00E8358C" w:rsidRDefault="004C50DC" w:rsidP="004C50DC">
      <w:pPr>
        <w:spacing w:before="120" w:after="120"/>
        <w:jc w:val="both"/>
      </w:pPr>
      <w:r w:rsidRPr="00E8358C">
        <w:t>Une fois de plus, le « Blanc » est tenu pour responsable des pr</w:t>
      </w:r>
      <w:r w:rsidRPr="00E8358C">
        <w:t>o</w:t>
      </w:r>
      <w:r w:rsidRPr="00E8358C">
        <w:t>blèmes alimentaires d’Haïti. Certes, le pays a connu une baisse de production agricole après 1986. Le gouvernement du général Henry Namphy avait opté pour une importation massive de produits alime</w:t>
      </w:r>
      <w:r w:rsidRPr="00E8358C">
        <w:t>n</w:t>
      </w:r>
      <w:r w:rsidRPr="00E8358C">
        <w:t>taires qui allait entraver la production locale. Il faut fixer d’abord la responsabilité des autorités haïtiennes. À quoi bon s’éterniser sur l’accusation des étrangers, alors que, sur le plan national, les élites dirigeantes ne s’accordent pas pour prendre des mesures urgentes pour améliorer les conditions de vie de la population ?</w:t>
      </w:r>
    </w:p>
    <w:p w:rsidR="004C50DC" w:rsidRDefault="004C50DC" w:rsidP="004C50DC">
      <w:pPr>
        <w:spacing w:before="120" w:after="120"/>
        <w:jc w:val="both"/>
      </w:pPr>
      <w:r w:rsidRPr="00E8358C">
        <w:t>Un « mimétisme alimentaire », c’est-à-dire une volonté de resse</w:t>
      </w:r>
      <w:r w:rsidRPr="00E8358C">
        <w:t>m</w:t>
      </w:r>
      <w:r w:rsidRPr="00E8358C">
        <w:t>bler à l’étranger même au point de vue alimentaire, est visible dans la société haïtienne. Certaines pratiques alimentaires en lien avec le pa</w:t>
      </w:r>
      <w:r w:rsidRPr="00E8358C">
        <w:t>s</w:t>
      </w:r>
      <w:r w:rsidRPr="00E8358C">
        <w:t>sé colonial sont menacées de disparition, alors que pour Jacinthe Be</w:t>
      </w:r>
      <w:r w:rsidRPr="00E8358C">
        <w:t>s</w:t>
      </w:r>
      <w:r w:rsidRPr="00E8358C">
        <w:t>sière, « la fonction mémorielle du patrimoine alimentaire renvoie à une mémoire collective, des racines, qui revalorisent un sentiment d’appartenance au territoire. Elle contribue à la construction identita</w:t>
      </w:r>
      <w:r w:rsidRPr="00E8358C">
        <w:t>i</w:t>
      </w:r>
      <w:r w:rsidRPr="00E8358C">
        <w:t>re d’un territoire »</w:t>
      </w:r>
      <w:r>
        <w:t> </w:t>
      </w:r>
      <w:r w:rsidRPr="00E8358C">
        <w:rPr>
          <w:rStyle w:val="Appelnotedebasdep"/>
        </w:rPr>
        <w:footnoteReference w:id="944"/>
      </w:r>
      <w:r w:rsidRPr="00E8358C">
        <w:t>. La société haïtienne est singulière dans sa volo</w:t>
      </w:r>
      <w:r w:rsidRPr="00E8358C">
        <w:t>n</w:t>
      </w:r>
      <w:r w:rsidRPr="00E8358C">
        <w:t xml:space="preserve">té de vivre, de comprendre et de transmettre les mémoires de l’esclavage. Le quotidien est vécu comme un défi pour satisfaire les besoins du présent. </w:t>
      </w:r>
    </w:p>
    <w:p w:rsidR="004C50DC" w:rsidRPr="00E8358C" w:rsidRDefault="004C50DC" w:rsidP="004C50DC">
      <w:pPr>
        <w:spacing w:before="120" w:after="120"/>
        <w:jc w:val="both"/>
      </w:pPr>
    </w:p>
    <w:p w:rsidR="004C50DC" w:rsidRPr="00E8358C" w:rsidRDefault="004C50DC" w:rsidP="004C50DC">
      <w:pPr>
        <w:pStyle w:val="planche"/>
      </w:pPr>
      <w:bookmarkStart w:id="506" w:name="_Toc406489743"/>
      <w:bookmarkStart w:id="507" w:name="_Toc442280560"/>
      <w:bookmarkStart w:id="508" w:name="Memoire_chap_VI_6"/>
      <w:r w:rsidRPr="00E8358C">
        <w:t>6.6. Représentations de l’esclavage</w:t>
      </w:r>
      <w:r>
        <w:br/>
      </w:r>
      <w:r w:rsidRPr="00E8358C">
        <w:t>dans les mises en scène co</w:t>
      </w:r>
      <w:r w:rsidRPr="00E8358C">
        <w:t>m</w:t>
      </w:r>
      <w:r w:rsidRPr="00E8358C">
        <w:t>mémoratives</w:t>
      </w:r>
      <w:bookmarkEnd w:id="506"/>
      <w:bookmarkEnd w:id="507"/>
    </w:p>
    <w:bookmarkEnd w:id="508"/>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La mémoire de l’esclavage en Haïti n’est pas seulement une que</w:t>
      </w:r>
      <w:r w:rsidRPr="00E8358C">
        <w:t>s</w:t>
      </w:r>
      <w:r w:rsidRPr="00E8358C">
        <w:t>tion d’expérience de</w:t>
      </w:r>
      <w:r>
        <w:t xml:space="preserve"> [369]</w:t>
      </w:r>
      <w:r w:rsidRPr="00E8358C">
        <w:t xml:space="preserve"> l’esclavage. Il y a aussi les témoins de ce double passé esclavagiste et victorieux qui sont liés à des dates préc</w:t>
      </w:r>
      <w:r w:rsidRPr="00E8358C">
        <w:t>i</w:t>
      </w:r>
      <w:r w:rsidRPr="00E8358C">
        <w:t>ses et à des lieux que l’on commémore. Ces commémorations d</w:t>
      </w:r>
      <w:r w:rsidRPr="00E8358C">
        <w:t>e</w:t>
      </w:r>
      <w:r w:rsidRPr="00E8358C">
        <w:t>vraient assurer « l’avenir collectif » du peuple haïtien. La mise en scène a pour effet, comme l’explique  Michel Corvin, d’assurer le jeu de chaque acteur et l’harmonie générale de l’exécution</w:t>
      </w:r>
      <w:r>
        <w:t> </w:t>
      </w:r>
      <w:r w:rsidRPr="00E8358C">
        <w:rPr>
          <w:rStyle w:val="Appelnotedebasdep"/>
        </w:rPr>
        <w:footnoteReference w:id="945"/>
      </w:r>
      <w:r w:rsidRPr="00E8358C">
        <w:t>. Dans une commémoration, les mises en scène soutiennent la répétition, la pr</w:t>
      </w:r>
      <w:r w:rsidRPr="00E8358C">
        <w:t>é</w:t>
      </w:r>
      <w:r w:rsidRPr="00E8358C">
        <w:t>paration du discours, le choix des mots pour raffermir les esprits et toucher le côté patriotique d’une population ou d’une communauté. Elles sont retransmises par les médias pour atteindre un public plus large que celui des participants</w:t>
      </w:r>
      <w:r>
        <w:t> </w:t>
      </w:r>
      <w:r>
        <w:rPr>
          <w:rStyle w:val="Appelnotedebasdep"/>
        </w:rPr>
        <w:footnoteReference w:id="946"/>
      </w:r>
      <w:r w:rsidRPr="00E8358C">
        <w:t>. Les autorités étatiques doivent être habiles pour gagner la confiance de la population en cette occasion et dans ce jeu mémoriel.</w:t>
      </w:r>
    </w:p>
    <w:p w:rsidR="004C50DC" w:rsidRPr="00E8358C" w:rsidRDefault="004C50DC" w:rsidP="004C50DC">
      <w:pPr>
        <w:spacing w:before="120" w:after="120"/>
        <w:jc w:val="both"/>
      </w:pPr>
      <w:r w:rsidRPr="00E8358C">
        <w:t>Pascal Ory analyse avec une grande finesse les conditions dans lesquelles se réalisent les processus communicationnels de la co</w:t>
      </w:r>
      <w:r w:rsidRPr="00E8358C">
        <w:t>m</w:t>
      </w:r>
      <w:r w:rsidRPr="00E8358C">
        <w:t>mémoration. Il veut que la dimension symbolique soit mise en avant pour assurer à la communauté son identité. Ainsi, les figures et les mises en scène d’événements fondateurs seront sollicitées</w:t>
      </w:r>
      <w:r>
        <w:t> </w:t>
      </w:r>
      <w:r>
        <w:rPr>
          <w:rStyle w:val="Appelnotedebasdep"/>
        </w:rPr>
        <w:footnoteReference w:id="947"/>
      </w:r>
      <w:r w:rsidRPr="00E8358C">
        <w:t>. Le sent</w:t>
      </w:r>
      <w:r w:rsidRPr="00E8358C">
        <w:t>i</w:t>
      </w:r>
      <w:r w:rsidRPr="00E8358C">
        <w:t>ment d’appartenance est aussi présent, car il trouve dans le registre patrimonial un terrain propice à son plein épanouissement. Le collectif est l’essence de la commémoration. C’est la charge de la « mémoire collective »</w:t>
      </w:r>
      <w:r>
        <w:t> </w:t>
      </w:r>
      <w:r>
        <w:rPr>
          <w:rStyle w:val="Appelnotedebasdep"/>
        </w:rPr>
        <w:footnoteReference w:id="948"/>
      </w:r>
      <w:r w:rsidRPr="00E8358C">
        <w:t xml:space="preserve"> que supportent la date et le lieu qui donnent du sens aux événements. </w:t>
      </w:r>
    </w:p>
    <w:p w:rsidR="004C50DC" w:rsidRDefault="004C50DC" w:rsidP="004C50DC">
      <w:pPr>
        <w:spacing w:before="120" w:after="120"/>
        <w:jc w:val="both"/>
      </w:pPr>
      <w:r w:rsidRPr="00E8358C">
        <w:t>En général, plusieurs acteurs entrent en scène dans les commém</w:t>
      </w:r>
      <w:r w:rsidRPr="00E8358C">
        <w:t>o</w:t>
      </w:r>
      <w:r w:rsidRPr="00E8358C">
        <w:t>rations en Haïti. Les autorités gouvernementales et religieuses, les municipalités, les notables, les écoliers, les membres des communa</w:t>
      </w:r>
      <w:r w:rsidRPr="00E8358C">
        <w:t>u</w:t>
      </w:r>
      <w:r w:rsidRPr="00E8358C">
        <w:t xml:space="preserve">tés, les artistes jouent à tour de rôle leur partition pour donner à la date ou au lieu sa véritable couleur patrimoniale. Du </w:t>
      </w:r>
      <w:r w:rsidRPr="00E8358C">
        <w:rPr>
          <w:i/>
        </w:rPr>
        <w:t xml:space="preserve">Te deum </w:t>
      </w:r>
      <w:r w:rsidRPr="00E8358C">
        <w:t>jusqu’au d</w:t>
      </w:r>
      <w:r w:rsidRPr="00E8358C">
        <w:t>é</w:t>
      </w:r>
      <w:r w:rsidRPr="00E8358C">
        <w:t xml:space="preserve">filé des écoles et des fanfares,en passant par la bénédiction des lieux suivis des discours solennels, tout est souvent mis en place pour faire revivre les moments forts sous les regards curieux et </w:t>
      </w:r>
      <w:r>
        <w:t xml:space="preserve">[370] </w:t>
      </w:r>
      <w:r w:rsidRPr="00E8358C">
        <w:t>éblouis des participants. Les discours, souvent, électrisent les optimistes et mot</w:t>
      </w:r>
      <w:r w:rsidRPr="00E8358C">
        <w:t>i</w:t>
      </w:r>
      <w:r w:rsidRPr="00E8358C">
        <w:t>vent les plus sceptiques. C’est également l’occasion pour que l’instrumentalisation de la mémoire coloniale atteigne son plus haut point.</w:t>
      </w:r>
    </w:p>
    <w:p w:rsidR="004C50DC" w:rsidRPr="00E8358C" w:rsidRDefault="004C50DC" w:rsidP="004C50DC">
      <w:pPr>
        <w:spacing w:before="120" w:after="120"/>
        <w:jc w:val="both"/>
      </w:pPr>
      <w:r>
        <w:br w:type="page"/>
      </w:r>
    </w:p>
    <w:p w:rsidR="004C50DC" w:rsidRPr="00E8358C" w:rsidRDefault="004C50DC" w:rsidP="004C50DC">
      <w:pPr>
        <w:pStyle w:val="a"/>
      </w:pPr>
      <w:bookmarkStart w:id="509" w:name="_Toc406489744"/>
      <w:bookmarkStart w:id="510" w:name="_Toc442280561"/>
      <w:r w:rsidRPr="00E8358C">
        <w:t>6.6.1. Valorisation de lieux et de mémoires</w:t>
      </w:r>
      <w:bookmarkEnd w:id="509"/>
      <w:bookmarkEnd w:id="510"/>
    </w:p>
    <w:p w:rsidR="004C50DC" w:rsidRDefault="004C50DC" w:rsidP="004C50DC">
      <w:pPr>
        <w:spacing w:before="120" w:after="120"/>
        <w:jc w:val="both"/>
      </w:pPr>
    </w:p>
    <w:p w:rsidR="004C50DC" w:rsidRDefault="004C50DC" w:rsidP="004C50DC">
      <w:pPr>
        <w:spacing w:before="120" w:after="120"/>
        <w:jc w:val="both"/>
      </w:pPr>
      <w:r w:rsidRPr="00E8358C">
        <w:t>Nous avons choisi d’étudier quatre événements nationaux se ra</w:t>
      </w:r>
      <w:r w:rsidRPr="00E8358C">
        <w:t>p</w:t>
      </w:r>
      <w:r w:rsidRPr="00E8358C">
        <w:t>portant au passé colonial qui mobilisent généralement toute la nation haïtienne. Toute personne voulant apprécier la qualité d’une comm</w:t>
      </w:r>
      <w:r w:rsidRPr="00E8358C">
        <w:t>é</w:t>
      </w:r>
      <w:r w:rsidRPr="00E8358C">
        <w:t>moration en Haïti doit absolument appuyer ses observations sur au moins une de ces dates fatidiques, qui constituent des éléments esse</w:t>
      </w:r>
      <w:r w:rsidRPr="00E8358C">
        <w:t>n</w:t>
      </w:r>
      <w:r w:rsidRPr="00E8358C">
        <w:t>tiels du patrimoin</w:t>
      </w:r>
      <w:r>
        <w:t>e culturel immatériel haïtien.</w:t>
      </w:r>
    </w:p>
    <w:p w:rsidR="004C50DC" w:rsidRPr="00E8358C" w:rsidRDefault="004C50DC" w:rsidP="004C50DC">
      <w:pPr>
        <w:pStyle w:val="b"/>
      </w:pPr>
    </w:p>
    <w:p w:rsidR="004C50DC" w:rsidRPr="007B052A" w:rsidRDefault="004C50DC" w:rsidP="004C50DC">
      <w:pPr>
        <w:pStyle w:val="b"/>
      </w:pPr>
      <w:bookmarkStart w:id="511" w:name="_Toc406489745"/>
      <w:bookmarkStart w:id="512" w:name="_Toc442280562"/>
      <w:r w:rsidRPr="00647CDF">
        <w:t>Bois</w:t>
      </w:r>
      <w:r w:rsidRPr="007B052A">
        <w:t>-Caïman</w:t>
      </w:r>
      <w:bookmarkEnd w:id="511"/>
      <w:bookmarkEnd w:id="512"/>
    </w:p>
    <w:p w:rsidR="004C50DC" w:rsidRDefault="004C50DC" w:rsidP="004C50DC">
      <w:pPr>
        <w:spacing w:before="120" w:after="120"/>
        <w:jc w:val="both"/>
      </w:pPr>
    </w:p>
    <w:p w:rsidR="004C50DC" w:rsidRPr="00E8358C" w:rsidRDefault="004C50DC" w:rsidP="004C50DC">
      <w:pPr>
        <w:spacing w:before="120" w:after="120"/>
        <w:jc w:val="both"/>
      </w:pPr>
      <w:r w:rsidRPr="00E8358C">
        <w:t>Bois-Caïman est situé sur l’habitation Lenorman de Mézy dans le Département du Nord. Cette habitation est réputée pour être le lieu d’origine des esclaves instigateurs de révoltes dans la colonie de Saint-Domingue comme Dutty Boukman et Makandal. L’habitation fut le théâtre d’un événement historique majeur qui allait changer le cours du système esclavagiste dans la colonie.  Elle avait accueilli la cérémonie vodouesque, organisée dans la nuit du 14 au 15 août 1791sous le leadership de Dutty Boukman, grand prêtre vodou, qui offrait des sacrifices en expiation des conditions de l’esclavage. Jean-Chrysostome Dorsainvil rapporte que « sur tous les esclaves qui l’approchaient, [Boukman] exerçait un ascendant qui tenait du prod</w:t>
      </w:r>
      <w:r w:rsidRPr="00E8358C">
        <w:t>i</w:t>
      </w:r>
      <w:r w:rsidRPr="00E8358C">
        <w:t>ge. Pour faire tomber toutes les hésitations et obtenir un dévouement absolu, il réunit dans la nuit du 14 août 1791 un grand nombre d’esclaves dans une clairière du Bois-Caïman »</w:t>
      </w:r>
      <w:r>
        <w:t> </w:t>
      </w:r>
      <w:r>
        <w:rPr>
          <w:rStyle w:val="Appelnotedebasdep"/>
        </w:rPr>
        <w:footnoteReference w:id="949"/>
      </w:r>
      <w:r w:rsidRPr="00E8358C">
        <w:t>.</w:t>
      </w:r>
    </w:p>
    <w:p w:rsidR="004C50DC" w:rsidRPr="00E8358C" w:rsidRDefault="004C50DC" w:rsidP="004C50DC">
      <w:pPr>
        <w:spacing w:before="120" w:after="120"/>
        <w:jc w:val="both"/>
      </w:pPr>
      <w:r w:rsidRPr="00E8358C">
        <w:t>Beaubrun Ardouin, en analysant la cérémonie du Bois-Caïman, e</w:t>
      </w:r>
      <w:r w:rsidRPr="00E8358C">
        <w:t>f</w:t>
      </w:r>
      <w:r w:rsidRPr="00E8358C">
        <w:t>fectue un rapprochement avec les méthodes de lutte de Makandal qui, bien avant Boukman, organisait des</w:t>
      </w:r>
      <w:r>
        <w:t xml:space="preserve"> [371]</w:t>
      </w:r>
      <w:r w:rsidRPr="00E8358C">
        <w:t xml:space="preserve"> cérémonies voudouesques et incitait les esclaves à la révolte. Dans cette veine, Ardouin, faisant allusion à Makandal, souligne : « il semble que les conjurés, en s’y réunissant, aient voulu s’inspirer des souvenirs homicides de cet Afr</w:t>
      </w:r>
      <w:r w:rsidRPr="00E8358C">
        <w:t>i</w:t>
      </w:r>
      <w:r w:rsidRPr="00E8358C">
        <w:t>cain impitoyable »</w:t>
      </w:r>
      <w:r>
        <w:t> </w:t>
      </w:r>
      <w:r w:rsidRPr="00E8358C">
        <w:rPr>
          <w:rStyle w:val="Appelnotedebasdep"/>
        </w:rPr>
        <w:footnoteReference w:id="950"/>
      </w:r>
      <w:r w:rsidRPr="00E8358C">
        <w:t xml:space="preserve">. </w:t>
      </w:r>
    </w:p>
    <w:p w:rsidR="004C50DC" w:rsidRPr="00E8358C" w:rsidRDefault="004C50DC" w:rsidP="004C50DC">
      <w:pPr>
        <w:spacing w:before="120" w:after="120"/>
        <w:jc w:val="both"/>
      </w:pPr>
      <w:r w:rsidRPr="00E8358C">
        <w:t>Bois-Caïman constitue l’acte annonciateur et fondateur de la Rév</w:t>
      </w:r>
      <w:r w:rsidRPr="00E8358C">
        <w:t>o</w:t>
      </w:r>
      <w:r w:rsidRPr="00E8358C">
        <w:t>lution haïtienne. Le 14 août 1791 fut le ciment qui a lié les esclaves entre eux. Le cri « vivre libre ou mourir » en était le leitmotiv. Plus de deux cent vingt-trois ans après, les Haïtiens s’accrochent encore à ce</w:t>
      </w:r>
      <w:r w:rsidRPr="00E8358C">
        <w:t>t</w:t>
      </w:r>
      <w:r w:rsidRPr="00E8358C">
        <w:t>te vision d’un monde libre constituée à partir de Bois-Caïman. Co</w:t>
      </w:r>
      <w:r w:rsidRPr="00E8358C">
        <w:t>m</w:t>
      </w:r>
      <w:r w:rsidRPr="00E8358C">
        <w:t>me le soutiennent Rachel Beauvoir-Dominique et Eddy Lubin :</w:t>
      </w:r>
    </w:p>
    <w:p w:rsidR="004C50DC" w:rsidRDefault="004C50DC" w:rsidP="004C50DC">
      <w:pPr>
        <w:pStyle w:val="Citation0"/>
      </w:pPr>
    </w:p>
    <w:p w:rsidR="004C50DC" w:rsidRDefault="004C50DC" w:rsidP="004C50DC">
      <w:pPr>
        <w:pStyle w:val="Citation0"/>
      </w:pPr>
      <w:r w:rsidRPr="00E8358C">
        <w:t>Traiter du Bois-Caïman, c’est aborder un enchevêtrement co</w:t>
      </w:r>
      <w:r w:rsidRPr="00E8358C">
        <w:t>m</w:t>
      </w:r>
      <w:r w:rsidRPr="00E8358C">
        <w:t>plexe où les sphères religieuse, culturelle, politique et économique s’allient organ</w:t>
      </w:r>
      <w:r w:rsidRPr="00E8358C">
        <w:t>i</w:t>
      </w:r>
      <w:r w:rsidRPr="00E8358C">
        <w:t>quement.Tel qu’il est fréquent dans un nombre de pays, légende et histoire se combinent pour créer une partie de la grande fresque fondatrice de la nation</w:t>
      </w:r>
      <w:r>
        <w:t> </w:t>
      </w:r>
      <w:r>
        <w:rPr>
          <w:rStyle w:val="Appelnotedebasdep"/>
        </w:rPr>
        <w:footnoteReference w:id="951"/>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Depuis plus de deux décennies, le site du Bois-Caïman subit de nombreux actes de vandalisme orchestrés par des fanatiques, sous le couvert du protestantisme. Ils menacent d’abattre l’arbre symbolique sous lequel s’était tenue la réunion. Pour cette raison, des fresques r</w:t>
      </w:r>
      <w:r w:rsidRPr="00E8358C">
        <w:t>e</w:t>
      </w:r>
      <w:r w:rsidRPr="00E8358C">
        <w:t>présentant la cérémonie et la révolte générale des esclaves sont sy</w:t>
      </w:r>
      <w:r w:rsidRPr="00E8358C">
        <w:t>m</w:t>
      </w:r>
      <w:r w:rsidRPr="00E8358C">
        <w:t>boliquement protégées par une clôture aux couleurs du drapeau nati</w:t>
      </w:r>
      <w:r w:rsidRPr="00E8358C">
        <w:t>o</w:t>
      </w:r>
      <w:r w:rsidRPr="00E8358C">
        <w:t>nal</w:t>
      </w:r>
      <w:r>
        <w:t> </w:t>
      </w:r>
      <w:r>
        <w:rPr>
          <w:rStyle w:val="Appelnotedebasdep"/>
        </w:rPr>
        <w:footnoteReference w:id="952"/>
      </w:r>
      <w:r w:rsidRPr="00E8358C">
        <w:t xml:space="preserve">. </w:t>
      </w:r>
    </w:p>
    <w:p w:rsidR="004C50DC" w:rsidRPr="00E8358C" w:rsidRDefault="004C50DC" w:rsidP="004C50DC">
      <w:pPr>
        <w:spacing w:before="120" w:after="120"/>
        <w:jc w:val="both"/>
      </w:pPr>
      <w:r w:rsidRPr="00E8358C">
        <w:t>La cérémonie du Bois-Caïman fait l’objet de nombreuses reche</w:t>
      </w:r>
      <w:r w:rsidRPr="00E8358C">
        <w:t>r</w:t>
      </w:r>
      <w:r w:rsidRPr="00E8358C">
        <w:t>ches et son histoire est enseignée à l’école. Toute une tradition orale alimente les discours sur ce lieu patrimonial. Depuis 1982, le site du Bois-Caïman est classé « patrimoine national ».C’est un haut lieu de pèlerinage pour les fidèles vodouisants, qui se tient tous les 14 août. Le 24 août 2003, le site du Bois-Caïman avait accueilli des activités de la 3</w:t>
      </w:r>
      <w:r w:rsidRPr="00E8358C">
        <w:rPr>
          <w:vertAlign w:val="superscript"/>
        </w:rPr>
        <w:t>e</w:t>
      </w:r>
      <w:r w:rsidRPr="00E8358C">
        <w:t>assemblée de l’Association des Peuples de la Caraïbe (APC) sur le thème « Peuple caraïbe, construisons notre Caraïbe souveraine, égalitaire, équitable, juste et en paix », avec la participation du prix Nobel de la paix Adolfo Perez Esquivel</w:t>
      </w:r>
      <w:r>
        <w:t> </w:t>
      </w:r>
      <w:r>
        <w:rPr>
          <w:rStyle w:val="Appelnotedebasdep"/>
        </w:rPr>
        <w:footnoteReference w:id="953"/>
      </w:r>
      <w:r w:rsidRPr="00E8358C">
        <w:t>, pour commémorer le 212</w:t>
      </w:r>
      <w:r w:rsidRPr="00E8358C">
        <w:rPr>
          <w:vertAlign w:val="superscript"/>
        </w:rPr>
        <w:t>e</w:t>
      </w:r>
      <w:r w:rsidRPr="00E8358C">
        <w:t> anniversaire du soulèvement</w:t>
      </w:r>
      <w:r>
        <w:t xml:space="preserve"> [372]</w:t>
      </w:r>
      <w:r w:rsidRPr="00E8358C">
        <w:t xml:space="preserve"> général des esclaves à Saint-Domingue. </w:t>
      </w:r>
    </w:p>
    <w:p w:rsidR="004C50DC" w:rsidRDefault="004C50DC" w:rsidP="004C50DC">
      <w:pPr>
        <w:spacing w:before="120" w:after="120"/>
        <w:jc w:val="both"/>
      </w:pPr>
      <w:r w:rsidRPr="00E8358C">
        <w:t>C’est la cérémonie du Bois-Caïman qui avait influencé la décision de l’UNESCO d’adopter en 1997 la date du 23 août comme « Journée internationale du souvenir de la Traite négrière et de son abolition ». Selon l’UNESCO, « cette date symbolise le fait que les esclaves ont été les principaux acteurs de leur libération et permet de se souvenir de l’emblématique</w:t>
      </w:r>
      <w:r>
        <w:t xml:space="preserve"> </w:t>
      </w:r>
      <w:r w:rsidRPr="00E8358C">
        <w:t>insurrection qui, dans la nuit du 22 au 23 août 1791, libéra</w:t>
      </w:r>
      <w:r>
        <w:t xml:space="preserve"> </w:t>
      </w:r>
      <w:r w:rsidRPr="00E8358C">
        <w:t>l’île de Saint-Domingue de l’esclavage etfavorisa la cré</w:t>
      </w:r>
      <w:r w:rsidRPr="00E8358C">
        <w:t>a</w:t>
      </w:r>
      <w:r w:rsidRPr="00E8358C">
        <w:t>tion de la première République noire, Haïti »</w:t>
      </w:r>
      <w:r>
        <w:t> </w:t>
      </w:r>
      <w:r>
        <w:rPr>
          <w:rStyle w:val="Appelnotedebasdep"/>
        </w:rPr>
        <w:footnoteReference w:id="954"/>
      </w:r>
      <w:r w:rsidRPr="00E8358C">
        <w:t xml:space="preserve">. </w:t>
      </w:r>
    </w:p>
    <w:p w:rsidR="004C50DC" w:rsidRPr="00E8358C" w:rsidRDefault="004C50DC" w:rsidP="004C50DC">
      <w:pPr>
        <w:spacing w:before="120" w:after="120"/>
        <w:jc w:val="both"/>
      </w:pPr>
    </w:p>
    <w:p w:rsidR="004C50DC" w:rsidRPr="004600DF" w:rsidRDefault="004C50DC" w:rsidP="004C50DC">
      <w:pPr>
        <w:pStyle w:val="b"/>
      </w:pPr>
      <w:bookmarkStart w:id="513" w:name="_Toc406489746"/>
      <w:bookmarkStart w:id="514" w:name="_Toc442280563"/>
      <w:r w:rsidRPr="004600DF">
        <w:t>Création du drapeau</w:t>
      </w:r>
      <w:bookmarkEnd w:id="513"/>
      <w:bookmarkEnd w:id="514"/>
    </w:p>
    <w:p w:rsidR="004C50DC" w:rsidRDefault="004C50DC" w:rsidP="004C50DC">
      <w:pPr>
        <w:spacing w:before="120" w:after="120"/>
        <w:jc w:val="both"/>
      </w:pPr>
    </w:p>
    <w:p w:rsidR="004C50DC" w:rsidRPr="00E8358C" w:rsidRDefault="004C50DC" w:rsidP="004C50DC">
      <w:pPr>
        <w:spacing w:before="120" w:after="120"/>
        <w:jc w:val="both"/>
      </w:pPr>
      <w:r w:rsidRPr="00E8358C">
        <w:t>Depuis sa création, Haïti n’a pas moins de huit drapeaux. Du « bleu et rouge » au « noir et rouge » disposé verticalement ou hor</w:t>
      </w:r>
      <w:r w:rsidRPr="00E8358C">
        <w:t>i</w:t>
      </w:r>
      <w:r w:rsidRPr="00E8358C">
        <w:t>zontalement avec ou sans les armes de la République aposées sur un carré d’étoffe blanche au milieu ou d’autres motifs, le drapeau trave</w:t>
      </w:r>
      <w:r w:rsidRPr="00E8358C">
        <w:t>r</w:t>
      </w:r>
      <w:r w:rsidRPr="00E8358C">
        <w:t xml:space="preserve">se les cœurs des Haïtiens et réussit à rassembler tout un peuple. </w:t>
      </w:r>
    </w:p>
    <w:p w:rsidR="004C50DC" w:rsidRPr="00E8358C" w:rsidRDefault="004C50DC" w:rsidP="004C50DC">
      <w:pPr>
        <w:spacing w:before="120" w:after="120"/>
        <w:jc w:val="both"/>
      </w:pPr>
      <w:r w:rsidRPr="00E8358C">
        <w:t>Lors du combat opposant la treizième demi-brigade de l’Armée i</w:t>
      </w:r>
      <w:r w:rsidRPr="00E8358C">
        <w:t>n</w:t>
      </w:r>
      <w:r w:rsidRPr="00E8358C">
        <w:t>digène et une troupe française à la Plaine du Cul-de-sac, les soldats français, devant la détermination et la fureur des indigènes, pressés de se repositionner, ont laissé derrière eux un drapeau de la France (bleu, blanc, rouge). Les révolutionnaires se sont emparés du drapeau. Les officiers français ont interprété ce geste comme un désir de conserver le rattachement de la colonie dominguoise à la France et ont rapporté que l’armée indigène ne voulait pas vraiment de l’indépendance, car elle continuait de brandir le drapeau français. Informé de cette inte</w:t>
      </w:r>
      <w:r w:rsidRPr="00E8358C">
        <w:t>r</w:t>
      </w:r>
      <w:r w:rsidRPr="00E8358C">
        <w:t>prétation, Alexandre Pétion rencontra Jean-Jacques Dessalines en f</w:t>
      </w:r>
      <w:r w:rsidRPr="00E8358C">
        <w:t>é</w:t>
      </w:r>
      <w:r w:rsidRPr="00E8358C">
        <w:t>vrier 1803 à la Petite Rivière de l’Artibonite, et les deux généraux i</w:t>
      </w:r>
      <w:r w:rsidRPr="00E8358C">
        <w:t>n</w:t>
      </w:r>
      <w:r w:rsidRPr="00E8358C">
        <w:t>digènes jurèrent de ne plus être à la solde des Français et décidèrent de s’approprier un nouveau drapeau exprimant clairement leur volonté de construire un État indépendant. Le drapeau « bleu et rouge », di</w:t>
      </w:r>
      <w:r w:rsidRPr="00E8358C">
        <w:t>s</w:t>
      </w:r>
      <w:r w:rsidRPr="00E8358C">
        <w:t>posé en deux bandes horizontales, fut cousu lors du Congrès de l’Arcahaie, le 18 mai 1803. Dessalines ôta la bande blanche de l’emblème colonial du drapeau français pour joindre le bleu au rouge, symbolisant ainsi l’union des Mulâtres et des Noirs dans la lutte pour la</w:t>
      </w:r>
      <w:r>
        <w:t xml:space="preserve"> [373]</w:t>
      </w:r>
      <w:r w:rsidRPr="00E8358C">
        <w:t xml:space="preserve"> liberté, car cet acte politique était le fruit des décisions de Jean-Jacques Dessalines, le chef des révoltés noirs, et d’Alexandre Pétion, le leader des Mulâtres. Ce fut Catherine Flon qui eut la tâche historique de recoudre les deux bandes, « bleu et rouge ». </w:t>
      </w:r>
    </w:p>
    <w:p w:rsidR="004C50DC" w:rsidRPr="00E8358C" w:rsidRDefault="004C50DC" w:rsidP="004C50DC">
      <w:pPr>
        <w:spacing w:before="120" w:after="120"/>
        <w:jc w:val="both"/>
      </w:pPr>
      <w:r w:rsidRPr="00E8358C">
        <w:t xml:space="preserve">Ce drapeau </w:t>
      </w:r>
      <w:r w:rsidRPr="00E8358C">
        <w:rPr>
          <w:lang w:eastAsia="en-CA"/>
        </w:rPr>
        <w:t>a été adopté dès 1820 comme le drapeau national ha</w:t>
      </w:r>
      <w:r w:rsidRPr="00E8358C">
        <w:rPr>
          <w:lang w:eastAsia="en-CA"/>
        </w:rPr>
        <w:t>ï</w:t>
      </w:r>
      <w:r w:rsidRPr="00E8358C">
        <w:rPr>
          <w:lang w:eastAsia="en-CA"/>
        </w:rPr>
        <w:t>tien et officialisé en 1843. Cependant, sous la dictature des Duvalier (</w:t>
      </w:r>
      <w:r w:rsidRPr="00E8358C">
        <w:t>1964-1986), il a été remplacé par un drapeau « noiret rouge ». Après le renversement de Jean-Claude Duvalier le 7 février 1986, les no</w:t>
      </w:r>
      <w:r w:rsidRPr="00E8358C">
        <w:t>u</w:t>
      </w:r>
      <w:r w:rsidRPr="00E8358C">
        <w:t>veaux dirigeants ont à nouveau opté pour le drapeau « bleu et rouge » et le peuple haïtien l’a consacré constitutionnellement depuis 1987</w:t>
      </w:r>
      <w:r>
        <w:t> </w:t>
      </w:r>
      <w:r w:rsidRPr="00E8358C">
        <w:rPr>
          <w:rStyle w:val="Appelnotedebasdep"/>
        </w:rPr>
        <w:footnoteReference w:id="955"/>
      </w:r>
      <w:r w:rsidRPr="00E8358C">
        <w:t>. La devise« L’union fait la force » inscrite sous les armes de la Rép</w:t>
      </w:r>
      <w:r w:rsidRPr="00E8358C">
        <w:t>u</w:t>
      </w:r>
      <w:r w:rsidRPr="00E8358C">
        <w:t>blique suggère la volonté commune du peuple haïtien de toujours re</w:t>
      </w:r>
      <w:r w:rsidRPr="00E8358C">
        <w:t>s</w:t>
      </w:r>
      <w:r w:rsidRPr="00E8358C">
        <w:t>ter uni. Lors des cérémonies officielles et au moment de l’envoi du drapeau, l’hymne national, intitulé « La Dessalinienne »</w:t>
      </w:r>
      <w:r>
        <w:t> </w:t>
      </w:r>
      <w:r w:rsidRPr="00E8358C">
        <w:rPr>
          <w:rStyle w:val="Appelnotedebasdep"/>
        </w:rPr>
        <w:footnoteReference w:id="956"/>
      </w:r>
      <w:r w:rsidRPr="00E8358C">
        <w:t>, célèbre p</w:t>
      </w:r>
      <w:r w:rsidRPr="00E8358C">
        <w:t>a</w:t>
      </w:r>
      <w:r w:rsidRPr="00E8358C">
        <w:t>triotiquement la prouesse des héros de l’Indépendance et la bravo</w:t>
      </w:r>
      <w:r w:rsidRPr="00E8358C">
        <w:t>u</w:t>
      </w:r>
      <w:r w:rsidRPr="00E8358C">
        <w:t xml:space="preserve">re du peuple haïtien. </w:t>
      </w:r>
    </w:p>
    <w:p w:rsidR="004C50DC" w:rsidRDefault="004C50DC" w:rsidP="004C50DC">
      <w:pPr>
        <w:spacing w:before="120" w:after="120"/>
        <w:jc w:val="both"/>
      </w:pPr>
      <w:r w:rsidRPr="00E8358C">
        <w:t>Tous les 18 mai, le drapeau est commémoré partout en Haïti. D</w:t>
      </w:r>
      <w:r w:rsidRPr="00E8358C">
        <w:t>e</w:t>
      </w:r>
      <w:r w:rsidRPr="00E8358C">
        <w:t>puis quelques années, les communautés haïtiennes d’Amérique du Nord et d’Europe commémorent aussi cette date. De festivals en jou</w:t>
      </w:r>
      <w:r w:rsidRPr="00E8358C">
        <w:t>r</w:t>
      </w:r>
      <w:r w:rsidRPr="00E8358C">
        <w:t>nées de réflexion, le 18 mai devient désormais une occasion pour ces immigrants d’affirmer leur identité culturelle. Les autorités étatiques mobilisent toujours de grands moyens à l’Arcahaie où se tient la commémoration officielle et des milliers de participants (fêtards, éc</w:t>
      </w:r>
      <w:r w:rsidRPr="00E8358C">
        <w:t>o</w:t>
      </w:r>
      <w:r w:rsidRPr="00E8358C">
        <w:t>liers, universitaires, membres de la communauté, autorités politiques et municipales, etc.) y prennent part. Aujourd’hui, une ville comme Jérémie se démarque par l’ampleur donnée par ses habitants à la commémoration du 18 mai.</w:t>
      </w:r>
    </w:p>
    <w:p w:rsidR="004C50DC" w:rsidRDefault="004C50DC" w:rsidP="004C50DC">
      <w:pPr>
        <w:spacing w:before="120" w:after="120"/>
        <w:jc w:val="both"/>
      </w:pPr>
      <w:r>
        <w:t>[374]</w:t>
      </w:r>
    </w:p>
    <w:p w:rsidR="004C50DC" w:rsidRPr="00E8358C" w:rsidRDefault="004C50DC" w:rsidP="004C50DC">
      <w:pPr>
        <w:spacing w:before="120" w:after="120"/>
        <w:jc w:val="both"/>
      </w:pPr>
    </w:p>
    <w:p w:rsidR="004C50DC" w:rsidRPr="00E8358C" w:rsidRDefault="009B614B" w:rsidP="004C50DC">
      <w:pPr>
        <w:pStyle w:val="fig"/>
      </w:pPr>
      <w:r w:rsidRPr="00E8358C">
        <w:rPr>
          <w:noProof/>
          <w:lang w:eastAsia="fr-FR"/>
        </w:rPr>
        <w:drawing>
          <wp:inline distT="0" distB="0" distL="0" distR="0">
            <wp:extent cx="3335020" cy="1979295"/>
            <wp:effectExtent l="25400" t="25400" r="17780" b="14605"/>
            <wp:docPr id="56" name="Image 30" descr="drapeau_hai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descr="drapeau_haiti"/>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35020" cy="1979295"/>
                    </a:xfrm>
                    <a:prstGeom prst="rect">
                      <a:avLst/>
                    </a:prstGeom>
                    <a:noFill/>
                    <a:ln w="19050" cmpd="sng">
                      <a:solidFill>
                        <a:srgbClr val="000000"/>
                      </a:solidFill>
                      <a:miter lim="800000"/>
                      <a:headEnd/>
                      <a:tailEnd/>
                    </a:ln>
                    <a:effectLst/>
                  </pic:spPr>
                </pic:pic>
              </a:graphicData>
            </a:graphic>
          </wp:inline>
        </w:drawing>
      </w:r>
    </w:p>
    <w:p w:rsidR="004C50DC" w:rsidRPr="00E8358C" w:rsidRDefault="004C50DC" w:rsidP="004C50DC">
      <w:pPr>
        <w:pStyle w:val="figst"/>
        <w:rPr>
          <w:szCs w:val="18"/>
        </w:rPr>
      </w:pPr>
      <w:bookmarkStart w:id="515" w:name="_Toc417146090"/>
      <w:bookmarkStart w:id="516" w:name="Memoire_fig_48"/>
      <w:r w:rsidRPr="004600DF">
        <w:t xml:space="preserve">Figure </w:t>
      </w:r>
      <w:r w:rsidRPr="004600DF">
        <w:fldChar w:fldCharType="begin"/>
      </w:r>
      <w:r w:rsidR="00EF1554">
        <w:instrText>SEQ</w:instrText>
      </w:r>
      <w:r w:rsidRPr="004600DF">
        <w:instrText xml:space="preserve"> Figure \* ARABIC </w:instrText>
      </w:r>
      <w:r w:rsidRPr="004600DF">
        <w:fldChar w:fldCharType="separate"/>
      </w:r>
      <w:r>
        <w:rPr>
          <w:noProof/>
        </w:rPr>
        <w:t>48</w:t>
      </w:r>
      <w:r w:rsidRPr="004600DF">
        <w:fldChar w:fldCharType="end"/>
      </w:r>
      <w:r w:rsidRPr="004600DF">
        <w:t>. Le drapeau haïtien</w:t>
      </w:r>
      <w:bookmarkEnd w:id="515"/>
      <w:r>
        <w:t>.</w:t>
      </w:r>
      <w:r>
        <w:br/>
      </w:r>
      <w:r w:rsidRPr="00E8358C">
        <w:rPr>
          <w:szCs w:val="18"/>
        </w:rPr>
        <w:t>Source : http://www.potomitan.info/ayiti/drapeau_octavien.php</w:t>
      </w:r>
    </w:p>
    <w:p w:rsidR="004C50DC" w:rsidRDefault="004C50DC" w:rsidP="004C50DC">
      <w:pPr>
        <w:spacing w:before="120" w:after="120"/>
        <w:jc w:val="both"/>
      </w:pPr>
      <w:bookmarkStart w:id="517" w:name="_Toc406489747"/>
      <w:bookmarkEnd w:id="516"/>
    </w:p>
    <w:p w:rsidR="004C50DC" w:rsidRDefault="004C50DC" w:rsidP="004C50DC">
      <w:pPr>
        <w:spacing w:before="120" w:after="120"/>
        <w:jc w:val="both"/>
      </w:pPr>
      <w:r w:rsidRPr="00E8358C">
        <w:t>Dans le contexte haïtien, les commémorations autour de la mémo</w:t>
      </w:r>
      <w:r w:rsidRPr="00E8358C">
        <w:t>i</w:t>
      </w:r>
      <w:r w:rsidRPr="00E8358C">
        <w:t>re de l’esclavage sont autant de « moyens de produire du consensus qu’un facteur de conflits »</w:t>
      </w:r>
      <w:r>
        <w:t> </w:t>
      </w:r>
      <w:r w:rsidRPr="00E8358C">
        <w:rPr>
          <w:rStyle w:val="Appelnotedebasdep"/>
        </w:rPr>
        <w:footnoteReference w:id="957"/>
      </w:r>
      <w:r w:rsidRPr="00E8358C">
        <w:t>. Certes, elles sont centrées sur les proue</w:t>
      </w:r>
      <w:r w:rsidRPr="00E8358C">
        <w:t>s</w:t>
      </w:r>
      <w:r w:rsidRPr="00E8358C">
        <w:t>ses des esclaves et des héros de l’indépendance, mais les te</w:t>
      </w:r>
      <w:r w:rsidRPr="00E8358C">
        <w:t>n</w:t>
      </w:r>
      <w:r w:rsidRPr="00E8358C">
        <w:t>sions font surface quand il faut interroger le présent par rapport à ce passé. Par exemple, Kerline, 27 ans, étudiante en sociologie à l’Université d’État d’Haïti, participant à activités commémoratives du 18 mai</w:t>
      </w:r>
      <w:r>
        <w:t> </w:t>
      </w:r>
      <w:r w:rsidRPr="00E8358C">
        <w:rPr>
          <w:rStyle w:val="Appelnotedebasdep"/>
        </w:rPr>
        <w:footnoteReference w:id="958"/>
      </w:r>
      <w:r w:rsidRPr="00E8358C">
        <w:t xml:space="preserve"> 2013</w:t>
      </w:r>
      <w:r>
        <w:t xml:space="preserve"> </w:t>
      </w:r>
      <w:r w:rsidRPr="00E8358C">
        <w:t>à la ville de l’Arcahaie, nous confie:</w:t>
      </w:r>
    </w:p>
    <w:p w:rsidR="004C50DC" w:rsidRPr="00E8358C" w:rsidRDefault="004C50DC" w:rsidP="004C50DC">
      <w:pPr>
        <w:spacing w:before="120" w:after="120"/>
        <w:jc w:val="both"/>
      </w:pPr>
    </w:p>
    <w:p w:rsidR="004C50DC" w:rsidRPr="00E8358C" w:rsidRDefault="004C50DC" w:rsidP="004C50DC">
      <w:pPr>
        <w:pStyle w:val="Citation0i"/>
      </w:pPr>
      <w:r w:rsidRPr="00E8358C">
        <w:t>Sa y ap fè Arcahaie a la t ap gen plis enpotans si chèf nou yo pran ko</w:t>
      </w:r>
      <w:r w:rsidRPr="00E8358C">
        <w:t>n</w:t>
      </w:r>
      <w:r w:rsidRPr="00E8358C">
        <w:t>syans de travay sa ero nou yo te reyalize a. Se yon lye viktwa lavi sou lanmò, lajwa sou lapenn. Lye kote nou te afime n tankou moun tout bon. Se lye ki valorize n. Jodia nou wè chèf yo se zafè pa yo y ap regle, zafè p</w:t>
      </w:r>
      <w:r w:rsidRPr="00E8358C">
        <w:t>o</w:t>
      </w:r>
      <w:r w:rsidRPr="00E8358C">
        <w:t>litik yo alòske Arcahaie se pou tout Ayisyen san disten</w:t>
      </w:r>
      <w:r w:rsidRPr="00E8358C">
        <w:t>k</w:t>
      </w:r>
      <w:r w:rsidRPr="00E8358C">
        <w:t xml:space="preserve">syon. Diskou yo ban nou la nou konen l deja. Se pou fè n domi. Se chak lè jou sa rive yo sonje gen Arcahaie ak moun k ap viv ladan l. </w:t>
      </w:r>
    </w:p>
    <w:p w:rsidR="004C50DC" w:rsidRPr="00E8358C" w:rsidRDefault="004C50DC" w:rsidP="004C50DC">
      <w:pPr>
        <w:pStyle w:val="Citation0"/>
      </w:pPr>
      <w:r w:rsidRPr="00E8358C">
        <w:t>[Cette commémoration aura plus d’importance si les dirigeants du pays ont conscience de la portée symbolique des batailles menées par les escl</w:t>
      </w:r>
      <w:r w:rsidRPr="00E8358C">
        <w:t>a</w:t>
      </w:r>
      <w:r w:rsidRPr="00E8358C">
        <w:t>ves et les pères fondateurs de la République. Arcahaie est un lieu de m</w:t>
      </w:r>
      <w:r w:rsidRPr="00E8358C">
        <w:t>é</w:t>
      </w:r>
      <w:r w:rsidRPr="00E8358C">
        <w:t>moire hautement significatif. C’est un lieu de victoire de la vie sur la mort, de la joie sur la souffrance. C’est aussi un lieu qui valorise le peuple ha</w:t>
      </w:r>
      <w:r w:rsidRPr="00E8358C">
        <w:t>ï</w:t>
      </w:r>
      <w:r w:rsidRPr="00E8358C">
        <w:t>tien en tant que peuple libre et indépendant. Aujourd’hui, les autorités pr</w:t>
      </w:r>
      <w:r w:rsidRPr="00E8358C">
        <w:t>é</w:t>
      </w:r>
      <w:r w:rsidRPr="00E8358C">
        <w:t>sentes à cet événement commémoratif viennent défendre leurs intérêts p</w:t>
      </w:r>
      <w:r w:rsidRPr="00E8358C">
        <w:t>o</w:t>
      </w:r>
      <w:r w:rsidRPr="00E8358C">
        <w:t>litiques au détriment des intérêts nationaux que ce lieu symbolise. Nous sommes habitués à ce type de discours qu’elles prononcent. Elles veulent nous endormir. Elles pensent à l’Arcahaie et aux habitants de cette co</w:t>
      </w:r>
      <w:r w:rsidRPr="00E8358C">
        <w:t>m</w:t>
      </w:r>
      <w:r w:rsidRPr="00E8358C">
        <w:t>munauté seulement en ce jour.]</w:t>
      </w:r>
    </w:p>
    <w:p w:rsidR="004C50DC" w:rsidRPr="00E8358C" w:rsidRDefault="004C50DC" w:rsidP="004C50DC">
      <w:pPr>
        <w:pStyle w:val="Citation0c"/>
      </w:pPr>
      <w:r w:rsidRPr="00E8358C">
        <w:t>(Kerline, entrevue, l’Arcahaie, 18 mai 2013)</w:t>
      </w:r>
    </w:p>
    <w:p w:rsidR="004C50DC" w:rsidRDefault="004C50DC" w:rsidP="004C50DC">
      <w:pPr>
        <w:pStyle w:val="Citation0"/>
      </w:pPr>
    </w:p>
    <w:p w:rsidR="004C50DC" w:rsidRDefault="004C50DC" w:rsidP="004C50DC">
      <w:pPr>
        <w:spacing w:before="120" w:after="120"/>
        <w:jc w:val="both"/>
      </w:pPr>
      <w:r w:rsidRPr="00E8358C">
        <w:t>Le rêve de construire une Nation autour du drapeau bleu et rouge préoccupe encore les</w:t>
      </w:r>
      <w:r>
        <w:t xml:space="preserve"> [375]</w:t>
      </w:r>
      <w:r w:rsidRPr="00E8358C">
        <w:t xml:space="preserve"> Haïtiens. La déclaration de Kerline montre qu’elle s’inquiète de la mauvaise gouvernance et des luttes politiques partisanes qui gangrènent le pays. Le comportement des dirigeants semble ne plus être conforme à l’idéal d’un État indépendant et pro</w:t>
      </w:r>
      <w:r w:rsidRPr="00E8358C">
        <w:t>s</w:t>
      </w:r>
      <w:r w:rsidRPr="00E8358C">
        <w:t>père défini par les pères de la Nation. L’intérêt d’une Haïti commune que symbolise le drapeau est relégué au second plan. Aujourd’hui, chacune des parties cherchent à tirer les marrons du feu, prêtes à sacr</w:t>
      </w:r>
      <w:r w:rsidRPr="00E8358C">
        <w:t>i</w:t>
      </w:r>
      <w:r w:rsidRPr="00E8358C">
        <w:t>fier une partie de la souveraineté nationa</w:t>
      </w:r>
      <w:r>
        <w:t>le pour conserver leur po</w:t>
      </w:r>
      <w:r>
        <w:t>u</w:t>
      </w:r>
      <w:r>
        <w:t>voir.</w:t>
      </w:r>
    </w:p>
    <w:p w:rsidR="004C50DC" w:rsidRPr="00E8358C" w:rsidRDefault="004C50DC" w:rsidP="004C50DC">
      <w:pPr>
        <w:spacing w:before="120" w:after="120"/>
        <w:jc w:val="both"/>
      </w:pPr>
    </w:p>
    <w:p w:rsidR="004C50DC" w:rsidRPr="00093EBB" w:rsidRDefault="004C50DC" w:rsidP="004C50DC">
      <w:pPr>
        <w:pStyle w:val="b"/>
      </w:pPr>
      <w:bookmarkStart w:id="518" w:name="_Toc442280564"/>
      <w:r w:rsidRPr="00093EBB">
        <w:t>La bataille de Vertières</w:t>
      </w:r>
      <w:bookmarkEnd w:id="517"/>
      <w:bookmarkEnd w:id="518"/>
    </w:p>
    <w:p w:rsidR="004C50DC" w:rsidRDefault="004C50DC" w:rsidP="004C50DC">
      <w:pPr>
        <w:spacing w:before="120" w:after="120"/>
        <w:jc w:val="both"/>
      </w:pPr>
    </w:p>
    <w:p w:rsidR="004C50DC" w:rsidRPr="00E8358C" w:rsidRDefault="004C50DC" w:rsidP="004C50DC">
      <w:pPr>
        <w:spacing w:before="120" w:after="120"/>
        <w:jc w:val="both"/>
      </w:pPr>
      <w:r w:rsidRPr="00E8358C">
        <w:t>La bataille de Vertières (18 novembre 1803) est perçue comme la consécration des luttes pour la libération. Élisabeth Landi pense que « c’est l’action décisive qui a permis aux blancs de reconnaître que les noirs n’étaient pas des sous-hommes, que les noirs avaient des capac</w:t>
      </w:r>
      <w:r w:rsidRPr="00E8358C">
        <w:t>i</w:t>
      </w:r>
      <w:r w:rsidRPr="00E8358C">
        <w:t>tés organisationnelles »</w:t>
      </w:r>
      <w:r>
        <w:t> </w:t>
      </w:r>
      <w:r>
        <w:rPr>
          <w:rStyle w:val="Appelnotedebasdep"/>
        </w:rPr>
        <w:footnoteReference w:id="959"/>
      </w:r>
      <w:r w:rsidRPr="00E8358C">
        <w:t>. Pierre Le Glaunec, de son côté, soutient que Vertières est un « moment-lieu fondateur de la nation haïtie</w:t>
      </w:r>
      <w:r w:rsidRPr="00E8358C">
        <w:t>n</w:t>
      </w:r>
      <w:r w:rsidRPr="00E8358C">
        <w:t>ne »</w:t>
      </w:r>
      <w:r>
        <w:t> </w:t>
      </w:r>
      <w:r>
        <w:rPr>
          <w:rStyle w:val="Appelnotedebasdep"/>
        </w:rPr>
        <w:footnoteReference w:id="960"/>
      </w:r>
      <w:r w:rsidRPr="00E8358C">
        <w:t xml:space="preserve"> de par son importance dans la Révolution d’Indépendance d’Haïti et son symbolisme en tant que lieu de mémoire officiellement adopté à partir des années 1950 avec d’abord l’arrivée au pouvoir de Paul-Eugène Magloire (1950-1956), et ensuite l’accession à la magistrature supr</w:t>
      </w:r>
      <w:r w:rsidRPr="00E8358C">
        <w:t>ê</w:t>
      </w:r>
      <w:r w:rsidRPr="00E8358C">
        <w:t>me de François Duvalier (1957-1971) qui lie Vertières à Haïti de m</w:t>
      </w:r>
      <w:r w:rsidRPr="00E8358C">
        <w:t>a</w:t>
      </w:r>
      <w:r w:rsidRPr="00E8358C">
        <w:t>nière indissociable. Vertières symbolise aussi le jour du triomphe du droit à la vie et de l’afrodescendance ; le triomphe de la dignité h</w:t>
      </w:r>
      <w:r w:rsidRPr="00E8358C">
        <w:t>u</w:t>
      </w:r>
      <w:r w:rsidRPr="00E8358C">
        <w:t>maine et du droit de tous à être libres, Noirset Mulâtres</w:t>
      </w:r>
      <w:r>
        <w:t> </w:t>
      </w:r>
      <w:r>
        <w:rPr>
          <w:rStyle w:val="Appelnotedebasdep"/>
        </w:rPr>
        <w:footnoteReference w:id="961"/>
      </w:r>
      <w:r w:rsidRPr="00E8358C">
        <w:t>.</w:t>
      </w:r>
    </w:p>
    <w:p w:rsidR="004C50DC" w:rsidRPr="00E8358C" w:rsidRDefault="004C50DC" w:rsidP="004C50DC">
      <w:pPr>
        <w:spacing w:before="120" w:after="120"/>
        <w:jc w:val="both"/>
      </w:pPr>
      <w:r w:rsidRPr="00E8358C">
        <w:t>Cette bataille annonce la victoire de l’armée indigène sur les tro</w:t>
      </w:r>
      <w:r w:rsidRPr="00E8358C">
        <w:t>u</w:t>
      </w:r>
      <w:r w:rsidRPr="00E8358C">
        <w:t>pes napoléoniennes dans leurs missions de rétablissement de l’esclavage dans toutes les colonies françaises. La voix de Dessalines scandant « La liberté ou la mort » fortifiait les insurgés. Vertières pr</w:t>
      </w:r>
      <w:r w:rsidRPr="00E8358C">
        <w:t>é</w:t>
      </w:r>
      <w:r w:rsidRPr="00E8358C">
        <w:t>destine l’indépendance et la fondation officielle de la première Rép</w:t>
      </w:r>
      <w:r w:rsidRPr="00E8358C">
        <w:t>u</w:t>
      </w:r>
      <w:r w:rsidRPr="00E8358C">
        <w:t>blique noire le 1</w:t>
      </w:r>
      <w:r w:rsidRPr="00E8358C">
        <w:rPr>
          <w:vertAlign w:val="superscript"/>
        </w:rPr>
        <w:t>er</w:t>
      </w:r>
      <w:r w:rsidRPr="00E8358C">
        <w:t xml:space="preserve"> janvier 1804. Analysant toutes les prouesses des esclaves combattants et celle du 18 novembre 1803, Aimé Césaire a écrit : « […] Haïti où la négritude se mit debout pour la première </w:t>
      </w:r>
      <w:r>
        <w:t xml:space="preserve">[376] </w:t>
      </w:r>
      <w:r w:rsidRPr="00E8358C">
        <w:t>fois et dit qu’elle croyait à son humanité […] »</w:t>
      </w:r>
      <w:r>
        <w:t> </w:t>
      </w:r>
      <w:r>
        <w:rPr>
          <w:rStyle w:val="Appelnotedebasdep"/>
        </w:rPr>
        <w:footnoteReference w:id="962"/>
      </w:r>
      <w:r w:rsidRPr="00E8358C">
        <w:t>. Aujourd’hui, plusieurs peuples à travers le monde sont reconnaissants de la contr</w:t>
      </w:r>
      <w:r w:rsidRPr="00E8358C">
        <w:t>i</w:t>
      </w:r>
      <w:r w:rsidRPr="00E8358C">
        <w:t xml:space="preserve">bution d’Haïti à leur libération. </w:t>
      </w:r>
    </w:p>
    <w:p w:rsidR="004C50DC" w:rsidRDefault="004C50DC" w:rsidP="004C50DC">
      <w:pPr>
        <w:spacing w:before="120" w:after="120"/>
        <w:jc w:val="both"/>
      </w:pPr>
      <w:r w:rsidRPr="00E8358C">
        <w:t>Jean-Pierre Le Glaunec nous présente la bataille de Vertières comme un objet de culte national en Haïti, au</w:t>
      </w:r>
      <w:r>
        <w:t xml:space="preserve"> terme de cinq grandes étapes :</w:t>
      </w:r>
    </w:p>
    <w:p w:rsidR="004C50DC" w:rsidRPr="00E8358C" w:rsidRDefault="004C50DC" w:rsidP="004C50DC">
      <w:pPr>
        <w:spacing w:before="120" w:after="120"/>
        <w:jc w:val="both"/>
      </w:pPr>
    </w:p>
    <w:p w:rsidR="004C50DC" w:rsidRPr="00E8358C" w:rsidRDefault="004C50DC" w:rsidP="004C50DC">
      <w:pPr>
        <w:spacing w:before="120" w:after="120"/>
        <w:ind w:left="720" w:hanging="360"/>
        <w:jc w:val="both"/>
      </w:pPr>
      <w:r>
        <w:t>-</w:t>
      </w:r>
      <w:r>
        <w:tab/>
      </w:r>
      <w:r w:rsidRPr="00E8358C">
        <w:t>un temps d’oubli ou de non-reconnaissance au XIX</w:t>
      </w:r>
      <w:r w:rsidRPr="00E8358C">
        <w:rPr>
          <w:vertAlign w:val="superscript"/>
        </w:rPr>
        <w:t>e</w:t>
      </w:r>
      <w:r w:rsidRPr="00E8358C">
        <w:t xml:space="preserve"> siècle, car les combattants de Vertières ne sont pas encore considérés comme des héros, et la date du 18 novembre est loin d’être i</w:t>
      </w:r>
      <w:r w:rsidRPr="00E8358C">
        <w:t>m</w:t>
      </w:r>
      <w:r w:rsidRPr="00E8358C">
        <w:t xml:space="preserve">portante dans la construction du </w:t>
      </w:r>
      <w:r w:rsidRPr="00E8358C">
        <w:rPr>
          <w:i/>
        </w:rPr>
        <w:t>nationalisme héroïque</w:t>
      </w:r>
      <w:r w:rsidRPr="00E8358C">
        <w:t xml:space="preserve"> ha</w:t>
      </w:r>
      <w:r w:rsidRPr="00E8358C">
        <w:t>ï</w:t>
      </w:r>
      <w:r w:rsidRPr="00E8358C">
        <w:t>tien</w:t>
      </w:r>
      <w:r>
        <w:t> </w:t>
      </w:r>
      <w:r w:rsidRPr="00E8358C">
        <w:rPr>
          <w:rStyle w:val="Appelnotedebasdep"/>
        </w:rPr>
        <w:footnoteReference w:id="963"/>
      </w:r>
      <w:r w:rsidRPr="00E8358C">
        <w:t> ;</w:t>
      </w:r>
    </w:p>
    <w:p w:rsidR="004C50DC" w:rsidRPr="00E8358C" w:rsidRDefault="004C50DC" w:rsidP="004C50DC">
      <w:pPr>
        <w:spacing w:before="120" w:after="120"/>
        <w:ind w:left="720" w:hanging="360"/>
        <w:jc w:val="both"/>
      </w:pPr>
      <w:r>
        <w:t>-</w:t>
      </w:r>
      <w:r>
        <w:tab/>
      </w:r>
      <w:r w:rsidRPr="00E8358C">
        <w:t>l’époque de la volonté des intellectuels et de l’élite haïtienne de renouer avec la gloire du passé, durant la dernière décennie du XIX</w:t>
      </w:r>
      <w:r w:rsidRPr="00E8358C">
        <w:rPr>
          <w:vertAlign w:val="superscript"/>
        </w:rPr>
        <w:t>e</w:t>
      </w:r>
      <w:r w:rsidRPr="00E8358C">
        <w:t xml:space="preserve"> siècle. « Cette volonté part d’un constat apparemment la</w:t>
      </w:r>
      <w:r w:rsidRPr="00E8358C">
        <w:t>r</w:t>
      </w:r>
      <w:r w:rsidRPr="00E8358C">
        <w:t>gement partagé : l’invisibilité des grands moments de l’histoire haïtienne dans la culture du pays »</w:t>
      </w:r>
      <w:r>
        <w:t> </w:t>
      </w:r>
      <w:r w:rsidRPr="00E8358C">
        <w:rPr>
          <w:rStyle w:val="Appelnotedebasdep"/>
        </w:rPr>
        <w:footnoteReference w:id="964"/>
      </w:r>
      <w:r w:rsidRPr="00E8358C">
        <w:t> ;</w:t>
      </w:r>
    </w:p>
    <w:p w:rsidR="004C50DC" w:rsidRPr="00E8358C" w:rsidRDefault="004C50DC" w:rsidP="004C50DC">
      <w:pPr>
        <w:spacing w:before="120" w:after="120"/>
        <w:ind w:left="720" w:hanging="360"/>
        <w:jc w:val="both"/>
        <w:rPr>
          <w:bdr w:val="none" w:sz="0" w:space="0" w:color="auto" w:frame="1"/>
        </w:rPr>
      </w:pPr>
      <w:r>
        <w:rPr>
          <w:bdr w:val="none" w:sz="0" w:space="0" w:color="auto" w:frame="1"/>
        </w:rPr>
        <w:t>-</w:t>
      </w:r>
      <w:r>
        <w:rPr>
          <w:bdr w:val="none" w:sz="0" w:space="0" w:color="auto" w:frame="1"/>
        </w:rPr>
        <w:tab/>
      </w:r>
      <w:r w:rsidRPr="00E8358C">
        <w:rPr>
          <w:bdr w:val="none" w:sz="0" w:space="0" w:color="auto" w:frame="1"/>
        </w:rPr>
        <w:t>l’époque d’une refonte du nationalisme haïtien au cours des a</w:t>
      </w:r>
      <w:r w:rsidRPr="00E8358C">
        <w:rPr>
          <w:bdr w:val="none" w:sz="0" w:space="0" w:color="auto" w:frame="1"/>
        </w:rPr>
        <w:t>n</w:t>
      </w:r>
      <w:r w:rsidRPr="00E8358C">
        <w:rPr>
          <w:bdr w:val="none" w:sz="0" w:space="0" w:color="auto" w:frame="1"/>
        </w:rPr>
        <w:t>nées de l’occupation américaine (1915-1934) et de la seconde indépendance du pays (1934-1950). À ce moment, la bataille de Vertières s’est imposée comme le symbole de la victoire des droits de la personne, de la citoyenneté (bafouée par l’occupation américaine) et de la liberté en Haïti. Certains ont cru que la Nation étaitc ondamnée à croupir dans ses diff</w:t>
      </w:r>
      <w:r w:rsidRPr="00E8358C">
        <w:rPr>
          <w:bdr w:val="none" w:sz="0" w:space="0" w:color="auto" w:frame="1"/>
        </w:rPr>
        <w:t>i</w:t>
      </w:r>
      <w:r w:rsidRPr="00E8358C">
        <w:rPr>
          <w:bdr w:val="none" w:sz="0" w:space="0" w:color="auto" w:frame="1"/>
        </w:rPr>
        <w:t>cultés</w:t>
      </w:r>
      <w:r>
        <w:rPr>
          <w:bdr w:val="none" w:sz="0" w:space="0" w:color="auto" w:frame="1"/>
        </w:rPr>
        <w:t> </w:t>
      </w:r>
      <w:r>
        <w:rPr>
          <w:rStyle w:val="Appelnotedebasdep"/>
          <w:bdr w:val="none" w:sz="0" w:space="0" w:color="auto" w:frame="1"/>
        </w:rPr>
        <w:footnoteReference w:id="965"/>
      </w:r>
      <w:r w:rsidRPr="00E8358C">
        <w:rPr>
          <w:bdr w:val="none" w:sz="0" w:space="0" w:color="auto" w:frame="1"/>
        </w:rPr>
        <w:t>, mais le passé est un guide : il suffit de le suivre</w:t>
      </w:r>
      <w:r>
        <w:rPr>
          <w:bdr w:val="none" w:sz="0" w:space="0" w:color="auto" w:frame="1"/>
        </w:rPr>
        <w:t> </w:t>
      </w:r>
      <w:r w:rsidRPr="00E8358C">
        <w:rPr>
          <w:rStyle w:val="Appelnotedebasdep"/>
          <w:bdr w:val="none" w:sz="0" w:space="0" w:color="auto" w:frame="1"/>
        </w:rPr>
        <w:footnoteReference w:id="966"/>
      </w:r>
      <w:r w:rsidRPr="00E8358C">
        <w:rPr>
          <w:bdr w:val="none" w:sz="0" w:space="0" w:color="auto" w:frame="1"/>
        </w:rPr>
        <w:t> ;</w:t>
      </w:r>
    </w:p>
    <w:p w:rsidR="004C50DC" w:rsidRPr="00E8358C" w:rsidRDefault="004C50DC" w:rsidP="004C50DC">
      <w:pPr>
        <w:spacing w:before="120" w:after="120"/>
        <w:ind w:left="720" w:hanging="360"/>
        <w:jc w:val="both"/>
        <w:rPr>
          <w:bdr w:val="none" w:sz="0" w:space="0" w:color="auto" w:frame="1"/>
        </w:rPr>
      </w:pPr>
      <w:r>
        <w:rPr>
          <w:bdr w:val="none" w:sz="0" w:space="0" w:color="auto" w:frame="1"/>
        </w:rPr>
        <w:t>-</w:t>
      </w:r>
      <w:r>
        <w:rPr>
          <w:bdr w:val="none" w:sz="0" w:space="0" w:color="auto" w:frame="1"/>
        </w:rPr>
        <w:tab/>
      </w:r>
      <w:r w:rsidRPr="00E8358C">
        <w:rPr>
          <w:bdr w:val="none" w:sz="0" w:space="0" w:color="auto" w:frame="1"/>
        </w:rPr>
        <w:t>le temps de la matérialisation de l’héroïsme haïtien, lors du r</w:t>
      </w:r>
      <w:r w:rsidRPr="00E8358C">
        <w:rPr>
          <w:bdr w:val="none" w:sz="0" w:space="0" w:color="auto" w:frame="1"/>
        </w:rPr>
        <w:t>è</w:t>
      </w:r>
      <w:r w:rsidRPr="00E8358C">
        <w:rPr>
          <w:bdr w:val="none" w:sz="0" w:space="0" w:color="auto" w:frame="1"/>
        </w:rPr>
        <w:t>gne de Magloire (1950-1956) ; la bataille de Vertières acquiert véritablement le statut de mythe fondateur dans l’histoire d’Haïti avec son cortège de héros. C’est un véritable culte qui s’exprime à la faveur des célébrations du 150</w:t>
      </w:r>
      <w:r w:rsidRPr="00E8358C">
        <w:rPr>
          <w:bdr w:val="none" w:sz="0" w:space="0" w:color="auto" w:frame="1"/>
          <w:vertAlign w:val="superscript"/>
        </w:rPr>
        <w:t>e</w:t>
      </w:r>
      <w:r w:rsidRPr="00E8358C">
        <w:rPr>
          <w:bdr w:val="none" w:sz="0" w:space="0" w:color="auto" w:frame="1"/>
        </w:rPr>
        <w:t xml:space="preserve"> anniversaire de la bataille</w:t>
      </w:r>
      <w:r>
        <w:rPr>
          <w:bdr w:val="none" w:sz="0" w:space="0" w:color="auto" w:frame="1"/>
        </w:rPr>
        <w:t> </w:t>
      </w:r>
      <w:r w:rsidRPr="00E8358C">
        <w:rPr>
          <w:rStyle w:val="Appelnotedebasdep"/>
          <w:bdr w:val="none" w:sz="0" w:space="0" w:color="auto" w:frame="1"/>
        </w:rPr>
        <w:footnoteReference w:id="967"/>
      </w:r>
      <w:r w:rsidRPr="00E8358C">
        <w:rPr>
          <w:bdr w:val="none" w:sz="0" w:space="0" w:color="auto" w:frame="1"/>
        </w:rPr>
        <w:t>. Édouard Peloux a rapporté une scène de la recon</w:t>
      </w:r>
      <w:r w:rsidRPr="00E8358C">
        <w:rPr>
          <w:bdr w:val="none" w:sz="0" w:space="0" w:color="auto" w:frame="1"/>
        </w:rPr>
        <w:t>s</w:t>
      </w:r>
      <w:r w:rsidRPr="00E8358C">
        <w:rPr>
          <w:bdr w:val="none" w:sz="0" w:space="0" w:color="auto" w:frame="1"/>
        </w:rPr>
        <w:t>titution de la bataille de Vertières le 2 janvier 1954 au Cap-Haïtien</w:t>
      </w:r>
      <w:r>
        <w:rPr>
          <w:bdr w:val="none" w:sz="0" w:space="0" w:color="auto" w:frame="1"/>
        </w:rPr>
        <w:t> </w:t>
      </w:r>
      <w:r w:rsidRPr="00E8358C">
        <w:rPr>
          <w:rStyle w:val="Appelnotedebasdep"/>
          <w:bdr w:val="none" w:sz="0" w:space="0" w:color="auto" w:frame="1"/>
        </w:rPr>
        <w:footnoteReference w:id="968"/>
      </w:r>
      <w:r w:rsidRPr="00E8358C">
        <w:rPr>
          <w:bdr w:val="none" w:sz="0" w:space="0" w:color="auto" w:frame="1"/>
        </w:rPr>
        <w:t> ;</w:t>
      </w:r>
    </w:p>
    <w:p w:rsidR="004C50DC" w:rsidRPr="00E8358C" w:rsidRDefault="004C50DC" w:rsidP="004C50DC">
      <w:pPr>
        <w:spacing w:before="120" w:after="120"/>
        <w:ind w:left="720" w:hanging="360"/>
        <w:jc w:val="both"/>
      </w:pPr>
      <w:r>
        <w:rPr>
          <w:bdr w:val="none" w:sz="0" w:space="0" w:color="auto" w:frame="1"/>
        </w:rPr>
        <w:t>-</w:t>
      </w:r>
      <w:r>
        <w:rPr>
          <w:bdr w:val="none" w:sz="0" w:space="0" w:color="auto" w:frame="1"/>
        </w:rPr>
        <w:tab/>
      </w:r>
      <w:r w:rsidRPr="00E8358C">
        <w:rPr>
          <w:bdr w:val="none" w:sz="0" w:space="0" w:color="auto" w:frame="1"/>
        </w:rPr>
        <w:t xml:space="preserve">le moment du changement de statut dans la mémoire officielle : en 1957, la bataille de Vertières, de lieu de mémoire, devient lieu de pouvoir. C’est la période d’accession au pouvoir de François Duvalier. L’instrumentalisation de la bataille s’est cristallisée dans le </w:t>
      </w:r>
      <w:r w:rsidRPr="00E8358C">
        <w:rPr>
          <w:i/>
          <w:bdr w:val="none" w:sz="0" w:space="0" w:color="auto" w:frame="1"/>
        </w:rPr>
        <w:t xml:space="preserve">Serment au </w:t>
      </w:r>
      <w:r w:rsidRPr="00E8358C">
        <w:rPr>
          <w:i/>
        </w:rPr>
        <w:t>drapeau</w:t>
      </w:r>
      <w:r>
        <w:t> </w:t>
      </w:r>
      <w:r w:rsidRPr="000A7C76">
        <w:rPr>
          <w:rStyle w:val="Appelnotedebasdep"/>
        </w:rPr>
        <w:footnoteReference w:id="969"/>
      </w:r>
      <w:r w:rsidRPr="00E8358C">
        <w:t>, récité quotidienn</w:t>
      </w:r>
      <w:r w:rsidRPr="00E8358C">
        <w:t>e</w:t>
      </w:r>
      <w:r w:rsidRPr="00E8358C">
        <w:t>ment par tous les écoliers haïtiens à partir de 1964, après la c</w:t>
      </w:r>
      <w:r w:rsidRPr="00E8358C">
        <w:t>é</w:t>
      </w:r>
      <w:r w:rsidRPr="00E8358C">
        <w:t>rémonie de l’envoi des couleurs qui se</w:t>
      </w:r>
      <w:r>
        <w:t xml:space="preserve"> [377]</w:t>
      </w:r>
      <w:r w:rsidRPr="00E8358C">
        <w:t xml:space="preserve"> déroule régulièr</w:t>
      </w:r>
      <w:r w:rsidRPr="00E8358C">
        <w:t>e</w:t>
      </w:r>
      <w:r w:rsidRPr="00E8358C">
        <w:t>ment à 8 heures du matin</w:t>
      </w:r>
      <w:r>
        <w:t> </w:t>
      </w:r>
      <w:r w:rsidRPr="00E8358C">
        <w:rPr>
          <w:rStyle w:val="Appelnotedebasdep"/>
        </w:rPr>
        <w:footnoteReference w:id="970"/>
      </w:r>
      <w:r w:rsidRPr="00E8358C">
        <w:t xml:space="preserve">. </w:t>
      </w:r>
    </w:p>
    <w:p w:rsidR="004C50DC" w:rsidRDefault="004C50DC" w:rsidP="004C50DC">
      <w:pPr>
        <w:spacing w:before="120" w:after="120"/>
        <w:jc w:val="both"/>
      </w:pPr>
    </w:p>
    <w:p w:rsidR="004C50DC" w:rsidRPr="00E8358C" w:rsidRDefault="004C50DC" w:rsidP="004C50DC">
      <w:pPr>
        <w:spacing w:before="120" w:after="120"/>
        <w:jc w:val="both"/>
      </w:pPr>
      <w:r w:rsidRPr="00E8358C">
        <w:t>François Duvalier a récupéré l’événement pour rallier les Haïtiens à son idéologie politique et montrer aussi sa détermination à poursu</w:t>
      </w:r>
      <w:r w:rsidRPr="00E8358C">
        <w:t>i</w:t>
      </w:r>
      <w:r w:rsidRPr="00E8358C">
        <w:t>vre la lutte pour la liberté et la participation des masses paysannes aux prises de décisions au niveau de l’État. En réalité, cette récupération visait surtout à endoctriner les jeunes écoliers. Les masses paysannes en question ne bénéficiaient pas réellement des bienfaits du régime dictatorial. Généralement, les politiciens haïtiens mettent toujours de l’avant le peuple et la défense de la liberté contre l’esclavage pour a</w:t>
      </w:r>
      <w:r w:rsidRPr="00E8358C">
        <w:t>s</w:t>
      </w:r>
      <w:r w:rsidRPr="00E8358C">
        <w:t>seoir leur popularité et assurer leur pouvoir, sachant le prix que les citoyens haïtiens attachent à la liberté.</w:t>
      </w:r>
    </w:p>
    <w:p w:rsidR="004C50DC" w:rsidRDefault="004C50DC" w:rsidP="004C50DC">
      <w:pPr>
        <w:spacing w:before="120" w:after="120"/>
        <w:jc w:val="both"/>
      </w:pPr>
      <w:r w:rsidRPr="00E8358C">
        <w:t>Aujourd’hui, Vertières est un lieu de mémoire qui garde tout son symbolisme pour le peuple haïtien. Il caractérise la longue lutte des esclaves qui caractérise l’image d’un peuple qui doit continuer à lutter pour sa dignité et le respect de ses droits. Vertières s’oppose à toute volonté des élites dirigeantes qui négocient la souveraineté nationale haïtienne au profit de leurs intérêts économiques ou de la conservation de leur position d’élite. Les propos de Johel, 29 ans, habitant de la vi</w:t>
      </w:r>
      <w:r w:rsidRPr="00E8358C">
        <w:t>l</w:t>
      </w:r>
      <w:r w:rsidRPr="00E8358C">
        <w:t>le du Cap-Haïtien, qui participait à la commémoration du 18 nove</w:t>
      </w:r>
      <w:r w:rsidRPr="00E8358C">
        <w:t>m</w:t>
      </w:r>
      <w:r w:rsidRPr="00E8358C">
        <w:t xml:space="preserve">bre 2013, essaient de synthétiser cette réalité mémorielle : </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Kote nou ye la aprann nou ke chimen pou libète ak respè dwa, diy</w:t>
      </w:r>
      <w:r w:rsidRPr="00E8358C">
        <w:t>i</w:t>
      </w:r>
      <w:r w:rsidRPr="00E8358C">
        <w:t>te moun long anpil. Se yon bagay pou w toujou ap lite pou li. Se yon okazyon pou n panse ak tout sa batay Vertières vle di jounen jodia, tankou pou pèp ay</w:t>
      </w:r>
      <w:r w:rsidRPr="00E8358C">
        <w:t>i</w:t>
      </w:r>
      <w:r w:rsidRPr="00E8358C">
        <w:t xml:space="preserve">syen klere je yo pou pa kite yo tounen l nan eskjlavaj, pou l veye tou tout konplo ke dirijan nou yo ak elit yo ap fè pou gade pouvwa yo ak fè lajan yo sou do pèp la, kont peyi a. </w:t>
      </w:r>
    </w:p>
    <w:p w:rsidR="004C50DC" w:rsidRPr="00E8358C" w:rsidRDefault="004C50DC" w:rsidP="004C50DC">
      <w:pPr>
        <w:pStyle w:val="Citation0"/>
      </w:pPr>
      <w:r w:rsidRPr="00E8358C">
        <w:t>[Le site de Vertières nous enseigne que le chemin de la liberté et du re</w:t>
      </w:r>
      <w:r w:rsidRPr="00E8358C">
        <w:t>s</w:t>
      </w:r>
      <w:r w:rsidRPr="00E8358C">
        <w:t>pect des droits et de la dignité de l’Homme est long et épineux. C’est une lutte perpétuelle. Ce jour de commémoration est une occasion pour réfl</w:t>
      </w:r>
      <w:r w:rsidRPr="00E8358C">
        <w:t>é</w:t>
      </w:r>
      <w:r w:rsidRPr="00E8358C">
        <w:t>chir sur le symbolisme de la bataille de Vertières. Le peuple haïtien doit rester attentif pour éviter qu’on le réduise à no</w:t>
      </w:r>
      <w:r w:rsidRPr="00E8358C">
        <w:t>u</w:t>
      </w:r>
      <w:r w:rsidRPr="00E8358C">
        <w:t>veau en esclavage. Il doit être vigilant pour déjouer les complots et les compromis faits par les chefs dirigeants et les élites dans les seuls o</w:t>
      </w:r>
      <w:r w:rsidRPr="00E8358C">
        <w:t>b</w:t>
      </w:r>
      <w:r w:rsidRPr="00E8358C">
        <w:t>jectifs de conserver leur pouvoir politique et de s’enrichir au détriment du peuple et de la nation.]</w:t>
      </w:r>
    </w:p>
    <w:p w:rsidR="004C50DC" w:rsidRPr="00E8358C" w:rsidRDefault="004C50DC" w:rsidP="004C50DC">
      <w:pPr>
        <w:pStyle w:val="Citation0c"/>
      </w:pPr>
      <w:r w:rsidRPr="00E8358C">
        <w:t>(Johel, entrevue, 18 novembre 2013)</w:t>
      </w:r>
    </w:p>
    <w:p w:rsidR="004C50DC" w:rsidRDefault="004C50DC" w:rsidP="004C50DC">
      <w:pPr>
        <w:spacing w:before="120" w:after="120"/>
        <w:jc w:val="both"/>
      </w:pPr>
    </w:p>
    <w:p w:rsidR="004C50DC" w:rsidRPr="00E8358C" w:rsidRDefault="004C50DC" w:rsidP="004C50DC">
      <w:pPr>
        <w:spacing w:before="120" w:after="120"/>
        <w:jc w:val="both"/>
      </w:pPr>
      <w:r w:rsidRPr="00E8358C">
        <w:t>Cette conception est celle de la majorité des Haïtiens. Ils cultivent même inconsciemment une peur de retourner à l’esclavage. D’ailleurs, l’omniprésence des discours officiels et des faits historiques racontés sur Vertières inscrit l’Haïtien dans une mémoire de fierté, de</w:t>
      </w:r>
      <w:r>
        <w:t xml:space="preserve"> [378]</w:t>
      </w:r>
      <w:r w:rsidRPr="00E8358C">
        <w:t xml:space="preserve"> luttes renouvelées et de conscience patrimoniale, comme le rappelle Benita, 32 ans, une habitante de la ville de Limbé participant elle aussi aux activités commémoratives du 18 novembre 2013.</w:t>
      </w:r>
    </w:p>
    <w:p w:rsidR="004C50DC" w:rsidRDefault="004C50DC" w:rsidP="004C50DC">
      <w:pPr>
        <w:pStyle w:val="Citation0i"/>
      </w:pPr>
    </w:p>
    <w:p w:rsidR="004C50DC" w:rsidRPr="00E8358C" w:rsidRDefault="004C50DC" w:rsidP="004C50DC">
      <w:pPr>
        <w:pStyle w:val="Citation0i"/>
      </w:pPr>
      <w:r w:rsidRPr="00E8358C">
        <w:t>Jodia nou fyè ke Vètyè reprezante nan memwa nou : kouraj, detèmin</w:t>
      </w:r>
      <w:r w:rsidRPr="00E8358C">
        <w:t>a</w:t>
      </w:r>
      <w:r w:rsidRPr="00E8358C">
        <w:t>syon, pèseverans. Se yon patrimwan ki fè fyète nou. Men lè m ap gade a</w:t>
      </w:r>
      <w:r w:rsidRPr="00E8358C">
        <w:t>n</w:t>
      </w:r>
      <w:r w:rsidRPr="00E8358C">
        <w:t>viwonman sit la, m ap mande m eske dirijan nou yo ak popilasyon an ko</w:t>
      </w:r>
      <w:r w:rsidRPr="00E8358C">
        <w:t>n</w:t>
      </w:r>
      <w:r w:rsidRPr="00E8358C">
        <w:t>prann sa vrèman lye sa ye. Eske nou pa ta dwe travay pou fè Vertières yon bèl espas kote memwa viktwa 18 novanm 1803 a ka byen chita kòl ?</w:t>
      </w:r>
    </w:p>
    <w:p w:rsidR="004C50DC" w:rsidRPr="00E8358C" w:rsidRDefault="004C50DC" w:rsidP="004C50DC">
      <w:pPr>
        <w:pStyle w:val="Citation0"/>
      </w:pPr>
      <w:r w:rsidRPr="00E8358C">
        <w:t>[Aujourd’hui, nous sommes fiers que Vertières caractérise le co</w:t>
      </w:r>
      <w:r w:rsidRPr="00E8358C">
        <w:t>u</w:t>
      </w:r>
      <w:r w:rsidRPr="00E8358C">
        <w:t>rage, la détermination et la persévérance qui font la fierté du peuple haïtien. C’est un patrimoine de la fierté haïtienne. Cependant, quand on observe l’environnement du site, l’on se doit de se demander si les dirigeants de ce pays et la population ont pris la mesure de cette m</w:t>
      </w:r>
      <w:r w:rsidRPr="00E8358C">
        <w:t>é</w:t>
      </w:r>
      <w:r w:rsidRPr="00E8358C">
        <w:t>moire patrimoniale. Le site ne mérite-t-il pas d’être assaini pour mieux favoriser l’inscription de la mémoire victorieuse du 18 nove</w:t>
      </w:r>
      <w:r w:rsidRPr="00E8358C">
        <w:t>m</w:t>
      </w:r>
      <w:r w:rsidRPr="00E8358C">
        <w:t>bre 1803 ?]</w:t>
      </w:r>
    </w:p>
    <w:p w:rsidR="004C50DC" w:rsidRDefault="004C50DC" w:rsidP="004C50DC">
      <w:pPr>
        <w:pStyle w:val="Citation0c"/>
      </w:pPr>
      <w:r w:rsidRPr="00E8358C">
        <w:t>(Benita, entrevue, 18 novembre 2013)</w:t>
      </w:r>
    </w:p>
    <w:p w:rsidR="004C50DC" w:rsidRPr="00E8358C" w:rsidRDefault="004C50DC" w:rsidP="004C50DC">
      <w:pPr>
        <w:pStyle w:val="Citation0c"/>
      </w:pPr>
    </w:p>
    <w:p w:rsidR="004C50DC" w:rsidRPr="00E8358C" w:rsidRDefault="004C50DC" w:rsidP="004C50DC">
      <w:pPr>
        <w:spacing w:before="120" w:after="120"/>
        <w:jc w:val="both"/>
        <w:rPr>
          <w:bdr w:val="none" w:sz="0" w:space="0" w:color="auto" w:frame="1"/>
        </w:rPr>
      </w:pPr>
      <w:r w:rsidRPr="00E8358C">
        <w:rPr>
          <w:bdr w:val="none" w:sz="0" w:space="0" w:color="auto" w:frame="1"/>
        </w:rPr>
        <w:t xml:space="preserve">Voyant que durant ces deux dernières décennies, les dirigeants ont banalisé Vertières, quelques citoyens haïtiens ont la nostalgie du passé et rêvent de revivre ces moments qui rappellent la gloire, la victoire et l’orgueil haïtien. Ces airs de gloire marqués par les </w:t>
      </w:r>
      <w:r w:rsidRPr="00E8358C">
        <w:rPr>
          <w:i/>
          <w:bdr w:val="none" w:sz="0" w:space="0" w:color="auto" w:frame="1"/>
        </w:rPr>
        <w:t>Te Deum</w:t>
      </w:r>
      <w:r w:rsidRPr="00E8358C">
        <w:rPr>
          <w:bdr w:val="none" w:sz="0" w:space="0" w:color="auto" w:frame="1"/>
        </w:rPr>
        <w:t xml:space="preserve"> et les défilés alimentaient leur sentiment patriotique. C’est dans cette opt</w:t>
      </w:r>
      <w:r w:rsidRPr="00E8358C">
        <w:rPr>
          <w:bdr w:val="none" w:sz="0" w:space="0" w:color="auto" w:frame="1"/>
        </w:rPr>
        <w:t>i</w:t>
      </w:r>
      <w:r w:rsidRPr="00E8358C">
        <w:rPr>
          <w:bdr w:val="none" w:sz="0" w:space="0" w:color="auto" w:frame="1"/>
        </w:rPr>
        <w:t>que que le souvenir d’un passé proche semble encore hanter le rapport qu’entretient Carmelle, 61 ans, employée au Ministère du Tourisme et habitant la ville du Cap-Haïtien, avec le site de Vertières.</w:t>
      </w:r>
    </w:p>
    <w:p w:rsidR="004C50DC" w:rsidRPr="00E8358C" w:rsidRDefault="004C50DC" w:rsidP="004C50DC">
      <w:pPr>
        <w:pStyle w:val="Citation0i"/>
        <w:rPr>
          <w:bdr w:val="none" w:sz="0" w:space="0" w:color="auto" w:frame="1"/>
        </w:rPr>
      </w:pPr>
      <w:r w:rsidRPr="00E8358C">
        <w:rPr>
          <w:bdr w:val="none" w:sz="0" w:space="0" w:color="auto" w:frame="1"/>
        </w:rPr>
        <w:t>Mwen sonje koman sou Duvalier yo te konn fete Batay Vètyè. Se tout vil la ki te konn kanpe pou patisipe. Peyi an antye te konn ap tann mesaj prez</w:t>
      </w:r>
      <w:r w:rsidRPr="00E8358C">
        <w:rPr>
          <w:bdr w:val="none" w:sz="0" w:space="0" w:color="auto" w:frame="1"/>
        </w:rPr>
        <w:t>i</w:t>
      </w:r>
      <w:r w:rsidRPr="00E8358C">
        <w:rPr>
          <w:bdr w:val="none" w:sz="0" w:space="0" w:color="auto" w:frame="1"/>
        </w:rPr>
        <w:t>dan nan okazyon sa. Se te toujou yon bèl fèt. Anpil ser</w:t>
      </w:r>
      <w:r w:rsidRPr="00E8358C">
        <w:rPr>
          <w:bdr w:val="none" w:sz="0" w:space="0" w:color="auto" w:frame="1"/>
        </w:rPr>
        <w:t>e</w:t>
      </w:r>
      <w:r w:rsidRPr="00E8358C">
        <w:rPr>
          <w:bdr w:val="none" w:sz="0" w:space="0" w:color="auto" w:frame="1"/>
        </w:rPr>
        <w:t>moni. Soti legliz pou Te Deum, pase nan defile. Tout elèv lekòl yo konn la, fanfa vil la plis fanfa gad prezidan an. Diskou yo te fè chè de poul sou kò n, epi fè n santi n nou se yon pèp ki fyè. Kounyea nou wè sa vle chanje. 18 novanm nan tounen  yon okazyon pou fè manifest</w:t>
      </w:r>
      <w:r w:rsidRPr="00E8358C">
        <w:rPr>
          <w:bdr w:val="none" w:sz="0" w:space="0" w:color="auto" w:frame="1"/>
        </w:rPr>
        <w:t>a</w:t>
      </w:r>
      <w:r w:rsidRPr="00E8358C">
        <w:rPr>
          <w:bdr w:val="none" w:sz="0" w:space="0" w:color="auto" w:frame="1"/>
        </w:rPr>
        <w:t>syon kont pouvwa an plas yo. Nou pa ka pran tan n pou apresye ankò diskou otorite yo ak valè jou a. Rele « aba ak viv » vin prensipal sijè a. Menm prezidan tankou Jean Bertrand Arist</w:t>
      </w:r>
      <w:r w:rsidRPr="00E8358C">
        <w:rPr>
          <w:bdr w:val="none" w:sz="0" w:space="0" w:color="auto" w:frame="1"/>
        </w:rPr>
        <w:t>i</w:t>
      </w:r>
      <w:r w:rsidRPr="00E8358C">
        <w:rPr>
          <w:bdr w:val="none" w:sz="0" w:space="0" w:color="auto" w:frame="1"/>
        </w:rPr>
        <w:t>de en 2003, Michel Martelly pandan 2 fwa, 2013 ak 2014 pran lari pou montre fòs pop</w:t>
      </w:r>
      <w:r w:rsidRPr="00E8358C">
        <w:rPr>
          <w:bdr w:val="none" w:sz="0" w:space="0" w:color="auto" w:frame="1"/>
        </w:rPr>
        <w:t>i</w:t>
      </w:r>
      <w:r w:rsidRPr="00E8358C">
        <w:rPr>
          <w:bdr w:val="none" w:sz="0" w:space="0" w:color="auto" w:frame="1"/>
        </w:rPr>
        <w:t>larite yo fas a opozisyon an. Pa gen lespri rasanblè a ankò otou fèt la. Lit politik yo vin fè tout bon tradisyon yo ale depi 1986. Ko</w:t>
      </w:r>
      <w:r w:rsidRPr="00E8358C">
        <w:rPr>
          <w:bdr w:val="none" w:sz="0" w:space="0" w:color="auto" w:frame="1"/>
        </w:rPr>
        <w:t>u</w:t>
      </w:r>
      <w:r w:rsidRPr="00E8358C">
        <w:rPr>
          <w:bdr w:val="none" w:sz="0" w:space="0" w:color="auto" w:frame="1"/>
        </w:rPr>
        <w:t>nyea sa pi mal. Ero yo p ap kontan lè yo wè sa.</w:t>
      </w:r>
    </w:p>
    <w:p w:rsidR="004C50DC" w:rsidRPr="00E8358C" w:rsidRDefault="004C50DC" w:rsidP="004C50DC">
      <w:pPr>
        <w:pStyle w:val="Citation0"/>
        <w:rPr>
          <w:bdr w:val="none" w:sz="0" w:space="0" w:color="auto" w:frame="1"/>
        </w:rPr>
      </w:pPr>
      <w:r w:rsidRPr="00E8358C">
        <w:t>[</w:t>
      </w:r>
      <w:r w:rsidRPr="00E8358C">
        <w:rPr>
          <w:bdr w:val="none" w:sz="0" w:space="0" w:color="auto" w:frame="1"/>
        </w:rPr>
        <w:t>Je me rappelle sous les gouvernements des Duvalier la façon dont on commémorait la bataille de Vertières. Toute la ville était debout, d’un seul corps pour y prendre part. Le pays en entier attendait le message du prés</w:t>
      </w:r>
      <w:r w:rsidRPr="00E8358C">
        <w:rPr>
          <w:bdr w:val="none" w:sz="0" w:space="0" w:color="auto" w:frame="1"/>
        </w:rPr>
        <w:t>i</w:t>
      </w:r>
      <w:r w:rsidRPr="00E8358C">
        <w:rPr>
          <w:bdr w:val="none" w:sz="0" w:space="0" w:color="auto" w:frame="1"/>
        </w:rPr>
        <w:t>dent. C’était toujours une belle fête. Après le Te Deum et les cérémonies officielles, les écoliers, les lycéens et les corps de fanfare de la ville et ce</w:t>
      </w:r>
      <w:r w:rsidRPr="00E8358C">
        <w:rPr>
          <w:bdr w:val="none" w:sz="0" w:space="0" w:color="auto" w:frame="1"/>
        </w:rPr>
        <w:t>l</w:t>
      </w:r>
      <w:r w:rsidRPr="00E8358C">
        <w:rPr>
          <w:bdr w:val="none" w:sz="0" w:space="0" w:color="auto" w:frame="1"/>
        </w:rPr>
        <w:t>le de la garde présidentielle interpr</w:t>
      </w:r>
      <w:r w:rsidRPr="00E8358C">
        <w:rPr>
          <w:bdr w:val="none" w:sz="0" w:space="0" w:color="auto" w:frame="1"/>
        </w:rPr>
        <w:t>é</w:t>
      </w:r>
      <w:r w:rsidRPr="00E8358C">
        <w:rPr>
          <w:bdr w:val="none" w:sz="0" w:space="0" w:color="auto" w:frame="1"/>
        </w:rPr>
        <w:t>taient  des airs de gloire comme la Dessalinienne dans les principales rues de la ville. Les discours nous éle</w:t>
      </w:r>
      <w:r w:rsidRPr="00E8358C">
        <w:rPr>
          <w:bdr w:val="none" w:sz="0" w:space="0" w:color="auto" w:frame="1"/>
        </w:rPr>
        <w:t>c</w:t>
      </w:r>
      <w:r w:rsidRPr="00E8358C">
        <w:rPr>
          <w:bdr w:val="none" w:sz="0" w:space="0" w:color="auto" w:frame="1"/>
        </w:rPr>
        <w:t>trisaient et charriaient notre fierté de peuple. Aujourd’hui,  tout a changé. Le 18 novembre est d</w:t>
      </w:r>
      <w:r w:rsidRPr="00E8358C">
        <w:rPr>
          <w:bdr w:val="none" w:sz="0" w:space="0" w:color="auto" w:frame="1"/>
        </w:rPr>
        <w:t>e</w:t>
      </w:r>
      <w:r w:rsidRPr="00E8358C">
        <w:rPr>
          <w:bdr w:val="none" w:sz="0" w:space="0" w:color="auto" w:frame="1"/>
        </w:rPr>
        <w:t xml:space="preserve">venu une date pour manifester contre le pouvoir en place. On n’est même pas en </w:t>
      </w:r>
      <w:r>
        <w:rPr>
          <w:bdr w:val="none" w:sz="0" w:space="0" w:color="auto" w:frame="1"/>
        </w:rPr>
        <w:t xml:space="preserve">[379] </w:t>
      </w:r>
      <w:r w:rsidRPr="00E8358C">
        <w:rPr>
          <w:bdr w:val="none" w:sz="0" w:space="0" w:color="auto" w:frame="1"/>
        </w:rPr>
        <w:t>mesure d’apprécier l’essence du di</w:t>
      </w:r>
      <w:r w:rsidRPr="00E8358C">
        <w:rPr>
          <w:bdr w:val="none" w:sz="0" w:space="0" w:color="auto" w:frame="1"/>
        </w:rPr>
        <w:t>s</w:t>
      </w:r>
      <w:r w:rsidRPr="00E8358C">
        <w:rPr>
          <w:bdr w:val="none" w:sz="0" w:space="0" w:color="auto" w:frame="1"/>
        </w:rPr>
        <w:t>cours des aut</w:t>
      </w:r>
      <w:r w:rsidRPr="00E8358C">
        <w:rPr>
          <w:bdr w:val="none" w:sz="0" w:space="0" w:color="auto" w:frame="1"/>
        </w:rPr>
        <w:t>o</w:t>
      </w:r>
      <w:r w:rsidRPr="00E8358C">
        <w:rPr>
          <w:bdr w:val="none" w:sz="0" w:space="0" w:color="auto" w:frame="1"/>
        </w:rPr>
        <w:t>rités gouvernementales et du président de la République. L’écho des slogans « À bas » et « Vive » a retenti tellement fort qu’il d</w:t>
      </w:r>
      <w:r w:rsidRPr="00E8358C">
        <w:rPr>
          <w:bdr w:val="none" w:sz="0" w:space="0" w:color="auto" w:frame="1"/>
        </w:rPr>
        <w:t>e</w:t>
      </w:r>
      <w:r w:rsidRPr="00E8358C">
        <w:rPr>
          <w:bdr w:val="none" w:sz="0" w:space="0" w:color="auto" w:frame="1"/>
        </w:rPr>
        <w:t>vient la principale préoccupation des gens. Des présidents comme Jean-Bertrand Aristide (2003) et Michel-Joseph Martelly gagnaient les rues avec leurs partisans pour faire la démonstration de leur force en r</w:t>
      </w:r>
      <w:r w:rsidRPr="00E8358C">
        <w:rPr>
          <w:bdr w:val="none" w:sz="0" w:space="0" w:color="auto" w:frame="1"/>
        </w:rPr>
        <w:t>é</w:t>
      </w:r>
      <w:r w:rsidRPr="00E8358C">
        <w:rPr>
          <w:bdr w:val="none" w:sz="0" w:space="0" w:color="auto" w:frame="1"/>
        </w:rPr>
        <w:t>ponse à l’opposition. L’esprit d’unité qui caractérisait la commémor</w:t>
      </w:r>
      <w:r w:rsidRPr="00E8358C">
        <w:rPr>
          <w:bdr w:val="none" w:sz="0" w:space="0" w:color="auto" w:frame="1"/>
        </w:rPr>
        <w:t>a</w:t>
      </w:r>
      <w:r w:rsidRPr="00E8358C">
        <w:rPr>
          <w:bdr w:val="none" w:sz="0" w:space="0" w:color="auto" w:frame="1"/>
        </w:rPr>
        <w:t>tion n’est plus présent. Les luttes incessantes pour le pouvoir depuis 1986 entraînent une dépréciation des valeurs mémorielles au sein de la famille haïtienne. La situation empire depuis ces dernières années. Nos héros ne seraient pas fiers d’assister à un tel spectacle</w:t>
      </w:r>
      <w:r w:rsidRPr="00E8358C">
        <w:t>.]</w:t>
      </w:r>
    </w:p>
    <w:p w:rsidR="004C50DC" w:rsidRPr="00E8358C" w:rsidRDefault="004C50DC" w:rsidP="004C50DC">
      <w:pPr>
        <w:pStyle w:val="Citation0c"/>
        <w:rPr>
          <w:bdr w:val="none" w:sz="0" w:space="0" w:color="auto" w:frame="1"/>
        </w:rPr>
      </w:pPr>
      <w:r w:rsidRPr="00E8358C">
        <w:rPr>
          <w:bdr w:val="none" w:sz="0" w:space="0" w:color="auto" w:frame="1"/>
        </w:rPr>
        <w:t>(Carmelle, entrevue, 18 novembre 2013)</w:t>
      </w:r>
    </w:p>
    <w:p w:rsidR="004C50DC" w:rsidRDefault="004C50DC" w:rsidP="004C50DC">
      <w:pPr>
        <w:pStyle w:val="Citation0"/>
        <w:rPr>
          <w:bdr w:val="none" w:sz="0" w:space="0" w:color="auto" w:frame="1"/>
        </w:rPr>
      </w:pPr>
    </w:p>
    <w:p w:rsidR="004C50DC" w:rsidRPr="00E8358C" w:rsidRDefault="004C50DC" w:rsidP="004C50DC">
      <w:pPr>
        <w:spacing w:before="120" w:after="120"/>
        <w:jc w:val="both"/>
        <w:rPr>
          <w:bdr w:val="none" w:sz="0" w:space="0" w:color="auto" w:frame="1"/>
        </w:rPr>
      </w:pPr>
      <w:r w:rsidRPr="00E8358C">
        <w:rPr>
          <w:bdr w:val="none" w:sz="0" w:space="0" w:color="auto" w:frame="1"/>
        </w:rPr>
        <w:t>La dégradation de la situation politique empêche les Haïtiens de se réunir autour de la valeur mémorielle de Vertières. Il faut par tous les moyens se montrer populaire en partant de Vertières. Le site devient un espace d’affirmation et de démonstration de la force politique.</w:t>
      </w:r>
    </w:p>
    <w:p w:rsidR="004C50DC" w:rsidRDefault="004C50DC" w:rsidP="004C50DC">
      <w:pPr>
        <w:spacing w:before="120" w:after="120"/>
        <w:jc w:val="both"/>
        <w:rPr>
          <w:bdr w:val="none" w:sz="0" w:space="0" w:color="auto" w:frame="1"/>
        </w:rPr>
      </w:pPr>
      <w:r w:rsidRPr="00E8358C">
        <w:rPr>
          <w:bdr w:val="none" w:sz="0" w:space="0" w:color="auto" w:frame="1"/>
        </w:rPr>
        <w:t>Le mythe de « héros vivant qui continue à veiller sur la Nation » est très répandu dans la mémoire collective haïtienne, et l’on fait to</w:t>
      </w:r>
      <w:r w:rsidRPr="00E8358C">
        <w:rPr>
          <w:bdr w:val="none" w:sz="0" w:space="0" w:color="auto" w:frame="1"/>
        </w:rPr>
        <w:t>u</w:t>
      </w:r>
      <w:r w:rsidRPr="00E8358C">
        <w:rPr>
          <w:bdr w:val="none" w:sz="0" w:space="0" w:color="auto" w:frame="1"/>
        </w:rPr>
        <w:t>jours référence à Jean-Jacques Dessalines pour dénoncer un acte jugé antipatriotique ou une situation incompréhensible pour les Haïtiens. Dans la déclaration de Carmelle, on dénote que l’instrumentalisation de la mémoire de l’esclavage persiste et est devenue plus fondament</w:t>
      </w:r>
      <w:r w:rsidRPr="00E8358C">
        <w:rPr>
          <w:bdr w:val="none" w:sz="0" w:space="0" w:color="auto" w:frame="1"/>
        </w:rPr>
        <w:t>a</w:t>
      </w:r>
      <w:r w:rsidRPr="00E8358C">
        <w:rPr>
          <w:bdr w:val="none" w:sz="0" w:space="0" w:color="auto" w:frame="1"/>
        </w:rPr>
        <w:t xml:space="preserve">le après le renversement du gouvernement dictatorial des Duvalier en février 1986. On assiste à un revirement du symbolisme de la bataille </w:t>
      </w:r>
      <w:r>
        <w:rPr>
          <w:bdr w:val="none" w:sz="0" w:space="0" w:color="auto" w:frame="1"/>
        </w:rPr>
        <w:t>de Vertières.</w:t>
      </w:r>
    </w:p>
    <w:p w:rsidR="004C50DC" w:rsidRPr="00E8358C" w:rsidRDefault="004C50DC" w:rsidP="004C50DC">
      <w:pPr>
        <w:spacing w:before="120" w:after="120"/>
        <w:jc w:val="both"/>
        <w:rPr>
          <w:bdr w:val="none" w:sz="0" w:space="0" w:color="auto" w:frame="1"/>
        </w:rPr>
      </w:pPr>
    </w:p>
    <w:p w:rsidR="004C50DC" w:rsidRPr="003C0DAA" w:rsidRDefault="004C50DC" w:rsidP="004C50DC">
      <w:pPr>
        <w:pStyle w:val="b"/>
      </w:pPr>
      <w:bookmarkStart w:id="519" w:name="_Toc406489748"/>
      <w:bookmarkStart w:id="520" w:name="_Toc442280565"/>
      <w:r w:rsidRPr="003C0DAA">
        <w:t xml:space="preserve">Fête de </w:t>
      </w:r>
      <w:bookmarkEnd w:id="519"/>
      <w:bookmarkEnd w:id="520"/>
      <w:r w:rsidRPr="003C0DAA">
        <w:t>l’Indépendance</w:t>
      </w:r>
    </w:p>
    <w:p w:rsidR="004C50DC" w:rsidRDefault="004C50DC" w:rsidP="004C50DC">
      <w:pPr>
        <w:spacing w:before="120" w:after="120"/>
        <w:jc w:val="both"/>
      </w:pPr>
    </w:p>
    <w:p w:rsidR="004C50DC" w:rsidRPr="00E8358C" w:rsidRDefault="004C50DC" w:rsidP="004C50DC">
      <w:pPr>
        <w:spacing w:before="120" w:after="120"/>
        <w:jc w:val="both"/>
      </w:pPr>
      <w:r w:rsidRPr="00E8358C">
        <w:t>La fête de l’Indépendance, le 1</w:t>
      </w:r>
      <w:r w:rsidRPr="00E8358C">
        <w:rPr>
          <w:vertAlign w:val="superscript"/>
        </w:rPr>
        <w:t>er</w:t>
      </w:r>
      <w:r w:rsidRPr="00E8358C">
        <w:t xml:space="preserve"> janvier, est l’occasion pour tous les citoyens haïtiens de commémorer la liberté. La ville des Gona</w:t>
      </w:r>
      <w:r w:rsidRPr="00E8358C">
        <w:t>ï</w:t>
      </w:r>
      <w:r w:rsidRPr="00E8358C">
        <w:t>ves</w:t>
      </w:r>
      <w:r>
        <w:t> </w:t>
      </w:r>
      <w:r w:rsidRPr="00E8358C">
        <w:rPr>
          <w:rStyle w:val="Appelnotedebasdep"/>
        </w:rPr>
        <w:footnoteReference w:id="971"/>
      </w:r>
      <w:r w:rsidRPr="00E8358C">
        <w:t xml:space="preserve"> est à l’honneur en cette date qui coïncide avec le jour de l’An. C’est le moment le plus fort pour soutenir la mémoire glorieuse ha</w:t>
      </w:r>
      <w:r w:rsidRPr="00E8358C">
        <w:t>ï</w:t>
      </w:r>
      <w:r w:rsidRPr="00E8358C">
        <w:t>tienne. Les Haïtiens s’enorgueillissent d’être le premier peuple et le peuple noir quiait jamais autant marqué le monde qu’en posant cet acte de la vi</w:t>
      </w:r>
      <w:r w:rsidRPr="00E8358C">
        <w:t>c</w:t>
      </w:r>
      <w:r w:rsidRPr="00E8358C">
        <w:t>toire sur l’esclavage et en ouvrant la voie de la liberté à d’autres peuples. Comme le fait savoir M</w:t>
      </w:r>
      <w:r w:rsidRPr="00E8358C">
        <w:rPr>
          <w:vertAlign w:val="superscript"/>
        </w:rPr>
        <w:t>e</w:t>
      </w:r>
      <w:r w:rsidRPr="00E8358C">
        <w:t xml:space="preserve"> Marjorie-Alexandre Brun</w:t>
      </w:r>
      <w:r w:rsidRPr="00E8358C">
        <w:t>a</w:t>
      </w:r>
      <w:r w:rsidRPr="00E8358C">
        <w:t>che, « aucun peuple au monde n’a accompli ce que nos ancêtres ont</w:t>
      </w:r>
      <w:r>
        <w:t xml:space="preserve"> [380]</w:t>
      </w:r>
      <w:r w:rsidRPr="00E8358C">
        <w:t xml:space="preserve"> réal</w:t>
      </w:r>
      <w:r w:rsidRPr="00E8358C">
        <w:t>i</w:t>
      </w:r>
      <w:r w:rsidRPr="00E8358C">
        <w:t>sé »</w:t>
      </w:r>
      <w:r>
        <w:t> </w:t>
      </w:r>
      <w:r>
        <w:rPr>
          <w:rStyle w:val="Appelnotedebasdep"/>
        </w:rPr>
        <w:footnoteReference w:id="972"/>
      </w:r>
      <w:r w:rsidRPr="00E8358C">
        <w:t xml:space="preserve">. C’est un geste tangible du respect des droits et de la dignité de l’Homme dans l’histoire de l’humanité.  </w:t>
      </w:r>
    </w:p>
    <w:p w:rsidR="004C50DC" w:rsidRPr="00E8358C" w:rsidRDefault="004C50DC" w:rsidP="004C50DC">
      <w:pPr>
        <w:spacing w:before="120" w:after="120"/>
        <w:jc w:val="both"/>
      </w:pPr>
      <w:r w:rsidRPr="00E8358C">
        <w:t>Les immigrants haïtiens ne manquent pas cette occasion de cél</w:t>
      </w:r>
      <w:r w:rsidRPr="00E8358C">
        <w:t>é</w:t>
      </w:r>
      <w:r w:rsidRPr="00E8358C">
        <w:t>brer cette date mémorable et de souligner les faits qui ont conduit à la création de la première République noire du monde. C’est le moment de réitérer leur détermination de rester soudés pour affronter « les humiliations de toutes sortes, le rejet, l’exclusion et la négation de leurs droits les plus élémentaires »</w:t>
      </w:r>
      <w:r>
        <w:t> </w:t>
      </w:r>
      <w:r>
        <w:rPr>
          <w:rStyle w:val="Appelnotedebasdep"/>
        </w:rPr>
        <w:footnoteReference w:id="973"/>
      </w:r>
      <w:r w:rsidRPr="00E8358C">
        <w:t xml:space="preserve"> en terre étrangère. </w:t>
      </w:r>
    </w:p>
    <w:p w:rsidR="004C50DC" w:rsidRPr="00E8358C" w:rsidRDefault="004C50DC" w:rsidP="004C50DC">
      <w:pPr>
        <w:spacing w:before="120" w:after="120"/>
        <w:jc w:val="both"/>
      </w:pPr>
      <w:r w:rsidRPr="00E8358C">
        <w:t>Les discours officiels des chefs d’États haïtiens insistent toujours sur un message d’unité, de dialogue, de réconciliation et de solidarité. Jusqu’à ce jour, le peuple cherche à se réconcilier. Les querelles de chapelle semblent constituer le principal handicap. Les hommes pol</w:t>
      </w:r>
      <w:r w:rsidRPr="00E8358C">
        <w:t>i</w:t>
      </w:r>
      <w:r w:rsidRPr="00E8358C">
        <w:t>tiques invitent toujours leurs concitoyens à s’inspirer de l’esprit de sacrifice des pères de la nation au-delà des différences et des diff</w:t>
      </w:r>
      <w:r w:rsidRPr="00E8358C">
        <w:t>é</w:t>
      </w:r>
      <w:r w:rsidRPr="00E8358C">
        <w:t>rends pour construire une nouvelle Haïti dans la stabilité. Dans cette veine, le président René Préval avait déclaré :</w:t>
      </w:r>
    </w:p>
    <w:p w:rsidR="004C50DC" w:rsidRDefault="004C50DC" w:rsidP="004C50DC">
      <w:pPr>
        <w:pStyle w:val="Citation0"/>
      </w:pPr>
    </w:p>
    <w:p w:rsidR="004C50DC" w:rsidRDefault="004C50DC" w:rsidP="004C50DC">
      <w:pPr>
        <w:pStyle w:val="Citation0"/>
      </w:pPr>
      <w:r w:rsidRPr="00E8358C">
        <w:t>Sans l’unité et la stabilité, on ne peut rien construire. S’il n’y avait pas eu le dialogue entre Dessalines, Pétion et l’armée indigène, s’il n’y avait pas eu Vertières, Haïti n’aurait pas existé… l’instabilité est un véritable poison pour le développement de ce pays</w:t>
      </w:r>
      <w:r w:rsidRPr="00E8358C">
        <w:rPr>
          <w:rStyle w:val="Appelnotedebasdep"/>
          <w:szCs w:val="22"/>
        </w:rPr>
        <w:footnoteReference w:id="974"/>
      </w:r>
      <w:r>
        <w:t>.</w:t>
      </w:r>
    </w:p>
    <w:p w:rsidR="004C50DC" w:rsidRPr="00E8358C" w:rsidRDefault="004C50DC" w:rsidP="004C50DC">
      <w:pPr>
        <w:pStyle w:val="Citation0"/>
      </w:pPr>
    </w:p>
    <w:p w:rsidR="004C50DC" w:rsidRPr="00E8358C" w:rsidRDefault="004C50DC" w:rsidP="004C50DC">
      <w:pPr>
        <w:spacing w:before="120" w:after="120"/>
        <w:jc w:val="both"/>
      </w:pPr>
      <w:r w:rsidRPr="00E8358C">
        <w:t>La mémoire de l’esclavage s’inscrit ici dans le champ du sacré p</w:t>
      </w:r>
      <w:r w:rsidRPr="00E8358C">
        <w:t>a</w:t>
      </w:r>
      <w:r w:rsidRPr="00E8358C">
        <w:t>triotique, du modèle du « vivre ensemble ». Les discours à la date du 1</w:t>
      </w:r>
      <w:r w:rsidRPr="00E8358C">
        <w:rPr>
          <w:vertAlign w:val="superscript"/>
        </w:rPr>
        <w:t>er</w:t>
      </w:r>
      <w:r w:rsidRPr="00E8358C">
        <w:t xml:space="preserve"> janvier saisissent cette opportunité pour dresser un bilan et prése</w:t>
      </w:r>
      <w:r w:rsidRPr="00E8358C">
        <w:t>n</w:t>
      </w:r>
      <w:r w:rsidRPr="00E8358C">
        <w:t xml:space="preserve">ter les grandes réalisations gouvernementales sous le regard sceptique de la population. Depuis quelques années, on se souhaite de moins en moins une « bonne fête de l’Indépendance » en Haïti. Pour certains Haïtiens, le symbolisme du premier janvier, fête de l’Indépendance nationale, se perd dans le concert des festivités du </w:t>
      </w:r>
      <w:r>
        <w:t xml:space="preserve">[381] </w:t>
      </w:r>
      <w:r w:rsidRPr="00E8358C">
        <w:t xml:space="preserve">Nouvel An. La présence des troupes onusiennes ne favorise pas non plus une telle démarche.  </w:t>
      </w:r>
    </w:p>
    <w:p w:rsidR="004C50DC" w:rsidRPr="00E8358C" w:rsidRDefault="004C50DC" w:rsidP="004C50DC">
      <w:pPr>
        <w:spacing w:before="120" w:after="120"/>
        <w:jc w:val="both"/>
      </w:pPr>
      <w:r w:rsidRPr="00E8358C">
        <w:t>À l’occasion de la 210</w:t>
      </w:r>
      <w:r w:rsidRPr="00E8358C">
        <w:rPr>
          <w:vertAlign w:val="superscript"/>
        </w:rPr>
        <w:t>e</w:t>
      </w:r>
      <w:r w:rsidRPr="00E8358C">
        <w:t xml:space="preserve"> commémoration de l’Indépendance ha</w:t>
      </w:r>
      <w:r w:rsidRPr="00E8358C">
        <w:t>ï</w:t>
      </w:r>
      <w:r w:rsidRPr="00E8358C">
        <w:t>tienne le 1</w:t>
      </w:r>
      <w:r w:rsidRPr="00E8358C">
        <w:rPr>
          <w:vertAlign w:val="superscript"/>
        </w:rPr>
        <w:t>er</w:t>
      </w:r>
      <w:r w:rsidRPr="00E8358C">
        <w:t xml:space="preserve"> janvier 2014, nous avons rencontré une deuxième fois Sabine, l’étudiante en droit déjà mentionnée au chapitre quatre. Elle nous a fait part de ses impressions  imprégnées de tristesse de voir le territoire national haïtien violé par la présence des troupes onusiennes. Cette situation, selon elle, est contraire à l’idéal dessalinien. Elle nous parle en ces termes:</w:t>
      </w:r>
    </w:p>
    <w:p w:rsidR="004C50DC" w:rsidRDefault="004C50DC" w:rsidP="004C50DC">
      <w:pPr>
        <w:pStyle w:val="Citation0"/>
      </w:pPr>
    </w:p>
    <w:p w:rsidR="004C50DC" w:rsidRPr="00E8358C" w:rsidRDefault="004C50DC" w:rsidP="004C50DC">
      <w:pPr>
        <w:pStyle w:val="Citation0"/>
      </w:pPr>
      <w:r w:rsidRPr="00E8358C">
        <w:t>Il est triste de commémorer l’indépendance haïtienne dans ce contexte d’occupation du territoire par les troupes onusiennes. Quand on sait que mes concitoyens ont travaillé et ont contribué à souiller l’idéal dessalinien, le choc est d’autant plus considérable. J’ai rougi de colère de voir que d</w:t>
      </w:r>
      <w:r w:rsidRPr="00E8358C">
        <w:t>e</w:t>
      </w:r>
      <w:r w:rsidRPr="00E8358C">
        <w:t>puis une dizaine d’années les autorités étatiques continuent à célébrer cette date. Aujourd’hui, le symbolisme du 1</w:t>
      </w:r>
      <w:r w:rsidRPr="00E8358C">
        <w:rPr>
          <w:vertAlign w:val="superscript"/>
        </w:rPr>
        <w:t>er</w:t>
      </w:r>
      <w:r w:rsidRPr="00E8358C">
        <w:t xml:space="preserve"> janvier ne convoque plus le sens patriotique et la prouesse des héros de l’indépendance (Dessalines, Capois, Christophe, Pétion), ces héros qui avaient juré de sauvegarder l’inviolabilité du territoire national. </w:t>
      </w:r>
    </w:p>
    <w:p w:rsidR="004C50DC" w:rsidRDefault="004C50DC" w:rsidP="004C50DC">
      <w:pPr>
        <w:pStyle w:val="Citation0c"/>
      </w:pPr>
      <w:r w:rsidRPr="00E8358C">
        <w:t>(Sabine, entrevue, 1</w:t>
      </w:r>
      <w:r w:rsidRPr="00E8358C">
        <w:rPr>
          <w:vertAlign w:val="superscript"/>
        </w:rPr>
        <w:t>er</w:t>
      </w:r>
      <w:r w:rsidRPr="00E8358C">
        <w:t xml:space="preserve"> janvier 2014)</w:t>
      </w:r>
    </w:p>
    <w:p w:rsidR="004C50DC" w:rsidRPr="00E8358C" w:rsidRDefault="004C50DC" w:rsidP="004C50DC">
      <w:pPr>
        <w:pStyle w:val="Citation0c"/>
      </w:pPr>
    </w:p>
    <w:p w:rsidR="004C50DC" w:rsidRPr="00E8358C" w:rsidRDefault="004C50DC" w:rsidP="004C50DC">
      <w:pPr>
        <w:spacing w:before="120" w:after="120"/>
        <w:jc w:val="both"/>
      </w:pPr>
      <w:r w:rsidRPr="00E8358C">
        <w:t>Sabine interpelle la conscience des Haïtiens qu’elle rend respons</w:t>
      </w:r>
      <w:r w:rsidRPr="00E8358C">
        <w:t>a</w:t>
      </w:r>
      <w:r w:rsidRPr="00E8358C">
        <w:t>bles de la présence des forces onusiennes en Haïti. Cette réalité conjoncturelle a eu le dessus sur son patriotisme en cette date qui h</w:t>
      </w:r>
      <w:r w:rsidRPr="00E8358C">
        <w:t>a</w:t>
      </w:r>
      <w:r w:rsidRPr="00E8358C">
        <w:t>bituellement honore l’orgueil haïtien. On pourrait remarquer la triste</w:t>
      </w:r>
      <w:r w:rsidRPr="00E8358C">
        <w:t>s</w:t>
      </w:r>
      <w:r w:rsidRPr="00E8358C">
        <w:t>se qui envahit son visage et sa forte voix dénonciatrice au début de l’entrevue qui s’affaiblit et devient plaintive. L’Indépendance haïtie</w:t>
      </w:r>
      <w:r w:rsidRPr="00E8358C">
        <w:t>n</w:t>
      </w:r>
      <w:r w:rsidRPr="00E8358C">
        <w:t xml:space="preserve">ne est remise en question par les Haïtiens eux-mêmes depuis quelques années. Le premier janvier ne revêt plus la célébration de la gloire ; ce n’est plus qu’une journée qui invite à la réflexion sur la gestion et les nouvelles orientations politiques à donner à ce pays.  </w:t>
      </w:r>
    </w:p>
    <w:p w:rsidR="004C50DC" w:rsidRPr="00E8358C" w:rsidRDefault="004C50DC" w:rsidP="004C50DC">
      <w:pPr>
        <w:spacing w:before="120" w:after="120"/>
        <w:jc w:val="both"/>
      </w:pPr>
      <w:r w:rsidRPr="00E8358C">
        <w:t>Les commémorations de certaines dates en lien avec le passé col</w:t>
      </w:r>
      <w:r w:rsidRPr="00E8358C">
        <w:t>o</w:t>
      </w:r>
      <w:r w:rsidRPr="00E8358C">
        <w:t>nial esclavagiste en Haïti sont placées à la fois sous le signe de la fie</w:t>
      </w:r>
      <w:r w:rsidRPr="00E8358C">
        <w:t>r</w:t>
      </w:r>
      <w:r w:rsidRPr="00E8358C">
        <w:t>té et du scepticisme. Les citoyens critiquent et réprouvent ouvertement les actions des autorités étatiques dans la mesure où le système est fondé sur l’exclusion. Ils fustigent vertement aussi l’inaction des dir</w:t>
      </w:r>
      <w:r w:rsidRPr="00E8358C">
        <w:t>i</w:t>
      </w:r>
      <w:r w:rsidRPr="00E8358C">
        <w:t xml:space="preserve">geants et de la société civile qui sous-tendent la mauvaise gestion du patrimoine mémoriel et la destinée incertaine d’Haïti. </w:t>
      </w:r>
    </w:p>
    <w:p w:rsidR="004C50DC" w:rsidRPr="00E8358C" w:rsidRDefault="004C50DC" w:rsidP="004C50DC">
      <w:pPr>
        <w:pStyle w:val="p"/>
      </w:pPr>
      <w:bookmarkStart w:id="521" w:name="_Toc442280566"/>
      <w:r w:rsidRPr="00E8358C">
        <w:br w:type="page"/>
        <w:t>[382]</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522" w:name="Memoire_chap_VII"/>
      <w:r w:rsidRPr="00EF76C4">
        <w:rPr>
          <w:b/>
          <w:sz w:val="24"/>
        </w:rPr>
        <w:t>Mémoire de l’esclavage en Haïti.</w:t>
      </w:r>
    </w:p>
    <w:p w:rsidR="004C50DC" w:rsidRDefault="004C50DC" w:rsidP="004C50DC">
      <w:pPr>
        <w:pStyle w:val="Titreniveau1"/>
        <w:rPr>
          <w:szCs w:val="36"/>
        </w:rPr>
      </w:pPr>
      <w:r>
        <w:rPr>
          <w:szCs w:val="36"/>
        </w:rPr>
        <w:t>Chapitre VII</w:t>
      </w:r>
    </w:p>
    <w:p w:rsidR="004C50DC" w:rsidRPr="001F21A7" w:rsidRDefault="004C50DC" w:rsidP="004C50DC">
      <w:pPr>
        <w:pStyle w:val="Titreniveau2"/>
      </w:pPr>
      <w:r w:rsidRPr="000A1CB5">
        <w:t>Interprétations et enjeux</w:t>
      </w:r>
      <w:r>
        <w:br/>
      </w:r>
      <w:r w:rsidRPr="000A1CB5">
        <w:t>pour compre</w:t>
      </w:r>
      <w:r w:rsidRPr="000A1CB5">
        <w:t>n</w:t>
      </w:r>
      <w:r w:rsidRPr="000A1CB5">
        <w:t>dre la patrimonialisation</w:t>
      </w:r>
      <w:r>
        <w:br/>
      </w:r>
      <w:r w:rsidRPr="000A1CB5">
        <w:t>des mémoires de l’esclavage en Haïti</w:t>
      </w:r>
    </w:p>
    <w:bookmarkEnd w:id="522"/>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521"/>
    <w:p w:rsidR="004C50DC" w:rsidRDefault="004C50DC" w:rsidP="004C50DC">
      <w:pPr>
        <w:spacing w:before="120" w:after="120"/>
        <w:jc w:val="both"/>
      </w:pPr>
      <w:r w:rsidRPr="00E8358C">
        <w:t>Les points qui suivent sont la résultante d’un effort d’analyse a</w:t>
      </w:r>
      <w:r w:rsidRPr="00E8358C">
        <w:t>p</w:t>
      </w:r>
      <w:r w:rsidRPr="00E8358C">
        <w:t>profondie et critique des mémoires de l’esclavage identifiées au sein de la société haïtienne. Les témoignages des participants à l’enquête, les discours officiels, les documents consultés et les observations ra</w:t>
      </w:r>
      <w:r w:rsidRPr="00E8358C">
        <w:t>p</w:t>
      </w:r>
      <w:r w:rsidRPr="00E8358C">
        <w:t>portées dans les précédents chapitres ont servi à l’élaboration progre</w:t>
      </w:r>
      <w:r w:rsidRPr="00E8358C">
        <w:t>s</w:t>
      </w:r>
      <w:r w:rsidRPr="00E8358C">
        <w:t>sive d’une typologie de la mémoire de l’esclavage en Haïti et à l’exposé des polémiques et des enjeux qui se cristallisent autour de leur éventuelle patrimonialisation. Cette démarche nécessite un effort intellectuel critique et explicatif qui nous pousse à associer « les crit</w:t>
      </w:r>
      <w:r w:rsidRPr="00E8358C">
        <w:t>è</w:t>
      </w:r>
      <w:r w:rsidRPr="00E8358C">
        <w:t>res et les modalités de la patrimonialisation »</w:t>
      </w:r>
      <w:r>
        <w:t> </w:t>
      </w:r>
      <w:r w:rsidRPr="00E8358C">
        <w:rPr>
          <w:rStyle w:val="Appelnotedebasdep"/>
        </w:rPr>
        <w:footnoteReference w:id="975"/>
      </w:r>
      <w:r w:rsidRPr="00E8358C">
        <w:t xml:space="preserve"> aux « effets ou cons</w:t>
      </w:r>
      <w:r w:rsidRPr="00E8358C">
        <w:t>é</w:t>
      </w:r>
      <w:r w:rsidRPr="00E8358C">
        <w:t>quences de ce phénomène »</w:t>
      </w:r>
      <w:r>
        <w:t> </w:t>
      </w:r>
      <w:r w:rsidRPr="00E8358C">
        <w:rPr>
          <w:rStyle w:val="Appelnotedebasdep"/>
        </w:rPr>
        <w:footnoteReference w:id="976"/>
      </w:r>
      <w:r w:rsidRPr="00E8358C">
        <w:t xml:space="preserve"> dans les étude</w:t>
      </w:r>
      <w:r>
        <w:t>s des mémoires de l’esclavage.</w:t>
      </w:r>
    </w:p>
    <w:p w:rsidR="004C50DC" w:rsidRPr="00E8358C" w:rsidRDefault="004C50DC" w:rsidP="004C50DC">
      <w:pPr>
        <w:spacing w:before="120" w:after="120"/>
        <w:jc w:val="both"/>
      </w:pPr>
    </w:p>
    <w:p w:rsidR="004C50DC" w:rsidRPr="00E8358C" w:rsidRDefault="004C50DC" w:rsidP="004C50DC">
      <w:pPr>
        <w:pStyle w:val="planche"/>
      </w:pPr>
      <w:bookmarkStart w:id="523" w:name="_Toc442280568"/>
      <w:bookmarkStart w:id="524" w:name="Memoire_chap_VII_1"/>
      <w:r w:rsidRPr="00E8358C">
        <w:t>7.1. Typologie de mémoire de l’esclavage</w:t>
      </w:r>
      <w:r>
        <w:br/>
      </w:r>
      <w:r w:rsidRPr="00E8358C">
        <w:t>en Haïti</w:t>
      </w:r>
      <w:bookmarkEnd w:id="523"/>
    </w:p>
    <w:bookmarkEnd w:id="524"/>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t>La mémoire de l’esclavage au sens large suggère les mémoires</w:t>
      </w:r>
      <w:r w:rsidRPr="00E8358C">
        <w:rPr>
          <w:b/>
        </w:rPr>
        <w:t xml:space="preserve"> </w:t>
      </w:r>
      <w:r w:rsidRPr="00E8358C">
        <w:t>du temps de l’esclavage qui ont survécu à travers les siècles dans les s</w:t>
      </w:r>
      <w:r w:rsidRPr="00E8358C">
        <w:t>o</w:t>
      </w:r>
      <w:r w:rsidRPr="00E8358C">
        <w:t>ciétés concernées. En même temps, il s’agit d’une culture qui s’est constituée du fait des revendications des descendants des victimes de l’esclavage et de la lutte pour la réparation des torts causés par l’esclavagisme. Les mémoires de l’esclavage sont différenciées les unes des autres dans la société haïtienne. Dans le souci d’intervenir dans les débats sur cette question passionnante, nous avons établi une typologie en fonction de quatre groupes de mémoires de l’esclavage : mémoire de fierté, mémoire de culpabilité, mémoire de victimisation, mémoire de réconciliation. Celles-ci sont opérationnalisées par la p</w:t>
      </w:r>
      <w:r w:rsidRPr="00E8358C">
        <w:t>o</w:t>
      </w:r>
      <w:r w:rsidRPr="00E8358C">
        <w:t>pulation haïtienne pour expliquer le passé colonial esclavagiste. Nous développons, dans chaque cas, la complexité des attitudes qu’elles imposent. En nous inspirant de cette typologie, nous voulons présenter leurs formes de</w:t>
      </w:r>
      <w:r>
        <w:t xml:space="preserve"> [383]</w:t>
      </w:r>
      <w:r w:rsidRPr="00E8358C">
        <w:t xml:space="preserve"> manifestation qui supportent toute volonté commune de leur mise en patrimoine, ou bien s’y opposer. </w:t>
      </w:r>
    </w:p>
    <w:p w:rsidR="004C50DC" w:rsidRPr="00E8358C" w:rsidRDefault="004C50DC" w:rsidP="004C50DC">
      <w:pPr>
        <w:spacing w:before="120" w:after="120"/>
        <w:jc w:val="both"/>
      </w:pPr>
    </w:p>
    <w:p w:rsidR="004C50DC" w:rsidRPr="0088465E" w:rsidRDefault="004C50DC" w:rsidP="004C50DC">
      <w:pPr>
        <w:pStyle w:val="b"/>
      </w:pPr>
      <w:bookmarkStart w:id="525" w:name="_Toc442280569"/>
      <w:r w:rsidRPr="0088465E">
        <w:t xml:space="preserve">Mémoire de fierté </w:t>
      </w:r>
      <w:bookmarkEnd w:id="525"/>
    </w:p>
    <w:p w:rsidR="004C50DC" w:rsidRDefault="004C50DC" w:rsidP="004C50DC">
      <w:pPr>
        <w:spacing w:before="120" w:after="120"/>
        <w:jc w:val="both"/>
      </w:pPr>
    </w:p>
    <w:p w:rsidR="004C50DC" w:rsidRPr="00E8358C" w:rsidRDefault="004C50DC" w:rsidP="004C50DC">
      <w:pPr>
        <w:spacing w:before="120" w:after="120"/>
        <w:jc w:val="both"/>
      </w:pPr>
      <w:r w:rsidRPr="00E8358C">
        <w:t>La mémoire de fierté est la plus répandue dans la société haïtienne, et c’est la mémoire officiellement adoptée. Elle fait partie des fond</w:t>
      </w:r>
      <w:r w:rsidRPr="00E8358C">
        <w:t>a</w:t>
      </w:r>
      <w:r w:rsidRPr="00E8358C">
        <w:t>tions de la nation haïtienne depuis 1804. Il faut continuer à souligner l’importance d’Haïti et intégrer son histoire épique à l’histoire unive</w:t>
      </w:r>
      <w:r w:rsidRPr="00E8358C">
        <w:t>r</w:t>
      </w:r>
      <w:r w:rsidRPr="00E8358C">
        <w:t>selle, comme celle d’un peuple fier qui a dignement combattu pour abolir l’esclavage. La jeunesse haïtienne, en grandissant, doit perp</w:t>
      </w:r>
      <w:r w:rsidRPr="00E8358C">
        <w:t>é</w:t>
      </w:r>
      <w:r w:rsidRPr="00E8358C">
        <w:t xml:space="preserve">tuer cet héritage et transmettre les éléments de cette fierté inscrite dans cette idée de liberté. </w:t>
      </w:r>
    </w:p>
    <w:p w:rsidR="004C50DC" w:rsidRPr="0088465E" w:rsidRDefault="004C50DC" w:rsidP="004C50DC">
      <w:pPr>
        <w:spacing w:before="120" w:after="120"/>
        <w:jc w:val="both"/>
      </w:pPr>
      <w:r w:rsidRPr="0088465E">
        <w:t>La figure héroïque est fortement symbolique dans cette mémoire. La transmission des prouesses des pères de la Nation se fait quot</w:t>
      </w:r>
      <w:r w:rsidRPr="0088465E">
        <w:t>i</w:t>
      </w:r>
      <w:r w:rsidRPr="0088465E">
        <w:t>diennement, de manière consciente ou inconsciente. Même le citoyen haïtien qui n’a jamais eu la chance d’aller à l’école pour apprendre l’histoire d’Haïti a entendu parler de Jean-Jacques Dessalines, d’Henri Christophe, de Toussaint Louverture, d’Alexandre Pétion ou de C</w:t>
      </w:r>
      <w:r w:rsidRPr="0088465E">
        <w:t>a</w:t>
      </w:r>
      <w:r w:rsidRPr="0088465E">
        <w:t>poix La Mort. Généralement, la mémoire de l’esclavage dans ce co</w:t>
      </w:r>
      <w:r w:rsidRPr="0088465E">
        <w:t>u</w:t>
      </w:r>
      <w:r w:rsidRPr="0088465E">
        <w:t>rant se limite à ces figures et à la Révolution haïtienne. Elle évoque parfois Boukman, et plus rarement Makandal, pour ses pratiques rel</w:t>
      </w:r>
      <w:r w:rsidRPr="0088465E">
        <w:t>i</w:t>
      </w:r>
      <w:r w:rsidRPr="0088465E">
        <w:t xml:space="preserve">gieuses vodou et son apport à la galvanisation des héros de la guerre de l’Indépendance. </w:t>
      </w:r>
    </w:p>
    <w:p w:rsidR="004C50DC" w:rsidRPr="00E8358C" w:rsidRDefault="004C50DC" w:rsidP="004C50DC">
      <w:pPr>
        <w:spacing w:before="120" w:after="120"/>
        <w:jc w:val="both"/>
      </w:pPr>
      <w:r w:rsidRPr="00E8358C">
        <w:t>Les Haïtiens développent un symptôme distinct de la mémoire de la traite, de l’esclavage et de la liberté. Dans ce cadrage révélateur, ils privilégient l’élément « liberté » et héroïsent objectivement la mémo</w:t>
      </w:r>
      <w:r w:rsidRPr="00E8358C">
        <w:t>i</w:t>
      </w:r>
      <w:r w:rsidRPr="00E8358C">
        <w:t>re. La dimension épique envahit presque toute la narration histori</w:t>
      </w:r>
      <w:r w:rsidRPr="00E8358C">
        <w:t>o</w:t>
      </w:r>
      <w:r w:rsidRPr="00E8358C">
        <w:t>graphique et mémorielle haïtienne. Cette mémoire conduit presque à l’amputation mémorielle de l’avant 1791. Durant tout le XIX</w:t>
      </w:r>
      <w:r w:rsidRPr="00E8358C">
        <w:rPr>
          <w:vertAlign w:val="superscript"/>
        </w:rPr>
        <w:t>e</w:t>
      </w:r>
      <w:r w:rsidRPr="00E8358C">
        <w:t xml:space="preserve"> siècle et jusqu’à l’entrée d’Haïti dans le XX</w:t>
      </w:r>
      <w:r w:rsidRPr="00E8358C">
        <w:rPr>
          <w:vertAlign w:val="superscript"/>
        </w:rPr>
        <w:t>e</w:t>
      </w:r>
      <w:r w:rsidRPr="00E8358C">
        <w:t xml:space="preserve"> siècle, l’écriture historique ha</w:t>
      </w:r>
      <w:r w:rsidRPr="00E8358C">
        <w:t>ï</w:t>
      </w:r>
      <w:r w:rsidRPr="00E8358C">
        <w:t>tienne est surtout marquée par cette narration épique. La vie quot</w:t>
      </w:r>
      <w:r w:rsidRPr="00E8358C">
        <w:t>i</w:t>
      </w:r>
      <w:r w:rsidRPr="00E8358C">
        <w:t>dienne des esclaves ainsi que leurs conditions de vie sont pratiqu</w:t>
      </w:r>
      <w:r w:rsidRPr="00E8358C">
        <w:t>e</w:t>
      </w:r>
      <w:r w:rsidRPr="00E8358C">
        <w:t>ment négligées dans cette mémoire. Cette « phénoménologie de la mémoire »</w:t>
      </w:r>
      <w:r>
        <w:t> </w:t>
      </w:r>
      <w:r>
        <w:rPr>
          <w:rStyle w:val="Appelnotedebasdep"/>
        </w:rPr>
        <w:footnoteReference w:id="977"/>
      </w:r>
      <w:r w:rsidRPr="00E8358C">
        <w:t xml:space="preserve"> épique dérange quelque part tout effort de patrimonialis</w:t>
      </w:r>
      <w:r w:rsidRPr="00E8358C">
        <w:t>a</w:t>
      </w:r>
      <w:r w:rsidRPr="00E8358C">
        <w:t>tion de la tranche de mémoire greffée sur la traite</w:t>
      </w:r>
      <w:r>
        <w:t xml:space="preserve"> [384]</w:t>
      </w:r>
      <w:r w:rsidRPr="00E8358C">
        <w:t xml:space="preserve"> et l’esclavage, et sur ses conséquences dans le présent haïtien (préjugé de couleur, exclusion de la masse paysanne, appauvrissement de la masse pop</w:t>
      </w:r>
      <w:r w:rsidRPr="00E8358C">
        <w:t>u</w:t>
      </w:r>
      <w:r w:rsidRPr="00E8358C">
        <w:t>laire...). Il y a une sorte d’« épuration par lessivage », au sens de R</w:t>
      </w:r>
      <w:r w:rsidRPr="00E8358C">
        <w:t>i</w:t>
      </w:r>
      <w:r w:rsidRPr="00E8358C">
        <w:t>chard Price</w:t>
      </w:r>
      <w:r>
        <w:t> </w:t>
      </w:r>
      <w:r>
        <w:rPr>
          <w:rStyle w:val="Appelnotedebasdep"/>
        </w:rPr>
        <w:footnoteReference w:id="978"/>
      </w:r>
      <w:r w:rsidRPr="00E8358C">
        <w:t>, de certaines réalités coloniales esclavagistes par les él</w:t>
      </w:r>
      <w:r w:rsidRPr="00E8358C">
        <w:t>i</w:t>
      </w:r>
      <w:r w:rsidRPr="00E8358C">
        <w:t>tes dirigeantes.</w:t>
      </w:r>
    </w:p>
    <w:p w:rsidR="004C50DC" w:rsidRPr="00E8358C" w:rsidRDefault="004C50DC" w:rsidP="004C50DC">
      <w:pPr>
        <w:spacing w:before="120" w:after="120"/>
        <w:jc w:val="both"/>
      </w:pPr>
      <w:r w:rsidRPr="00E8358C">
        <w:t>Dans leurs manifestations patriotiques, ces élites manipulent so</w:t>
      </w:r>
      <w:r w:rsidRPr="00E8358C">
        <w:t>u</w:t>
      </w:r>
      <w:r w:rsidRPr="00E8358C">
        <w:t>vent le souvenir de l’esclavage pour porter la population à vivre dans un cadrage politique et ethnoracial. Elles façonnent un système polit</w:t>
      </w:r>
      <w:r w:rsidRPr="00E8358C">
        <w:t>i</w:t>
      </w:r>
      <w:r w:rsidRPr="00E8358C">
        <w:t>que qui résume Haïti à la défense de la race noire et à la liberté. En effet, la construction de l’État-nation haïtien est une abstraction qui s’est matérialisée lors de moments phares de l’histoire, tels que l’occupation américaine (1915-1934), où les historiens, les intelle</w:t>
      </w:r>
      <w:r w:rsidRPr="00E8358C">
        <w:t>c</w:t>
      </w:r>
      <w:r w:rsidRPr="00E8358C">
        <w:t>tuels (Jean Price-Mars, Jacques Roumain, Georges Sylvain, Jean-François Brierre, Carl Bouard, etc.) et la population ont relayé le di</w:t>
      </w:r>
      <w:r w:rsidRPr="00E8358C">
        <w:t>s</w:t>
      </w:r>
      <w:r w:rsidRPr="00E8358C">
        <w:t>cours héroïque de l’État pour résister aux occupants.</w:t>
      </w:r>
    </w:p>
    <w:p w:rsidR="004C50DC" w:rsidRPr="00E8358C" w:rsidRDefault="004C50DC" w:rsidP="004C50DC">
      <w:pPr>
        <w:spacing w:before="120" w:after="120"/>
        <w:jc w:val="both"/>
      </w:pPr>
      <w:r w:rsidRPr="00E8358C">
        <w:t>Domond, 65 ans, historien, habitant la ville de Port-au-Prince, t</w:t>
      </w:r>
      <w:r w:rsidRPr="00E8358C">
        <w:t>é</w:t>
      </w:r>
      <w:r w:rsidRPr="00E8358C">
        <w:t>moigne que les commémorations de dates ou d’événements histor</w:t>
      </w:r>
      <w:r w:rsidRPr="00E8358C">
        <w:t>i</w:t>
      </w:r>
      <w:r w:rsidRPr="00E8358C">
        <w:t xml:space="preserve">ques sont toujours influencées par la dimension épique. </w:t>
      </w:r>
    </w:p>
    <w:p w:rsidR="004C50DC" w:rsidRDefault="004C50DC" w:rsidP="004C50DC">
      <w:pPr>
        <w:pStyle w:val="Citation0"/>
      </w:pPr>
    </w:p>
    <w:p w:rsidR="004C50DC" w:rsidRPr="0088465E" w:rsidRDefault="004C50DC" w:rsidP="004C50DC">
      <w:pPr>
        <w:pStyle w:val="Citation0"/>
      </w:pPr>
      <w:r w:rsidRPr="0088465E">
        <w:t>Si on considère les principales commémorations en Haïti, comme celle du centenaire en 1904 ou la commémoration du cent-cinquantenaire de l’Indépendance en 1954, on constate qu’elles sont inscrites dans le prolo</w:t>
      </w:r>
      <w:r w:rsidRPr="0088465E">
        <w:t>n</w:t>
      </w:r>
      <w:r w:rsidRPr="0088465E">
        <w:t>gement d’événements héroïques. Le mausolée de Nord Alexis au Gona</w:t>
      </w:r>
      <w:r w:rsidRPr="0088465E">
        <w:t>ï</w:t>
      </w:r>
      <w:r w:rsidRPr="0088465E">
        <w:t>ves et le mausolée de Magloire pour les cent-cinquantenaires, c’est encore la reprise de l’épopée. Sténio Vincent, en construisant le musée et la b</w:t>
      </w:r>
      <w:r w:rsidRPr="0088465E">
        <w:t>i</w:t>
      </w:r>
      <w:r w:rsidRPr="0088465E">
        <w:t>bliothèque nationale, veut encore transmettre la mémoire marquée par l’épopée qui a abouti à 1804. En fait, le travail de mémoire de l’esclavage réalisé en Haïti est fortement lié à l’effondrement du système esclavagiste.</w:t>
      </w:r>
    </w:p>
    <w:p w:rsidR="004C50DC" w:rsidRDefault="004C50DC" w:rsidP="004C50DC">
      <w:pPr>
        <w:pStyle w:val="Citation0c"/>
      </w:pPr>
      <w:r w:rsidRPr="0088465E">
        <w:t>(Domond, entrevue, Port-au-Prince, 26 février 2015)</w:t>
      </w:r>
    </w:p>
    <w:p w:rsidR="004C50DC" w:rsidRPr="0088465E" w:rsidRDefault="004C50DC" w:rsidP="004C50DC">
      <w:pPr>
        <w:pStyle w:val="Citation0c"/>
      </w:pPr>
    </w:p>
    <w:p w:rsidR="004C50DC" w:rsidRPr="0088465E" w:rsidRDefault="004C50DC" w:rsidP="004C50DC">
      <w:pPr>
        <w:spacing w:before="120" w:after="120"/>
        <w:jc w:val="both"/>
        <w:rPr>
          <w:lang w:eastAsia="ja-JP"/>
        </w:rPr>
      </w:pPr>
      <w:r w:rsidRPr="0088465E">
        <w:rPr>
          <w:lang w:eastAsia="ja-JP"/>
        </w:rPr>
        <w:t>Cette posture mémorielle est l’héritage d’une vision historique d</w:t>
      </w:r>
      <w:r w:rsidRPr="0088465E">
        <w:rPr>
          <w:lang w:eastAsia="ja-JP"/>
        </w:rPr>
        <w:t>é</w:t>
      </w:r>
      <w:r w:rsidRPr="0088465E">
        <w:rPr>
          <w:lang w:eastAsia="ja-JP"/>
        </w:rPr>
        <w:t>finie après l’Indépendance haïtienne de 1804 qui fait partie d’une d</w:t>
      </w:r>
      <w:r w:rsidRPr="0088465E">
        <w:rPr>
          <w:lang w:eastAsia="ja-JP"/>
        </w:rPr>
        <w:t>é</w:t>
      </w:r>
      <w:r w:rsidRPr="0088465E">
        <w:rPr>
          <w:lang w:eastAsia="ja-JP"/>
        </w:rPr>
        <w:t>marche cohérente « visant à contrer et à subvertir la construction c</w:t>
      </w:r>
      <w:r w:rsidRPr="0088465E">
        <w:rPr>
          <w:lang w:eastAsia="ja-JP"/>
        </w:rPr>
        <w:t>o</w:t>
      </w:r>
      <w:r w:rsidRPr="0088465E">
        <w:rPr>
          <w:lang w:eastAsia="ja-JP"/>
        </w:rPr>
        <w:t>loniale du passé, et à élaborer un discours historique national »</w:t>
      </w:r>
      <w:r>
        <w:rPr>
          <w:lang w:eastAsia="ja-JP"/>
        </w:rPr>
        <w:t> </w:t>
      </w:r>
      <w:r>
        <w:rPr>
          <w:rStyle w:val="Appelnotedebasdep"/>
          <w:lang w:eastAsia="ja-JP"/>
        </w:rPr>
        <w:footnoteReference w:id="979"/>
      </w:r>
      <w:r w:rsidRPr="0088465E">
        <w:rPr>
          <w:lang w:eastAsia="ja-JP"/>
        </w:rPr>
        <w:t xml:space="preserve"> fait de luttes pour la liberté et d’esprit de la victoire. </w:t>
      </w:r>
    </w:p>
    <w:p w:rsidR="004C50DC" w:rsidRDefault="004C50DC" w:rsidP="004C50DC">
      <w:pPr>
        <w:spacing w:before="120" w:after="120"/>
        <w:jc w:val="both"/>
        <w:rPr>
          <w:lang w:eastAsia="ja-JP"/>
        </w:rPr>
      </w:pPr>
      <w:bookmarkStart w:id="526" w:name="_Toc442280570"/>
      <w:r>
        <w:rPr>
          <w:lang w:eastAsia="ja-JP"/>
        </w:rPr>
        <w:t>[385]</w:t>
      </w:r>
    </w:p>
    <w:p w:rsidR="004C50DC" w:rsidRDefault="004C50DC" w:rsidP="004C50DC">
      <w:pPr>
        <w:spacing w:before="120" w:after="120"/>
        <w:jc w:val="both"/>
        <w:rPr>
          <w:lang w:eastAsia="ja-JP"/>
        </w:rPr>
      </w:pPr>
    </w:p>
    <w:p w:rsidR="004C50DC" w:rsidRPr="0088465E" w:rsidRDefault="004C50DC" w:rsidP="004C50DC">
      <w:pPr>
        <w:pStyle w:val="b"/>
        <w:rPr>
          <w:lang w:eastAsia="ja-JP"/>
        </w:rPr>
      </w:pPr>
      <w:r w:rsidRPr="0088465E">
        <w:rPr>
          <w:lang w:eastAsia="ja-JP"/>
        </w:rPr>
        <w:t>Mémoire de culpabilité</w:t>
      </w:r>
      <w:bookmarkEnd w:id="526"/>
      <w:r w:rsidRPr="0088465E">
        <w:rPr>
          <w:lang w:eastAsia="ja-JP"/>
        </w:rPr>
        <w:t> </w:t>
      </w:r>
    </w:p>
    <w:p w:rsidR="004C50DC" w:rsidRDefault="004C50DC" w:rsidP="004C50DC">
      <w:pPr>
        <w:spacing w:before="120" w:after="120"/>
        <w:jc w:val="both"/>
        <w:rPr>
          <w:lang w:eastAsia="ja-JP"/>
        </w:rPr>
      </w:pPr>
    </w:p>
    <w:p w:rsidR="004C50DC" w:rsidRPr="0088465E" w:rsidRDefault="004C50DC" w:rsidP="004C50DC">
      <w:pPr>
        <w:spacing w:before="120" w:after="120"/>
        <w:jc w:val="both"/>
        <w:rPr>
          <w:lang w:eastAsia="ja-JP"/>
        </w:rPr>
      </w:pPr>
      <w:r w:rsidRPr="0088465E">
        <w:rPr>
          <w:lang w:eastAsia="ja-JP"/>
        </w:rPr>
        <w:t>Les Haïtiens qui s’en tiennent à la mémoire de culpabilité veulent faire le travail de deuil de la mémoire douloureuse de l’esclavage. Cette attitude collective trouve une explication dans leur volonté de se construire une mémoire prestigieuse face à leur incapacité de se lib</w:t>
      </w:r>
      <w:r w:rsidRPr="0088465E">
        <w:rPr>
          <w:lang w:eastAsia="ja-JP"/>
        </w:rPr>
        <w:t>é</w:t>
      </w:r>
      <w:r w:rsidRPr="0088465E">
        <w:rPr>
          <w:lang w:eastAsia="ja-JP"/>
        </w:rPr>
        <w:t>rer de leur souffrance. Il n’y a plus de place pour des souvenirs qui rappellent la souffrance d’un peuple courageux. Alors, les Haïtiens s’installent dans le deuil. C’est la réminiscence révolutionnaire qui se transmet ou doit être transmise pour façonner le citoyen haïtien. Ad</w:t>
      </w:r>
      <w:r w:rsidRPr="0088465E">
        <w:rPr>
          <w:lang w:eastAsia="ja-JP"/>
        </w:rPr>
        <w:t>è</w:t>
      </w:r>
      <w:r w:rsidRPr="0088465E">
        <w:rPr>
          <w:lang w:eastAsia="ja-JP"/>
        </w:rPr>
        <w:t>le, 22 ans, animatrice culturelle habitant la ville des Gonaïves, a év</w:t>
      </w:r>
      <w:r w:rsidRPr="0088465E">
        <w:rPr>
          <w:lang w:eastAsia="ja-JP"/>
        </w:rPr>
        <w:t>o</w:t>
      </w:r>
      <w:r w:rsidRPr="0088465E">
        <w:rPr>
          <w:lang w:eastAsia="ja-JP"/>
        </w:rPr>
        <w:t>qué cette mémoire:</w:t>
      </w:r>
    </w:p>
    <w:p w:rsidR="004C50DC" w:rsidRDefault="004C50DC" w:rsidP="004C50DC">
      <w:pPr>
        <w:pStyle w:val="Citation0i"/>
      </w:pPr>
    </w:p>
    <w:p w:rsidR="004C50DC" w:rsidRPr="0088465E" w:rsidRDefault="004C50DC" w:rsidP="004C50DC">
      <w:pPr>
        <w:pStyle w:val="Citation0i"/>
      </w:pPr>
      <w:r w:rsidRPr="0088465E">
        <w:t>Mwen pa gen anyen pou m wè ak lesklavaj jounen jodia. Sèl sa m konnen zanzèt nou yo te aboli lesklavaj. Kounyea nou pa gen tan pou n pale de sa ankò ou fè l yon deba nan peyi a. Vye souvni sa yo p ap mennen nou okenn kote.</w:t>
      </w:r>
    </w:p>
    <w:p w:rsidR="004C50DC" w:rsidRPr="0088465E" w:rsidRDefault="004C50DC" w:rsidP="004C50DC">
      <w:pPr>
        <w:pStyle w:val="Citation0"/>
        <w:rPr>
          <w:lang w:eastAsia="ja-JP"/>
        </w:rPr>
      </w:pPr>
      <w:r w:rsidRPr="0088465E">
        <w:t>[</w:t>
      </w:r>
      <w:r w:rsidRPr="0088465E">
        <w:rPr>
          <w:lang w:eastAsia="ja-JP"/>
        </w:rPr>
        <w:t>Aujourd’hui, je ne développe aucun rapport avec l’esclavage. Je sais que mes ancêtres ont aboli l’esclavage, c’est ma seule mémoire sur ce passé. C’est tout ce que les Haïtiens doivent se rappeler. Plus de raisons de nous éterniser sur ce sujet et d’en faire un débat national. Ces mauvais souv</w:t>
      </w:r>
      <w:r w:rsidRPr="0088465E">
        <w:rPr>
          <w:lang w:eastAsia="ja-JP"/>
        </w:rPr>
        <w:t>e</w:t>
      </w:r>
      <w:r w:rsidRPr="0088465E">
        <w:rPr>
          <w:lang w:eastAsia="ja-JP"/>
        </w:rPr>
        <w:t>nirs ne nous serviront à rien.</w:t>
      </w:r>
      <w:r w:rsidRPr="0088465E">
        <w:t>]</w:t>
      </w:r>
    </w:p>
    <w:p w:rsidR="004C50DC" w:rsidRDefault="004C50DC" w:rsidP="004C50DC">
      <w:pPr>
        <w:pStyle w:val="Citation0c"/>
      </w:pPr>
      <w:r w:rsidRPr="0088465E">
        <w:t>(Adèle, entrevue, Gonaïves, 7 décembre 2013)</w:t>
      </w:r>
    </w:p>
    <w:p w:rsidR="004C50DC" w:rsidRPr="0088465E" w:rsidRDefault="004C50DC" w:rsidP="004C50DC">
      <w:pPr>
        <w:pStyle w:val="Citation0c"/>
      </w:pPr>
    </w:p>
    <w:p w:rsidR="004C50DC" w:rsidRPr="00E8358C" w:rsidRDefault="004C50DC" w:rsidP="004C50DC">
      <w:pPr>
        <w:spacing w:before="120" w:after="120"/>
        <w:jc w:val="both"/>
        <w:rPr>
          <w:b/>
          <w:lang w:eastAsia="ja-JP"/>
        </w:rPr>
      </w:pPr>
      <w:r w:rsidRPr="00E8358C">
        <w:rPr>
          <w:lang w:eastAsia="ja-JP"/>
        </w:rPr>
        <w:t>Nous décelons chez Adèle une peur d’affronter les mauvais souv</w:t>
      </w:r>
      <w:r w:rsidRPr="00E8358C">
        <w:rPr>
          <w:lang w:eastAsia="ja-JP"/>
        </w:rPr>
        <w:t>e</w:t>
      </w:r>
      <w:r w:rsidRPr="00E8358C">
        <w:rPr>
          <w:lang w:eastAsia="ja-JP"/>
        </w:rPr>
        <w:t>nirs de l’esclavage. Certes, elle est une voix parmi les milliers de c</w:t>
      </w:r>
      <w:r w:rsidRPr="00E8358C">
        <w:rPr>
          <w:lang w:eastAsia="ja-JP"/>
        </w:rPr>
        <w:t>i</w:t>
      </w:r>
      <w:r w:rsidRPr="00E8358C">
        <w:rPr>
          <w:lang w:eastAsia="ja-JP"/>
        </w:rPr>
        <w:t xml:space="preserve">toyens haïtiens qui les redoutent également. </w:t>
      </w:r>
      <w:r w:rsidRPr="00E8358C">
        <w:t>Le devoir de mémoire devient alors une contrainte qui transformerait, comme le décrit S</w:t>
      </w:r>
      <w:r w:rsidRPr="00E8358C">
        <w:t>a</w:t>
      </w:r>
      <w:r w:rsidRPr="00E8358C">
        <w:t>muel Tomei, « l’invitation à se souvenir en une sommation et la re</w:t>
      </w:r>
      <w:r w:rsidRPr="00E8358C">
        <w:t>s</w:t>
      </w:r>
      <w:r w:rsidRPr="00E8358C">
        <w:t>ponsabilisation en une culpabilisation »</w:t>
      </w:r>
      <w:r>
        <w:t> </w:t>
      </w:r>
      <w:r>
        <w:rPr>
          <w:rStyle w:val="Appelnotedebasdep"/>
        </w:rPr>
        <w:footnoteReference w:id="980"/>
      </w:r>
      <w:r w:rsidRPr="00E8358C">
        <w:t xml:space="preserve">. </w:t>
      </w:r>
      <w:r w:rsidRPr="00E8358C">
        <w:rPr>
          <w:lang w:eastAsia="ja-JP"/>
        </w:rPr>
        <w:t>Cette attitude est compar</w:t>
      </w:r>
      <w:r w:rsidRPr="00E8358C">
        <w:rPr>
          <w:lang w:eastAsia="ja-JP"/>
        </w:rPr>
        <w:t>a</w:t>
      </w:r>
      <w:r w:rsidRPr="00E8358C">
        <w:rPr>
          <w:lang w:eastAsia="ja-JP"/>
        </w:rPr>
        <w:t>ble à celle des partisans du courant de contournement qui s’approprient les bons souvenirs et en font des marqueurs d’identité. L’abolition de l’esclavage dans ce contexte a été à la fois politique, sociale et mémorielle. Le peuple haïtien se doit de rayer à jamais l’esclavage de sa mémoire.</w:t>
      </w:r>
    </w:p>
    <w:p w:rsidR="004C50DC" w:rsidRDefault="004C50DC" w:rsidP="004C50DC">
      <w:pPr>
        <w:spacing w:before="120" w:after="120"/>
        <w:jc w:val="both"/>
      </w:pPr>
      <w:r w:rsidRPr="00E8358C">
        <w:rPr>
          <w:lang w:eastAsia="ja-JP"/>
        </w:rPr>
        <w:t xml:space="preserve">Les réactions de Souffrant ne sont pas différentes de celles d’Adèle. Pour cet </w:t>
      </w:r>
      <w:r w:rsidRPr="00E8358C">
        <w:t>écrivain habitant Pétion-Ville, la mise en valeur de la mémoire de l’esclavage en Haïti peut raviver le traumatisme du sy</w:t>
      </w:r>
      <w:r w:rsidRPr="00E8358C">
        <w:t>s</w:t>
      </w:r>
      <w:r w:rsidRPr="00E8358C">
        <w:t>tème colonial esclavagiste. Il faut éviter de parler de tout sujet qui rappelle l’esclavagisme héroïquement combattu par le peuple haïtien.</w:t>
      </w:r>
    </w:p>
    <w:p w:rsidR="004C50DC" w:rsidRDefault="004C50DC" w:rsidP="004C50DC">
      <w:pPr>
        <w:spacing w:before="120" w:after="120"/>
        <w:jc w:val="both"/>
      </w:pPr>
    </w:p>
    <w:p w:rsidR="004C50DC" w:rsidRDefault="004C50DC" w:rsidP="004C50DC">
      <w:pPr>
        <w:spacing w:before="120" w:after="120"/>
        <w:jc w:val="both"/>
      </w:pPr>
      <w:r>
        <w:t>[386]</w:t>
      </w:r>
    </w:p>
    <w:p w:rsidR="004C50DC" w:rsidRDefault="004C50DC" w:rsidP="004C50DC">
      <w:pPr>
        <w:spacing w:before="120" w:after="120"/>
        <w:jc w:val="both"/>
      </w:pPr>
    </w:p>
    <w:p w:rsidR="004C50DC" w:rsidRPr="00E8358C" w:rsidRDefault="004C50DC" w:rsidP="004C50DC">
      <w:pPr>
        <w:pStyle w:val="Citation0"/>
      </w:pPr>
      <w:r w:rsidRPr="00E8358C">
        <w:t>Pour nous, parler de la mémoire de l’esclavage en Haïti a</w:t>
      </w:r>
      <w:r w:rsidRPr="00E8358C">
        <w:t>u</w:t>
      </w:r>
      <w:r w:rsidRPr="00E8358C">
        <w:t>jourd’hui, c’est accepter que l’on continue à nous taxer de ce passé. Nous ne sommes pas des descendants d’esclaves, mais d’hommes l</w:t>
      </w:r>
      <w:r w:rsidRPr="00E8358C">
        <w:t>i</w:t>
      </w:r>
      <w:r w:rsidRPr="00E8358C">
        <w:t>bres. Il serait préférable de parler dans le contexte haïtien de la m</w:t>
      </w:r>
      <w:r w:rsidRPr="00E8358C">
        <w:t>é</w:t>
      </w:r>
      <w:r w:rsidRPr="00E8358C">
        <w:t xml:space="preserve">moire de la liberté. </w:t>
      </w:r>
    </w:p>
    <w:p w:rsidR="004C50DC" w:rsidRDefault="004C50DC" w:rsidP="004C50DC">
      <w:pPr>
        <w:pStyle w:val="Citation0c"/>
      </w:pPr>
      <w:r w:rsidRPr="00E8358C">
        <w:t>(Souffrant, entrevue, Pétion-Ville, 21 janvier 2014)</w:t>
      </w:r>
    </w:p>
    <w:p w:rsidR="004C50DC" w:rsidRPr="00E8358C" w:rsidRDefault="004C50DC" w:rsidP="004C50DC">
      <w:pPr>
        <w:pStyle w:val="Citation0c"/>
      </w:pPr>
    </w:p>
    <w:p w:rsidR="004C50DC" w:rsidRPr="00E8358C" w:rsidRDefault="004C50DC" w:rsidP="004C50DC">
      <w:pPr>
        <w:spacing w:before="120" w:after="120"/>
        <w:jc w:val="both"/>
        <w:rPr>
          <w:lang w:eastAsia="ja-JP"/>
        </w:rPr>
      </w:pPr>
      <w:r w:rsidRPr="00E8358C">
        <w:rPr>
          <w:lang w:eastAsia="ja-JP"/>
        </w:rPr>
        <w:t>Dans ce discours, Souffrant se substitue au peuple haïtien en util</w:t>
      </w:r>
      <w:r w:rsidRPr="00E8358C">
        <w:rPr>
          <w:lang w:eastAsia="ja-JP"/>
        </w:rPr>
        <w:t>i</w:t>
      </w:r>
      <w:r w:rsidRPr="00E8358C">
        <w:rPr>
          <w:lang w:eastAsia="ja-JP"/>
        </w:rPr>
        <w:t>sant le « nous » pour faire comprendre que son avis est celui de la s</w:t>
      </w:r>
      <w:r w:rsidRPr="00E8358C">
        <w:rPr>
          <w:lang w:eastAsia="ja-JP"/>
        </w:rPr>
        <w:t>o</w:t>
      </w:r>
      <w:r w:rsidRPr="00E8358C">
        <w:rPr>
          <w:lang w:eastAsia="ja-JP"/>
        </w:rPr>
        <w:t xml:space="preserve">ciété haïtienne. Il est épris de la mémoire de la liberté. </w:t>
      </w:r>
      <w:r w:rsidRPr="00E8358C">
        <w:t>Les fondations historiques et mémorielles de la République d’Haïti, bâties sur la glo</w:t>
      </w:r>
      <w:r w:rsidRPr="00E8358C">
        <w:t>i</w:t>
      </w:r>
      <w:r w:rsidRPr="00E8358C">
        <w:t>re, l’héroïsme et la victoire, ont grandement contribué à alimenter ce</w:t>
      </w:r>
      <w:r w:rsidRPr="00E8358C">
        <w:t>t</w:t>
      </w:r>
      <w:r w:rsidRPr="00E8358C">
        <w:t>te « peur maladive de choisir »</w:t>
      </w:r>
      <w:r>
        <w:t> </w:t>
      </w:r>
      <w:r>
        <w:rPr>
          <w:rStyle w:val="Appelnotedebasdep"/>
        </w:rPr>
        <w:footnoteReference w:id="981"/>
      </w:r>
      <w:r w:rsidRPr="00E8358C">
        <w:t xml:space="preserve"> et de parler de la </w:t>
      </w:r>
      <w:r w:rsidRPr="00E8358C">
        <w:rPr>
          <w:lang w:eastAsia="ja-JP"/>
        </w:rPr>
        <w:t>mémoire doulo</w:t>
      </w:r>
      <w:r w:rsidRPr="00E8358C">
        <w:rPr>
          <w:lang w:eastAsia="ja-JP"/>
        </w:rPr>
        <w:t>u</w:t>
      </w:r>
      <w:r w:rsidRPr="00E8358C">
        <w:rPr>
          <w:lang w:eastAsia="ja-JP"/>
        </w:rPr>
        <w:t>reuse. Il y aurait même un « déni outrancier de la mémoire »</w:t>
      </w:r>
      <w:r>
        <w:rPr>
          <w:lang w:eastAsia="ja-JP"/>
        </w:rPr>
        <w:t> </w:t>
      </w:r>
      <w:r>
        <w:rPr>
          <w:rStyle w:val="Appelnotedebasdep"/>
          <w:lang w:eastAsia="ja-JP"/>
        </w:rPr>
        <w:footnoteReference w:id="982"/>
      </w:r>
      <w:r w:rsidRPr="00E8358C">
        <w:rPr>
          <w:lang w:eastAsia="ja-JP"/>
        </w:rPr>
        <w:t xml:space="preserve"> de l’esclavage avant l’insurrection de 1791 et la guerre d’Indépendance. Les élites dirigeantes ont tourné cette peur en leur faveur pour asseoir leur puissance et accumuler des richesses. Pour reprendre les mots de Michel Foucault, la mémoire officielle « avait essentiellement à ass</w:t>
      </w:r>
      <w:r w:rsidRPr="00E8358C">
        <w:rPr>
          <w:lang w:eastAsia="ja-JP"/>
        </w:rPr>
        <w:t>u</w:t>
      </w:r>
      <w:r w:rsidRPr="00E8358C">
        <w:rPr>
          <w:lang w:eastAsia="ja-JP"/>
        </w:rPr>
        <w:t>rer le non-oubli, c’est-à-dire le maintien de la loi et la majoration pe</w:t>
      </w:r>
      <w:r w:rsidRPr="00E8358C">
        <w:rPr>
          <w:lang w:eastAsia="ja-JP"/>
        </w:rPr>
        <w:t>r</w:t>
      </w:r>
      <w:r w:rsidRPr="00E8358C">
        <w:rPr>
          <w:lang w:eastAsia="ja-JP"/>
        </w:rPr>
        <w:t>pétuelle de l’éclat du pouvoir à mesure qu’il dure »</w:t>
      </w:r>
      <w:r>
        <w:rPr>
          <w:lang w:eastAsia="ja-JP"/>
        </w:rPr>
        <w:t> </w:t>
      </w:r>
      <w:r>
        <w:rPr>
          <w:rStyle w:val="Appelnotedebasdep"/>
          <w:lang w:eastAsia="ja-JP"/>
        </w:rPr>
        <w:footnoteReference w:id="983"/>
      </w:r>
      <w:r w:rsidRPr="00E8358C">
        <w:rPr>
          <w:lang w:eastAsia="ja-JP"/>
        </w:rPr>
        <w:t>. Aujourd’hui, l</w:t>
      </w:r>
      <w:r w:rsidRPr="0088465E">
        <w:rPr>
          <w:lang w:eastAsia="ja-JP"/>
        </w:rPr>
        <w:t xml:space="preserve">a transmission </w:t>
      </w:r>
      <w:r w:rsidRPr="00E8358C">
        <w:rPr>
          <w:lang w:eastAsia="ja-JP"/>
        </w:rPr>
        <w:t>de la mémoire de l’esclavage doit  pouvoir aider à</w:t>
      </w:r>
    </w:p>
    <w:p w:rsidR="004C50DC" w:rsidRDefault="004C50DC" w:rsidP="004C50DC">
      <w:pPr>
        <w:pStyle w:val="Citation0"/>
        <w:rPr>
          <w:lang w:eastAsia="ja-JP"/>
        </w:rPr>
      </w:pPr>
    </w:p>
    <w:p w:rsidR="004C50DC" w:rsidRDefault="004C50DC" w:rsidP="004C50DC">
      <w:pPr>
        <w:pStyle w:val="Citation0"/>
        <w:rPr>
          <w:lang w:eastAsia="ja-JP"/>
        </w:rPr>
      </w:pPr>
      <w:r w:rsidRPr="0088465E">
        <w:rPr>
          <w:lang w:eastAsia="ja-JP"/>
        </w:rPr>
        <w:t>… déterrer quelque chose qui a été caché, et qui a été caché non seulement parce que négligé, mais aussi parce que soigneusement, délibérément, m</w:t>
      </w:r>
      <w:r w:rsidRPr="0088465E">
        <w:rPr>
          <w:lang w:eastAsia="ja-JP"/>
        </w:rPr>
        <w:t>é</w:t>
      </w:r>
      <w:r w:rsidRPr="0088465E">
        <w:rPr>
          <w:lang w:eastAsia="ja-JP"/>
        </w:rPr>
        <w:t>chamment, travesti et masqué. Au fond, ce que la nouvelle histoire veut montrer, c'est que le pouvoir, les puissants, les rois, les lois, ont caché qu’ils étaient nés dans le hasard et dans l’injustice […]</w:t>
      </w:r>
      <w:r>
        <w:rPr>
          <w:lang w:eastAsia="ja-JP"/>
        </w:rPr>
        <w:t> </w:t>
      </w:r>
      <w:r>
        <w:rPr>
          <w:rStyle w:val="Appelnotedebasdep"/>
          <w:lang w:eastAsia="ja-JP"/>
        </w:rPr>
        <w:footnoteReference w:id="984"/>
      </w:r>
      <w:r w:rsidRPr="0088465E">
        <w:rPr>
          <w:lang w:eastAsia="ja-JP"/>
        </w:rPr>
        <w:t xml:space="preserve">. </w:t>
      </w:r>
    </w:p>
    <w:p w:rsidR="004C50DC" w:rsidRPr="0088465E" w:rsidRDefault="004C50DC" w:rsidP="004C50DC">
      <w:pPr>
        <w:pStyle w:val="Citation0"/>
        <w:rPr>
          <w:lang w:eastAsia="ja-JP"/>
        </w:rPr>
      </w:pPr>
    </w:p>
    <w:p w:rsidR="004C50DC" w:rsidRPr="0088465E" w:rsidRDefault="004C50DC" w:rsidP="004C50DC">
      <w:pPr>
        <w:spacing w:before="120" w:after="120"/>
        <w:jc w:val="both"/>
        <w:rPr>
          <w:lang w:eastAsia="ja-JP"/>
        </w:rPr>
      </w:pPr>
      <w:r w:rsidRPr="0088465E">
        <w:rPr>
          <w:lang w:eastAsia="ja-JP"/>
        </w:rPr>
        <w:t>Le peuple haïtien vit continuellement avec le traumatisme du passé colonial et esclavagiste. Le refus des paysans de retourner sur les pla</w:t>
      </w:r>
      <w:r w:rsidRPr="0088465E">
        <w:rPr>
          <w:lang w:eastAsia="ja-JP"/>
        </w:rPr>
        <w:t>n</w:t>
      </w:r>
      <w:r w:rsidRPr="0088465E">
        <w:rPr>
          <w:lang w:eastAsia="ja-JP"/>
        </w:rPr>
        <w:t>tations après l’Indépendance relève d’une crainte naturelle, basée sur les souvenirs douloureux et leur expérience de l’esclavage. Ce</w:t>
      </w:r>
      <w:r w:rsidRPr="0088465E">
        <w:rPr>
          <w:lang w:eastAsia="ja-JP"/>
        </w:rPr>
        <w:t>r</w:t>
      </w:r>
      <w:r w:rsidRPr="0088465E">
        <w:rPr>
          <w:lang w:eastAsia="ja-JP"/>
        </w:rPr>
        <w:t>tains Haïtiens, vu leurs conditions de vie précaires (pauvreté, domest</w:t>
      </w:r>
      <w:r w:rsidRPr="0088465E">
        <w:rPr>
          <w:lang w:eastAsia="ja-JP"/>
        </w:rPr>
        <w:t>i</w:t>
      </w:r>
      <w:r w:rsidRPr="0088465E">
        <w:rPr>
          <w:lang w:eastAsia="ja-JP"/>
        </w:rPr>
        <w:t>cité, exclusion, etc.), se remémorent des situations pénibles qui leur suggèrent une explication dans le passé esclavagiste. Ils sont témoins de leur propre situation et n’entendent pas</w:t>
      </w:r>
      <w:r>
        <w:rPr>
          <w:lang w:eastAsia="ja-JP"/>
        </w:rPr>
        <w:t xml:space="preserve"> [387]</w:t>
      </w:r>
      <w:r w:rsidRPr="0088465E">
        <w:rPr>
          <w:lang w:eastAsia="ja-JP"/>
        </w:rPr>
        <w:t xml:space="preserve"> négocier leur liberté. Chacun semble dire « j’y étais »</w:t>
      </w:r>
      <w:r>
        <w:rPr>
          <w:lang w:eastAsia="ja-JP"/>
        </w:rPr>
        <w:t> </w:t>
      </w:r>
      <w:r>
        <w:rPr>
          <w:rStyle w:val="Appelnotedebasdep"/>
          <w:lang w:eastAsia="ja-JP"/>
        </w:rPr>
        <w:footnoteReference w:id="985"/>
      </w:r>
      <w:r w:rsidRPr="0088465E">
        <w:rPr>
          <w:lang w:eastAsia="ja-JP"/>
        </w:rPr>
        <w:t xml:space="preserve"> comme le souligne Paul Ricœur. Chacun peut facilement établir le lien entre l’espace et le temps, voire vouloir dire aujourd’hui « j’y suis » encore. Donc, la crainte d’être asservie est toujours présente et entraîne souvent des réactions impr</w:t>
      </w:r>
      <w:r w:rsidRPr="0088465E">
        <w:rPr>
          <w:lang w:eastAsia="ja-JP"/>
        </w:rPr>
        <w:t>é</w:t>
      </w:r>
      <w:r w:rsidRPr="0088465E">
        <w:rPr>
          <w:lang w:eastAsia="ja-JP"/>
        </w:rPr>
        <w:t xml:space="preserve">visibles. </w:t>
      </w:r>
    </w:p>
    <w:p w:rsidR="004C50DC" w:rsidRDefault="004C50DC" w:rsidP="004C50DC">
      <w:pPr>
        <w:spacing w:before="120" w:after="120"/>
        <w:jc w:val="both"/>
      </w:pPr>
      <w:r w:rsidRPr="00E8358C">
        <w:rPr>
          <w:lang w:eastAsia="ja-JP"/>
        </w:rPr>
        <w:t>Sur un autre angle, un courant de culpabilité se dégage de plus en</w:t>
      </w:r>
      <w:r w:rsidRPr="00E8358C">
        <w:t xml:space="preserve"> plus dans la société haïtienne. Il veut que les dirigeants haïtiens soient les principaux responsables des débâcles, des dérives, du pays parce qu’ils se comportent toujours comme des citoyens gardant une volonté d’asservir. Les chaînes mentales semblent plus difficiles à briser. L’insouciance des élites dirigeantes est décriée. Le théâtre de la soci</w:t>
      </w:r>
      <w:r w:rsidRPr="00E8358C">
        <w:t>é</w:t>
      </w:r>
      <w:r w:rsidRPr="00E8358C">
        <w:t>té haïtienne joue une scène de mimétisme colonial depuis plus de deux cent quatorze ans. Dans cette situation, seraient bienvenues to</w:t>
      </w:r>
      <w:r w:rsidRPr="00E8358C">
        <w:t>u</w:t>
      </w:r>
      <w:r w:rsidRPr="00E8358C">
        <w:t>tes les réflexions consensuelles sur des actions permettant l’établissement d’un système politique et social reflétant l’idéal de la Révolution haïtienne. Souffrant attire notre attention sur cet aspect et pense qu’il incombe à l’école la responsabilité de faire le travail de mémoire pour éviter une déchéance sociétale.</w:t>
      </w:r>
    </w:p>
    <w:p w:rsidR="004C50DC" w:rsidRPr="00E8358C" w:rsidRDefault="004C50DC" w:rsidP="004C50DC">
      <w:pPr>
        <w:spacing w:before="120" w:after="120"/>
        <w:jc w:val="both"/>
      </w:pPr>
      <w:r>
        <w:br w:type="page"/>
      </w:r>
    </w:p>
    <w:p w:rsidR="004C50DC" w:rsidRPr="00E8358C" w:rsidRDefault="004C50DC" w:rsidP="004C50DC">
      <w:pPr>
        <w:pStyle w:val="Citation0"/>
      </w:pPr>
      <w:r w:rsidRPr="00E8358C">
        <w:t>L’école est un lieu à la fois d’éveil et mémoriel. Les élèves haïtiens ont suivi des cours d’histoire accentués plus sur un travail de mémor</w:t>
      </w:r>
      <w:r w:rsidRPr="00E8358C">
        <w:t>i</w:t>
      </w:r>
      <w:r w:rsidRPr="00E8358C">
        <w:t>sation des événements ou des faits historiques héroïques choisis et enseignés. Le travail historique par rapport au travail de mémoire de l’esclavage est ac</w:t>
      </w:r>
      <w:r w:rsidRPr="00E8358C">
        <w:t>a</w:t>
      </w:r>
      <w:r w:rsidRPr="00E8358C">
        <w:t>démiquement et rationnellement plus élaboré dans l’espace universitaire haïtien. Donc, il faut démocratiser les mémoires de l’esclavage dans les écoles. C’est le lieu par excellence pour tr</w:t>
      </w:r>
      <w:r w:rsidRPr="00E8358C">
        <w:t>a</w:t>
      </w:r>
      <w:r w:rsidRPr="00E8358C">
        <w:t>vailler sur le comportement des jeunes et pour instaurer la base de construction d’un espace de vivre e</w:t>
      </w:r>
      <w:r w:rsidRPr="00E8358C">
        <w:t>n</w:t>
      </w:r>
      <w:r w:rsidRPr="00E8358C">
        <w:t xml:space="preserve">semble. </w:t>
      </w:r>
    </w:p>
    <w:p w:rsidR="004C50DC" w:rsidRDefault="004C50DC" w:rsidP="004C50DC">
      <w:pPr>
        <w:pStyle w:val="Citation0c"/>
      </w:pPr>
      <w:r w:rsidRPr="00E8358C">
        <w:t>(Souffrant, entrevue, Pétion-Ville, 21 janvier 2014)</w:t>
      </w:r>
    </w:p>
    <w:p w:rsidR="004C50DC" w:rsidRPr="00E8358C" w:rsidRDefault="004C50DC" w:rsidP="004C50DC">
      <w:pPr>
        <w:pStyle w:val="Citation0c"/>
      </w:pPr>
    </w:p>
    <w:p w:rsidR="004C50DC" w:rsidRDefault="004C50DC" w:rsidP="004C50DC">
      <w:pPr>
        <w:spacing w:before="120" w:after="120"/>
        <w:jc w:val="both"/>
      </w:pPr>
      <w:r w:rsidRPr="00E8358C">
        <w:t>Les connaissances sur ces mémoires doivent être accessibles à tous pour éviter, comme le soutient Michel Foucault, « une lumière qui partage, qui éclaire d’un côté, mais laisse dans l’ombre, ou rejette dans la nuit, une autre partie du corps social »</w:t>
      </w:r>
      <w:r>
        <w:t> </w:t>
      </w:r>
      <w:r w:rsidRPr="00E8358C">
        <w:rPr>
          <w:rStyle w:val="Appelnotedebasdep"/>
        </w:rPr>
        <w:footnoteReference w:id="986"/>
      </w:r>
      <w:r w:rsidRPr="00E8358C">
        <w:t xml:space="preserve">. Sinon, la partie non éclairée éprouverait toujours la peur de faire face à </w:t>
      </w:r>
      <w:r>
        <w:t>son histoire et à ses mémoires.</w:t>
      </w:r>
    </w:p>
    <w:p w:rsidR="004C50DC" w:rsidRPr="00E8358C" w:rsidRDefault="004C50DC" w:rsidP="004C50DC">
      <w:pPr>
        <w:spacing w:before="120" w:after="120"/>
        <w:jc w:val="both"/>
      </w:pPr>
    </w:p>
    <w:p w:rsidR="004C50DC" w:rsidRPr="0088465E" w:rsidRDefault="004C50DC" w:rsidP="004C50DC">
      <w:pPr>
        <w:pStyle w:val="b"/>
      </w:pPr>
      <w:bookmarkStart w:id="527" w:name="_Toc442280571"/>
      <w:r w:rsidRPr="0088465E">
        <w:t xml:space="preserve">Mémoire de victimisation </w:t>
      </w:r>
      <w:bookmarkEnd w:id="527"/>
    </w:p>
    <w:p w:rsidR="004C50DC" w:rsidRDefault="004C50DC" w:rsidP="004C50DC">
      <w:pPr>
        <w:spacing w:before="120" w:after="120"/>
        <w:jc w:val="both"/>
      </w:pPr>
    </w:p>
    <w:p w:rsidR="004C50DC" w:rsidRPr="00E8358C" w:rsidRDefault="004C50DC" w:rsidP="004C50DC">
      <w:pPr>
        <w:spacing w:before="120" w:after="120"/>
        <w:jc w:val="both"/>
      </w:pPr>
      <w:r w:rsidRPr="00E8358C">
        <w:t>Les ancêtres haïtiens ont été victimes de l’esclavagisme. Les dommages étaient de nature</w:t>
      </w:r>
      <w:r>
        <w:t xml:space="preserve"> [388]</w:t>
      </w:r>
      <w:r w:rsidRPr="00E8358C">
        <w:t xml:space="preserve"> diverse, physique et morale. Le monde commémore aujourd’hui les victimes de l’esclavage. En Haïti, on se doit d’entamer aussi un long travail de mémoire en hommage aux esclaves. Cependant, quand le courant de victimisation se réclame des descendants d’esclaves et associe l’histoire d’Haïti principalement à la Traite négrière et à l’esclavage, il y a lieu de formuler des rése</w:t>
      </w:r>
      <w:r w:rsidRPr="00E8358C">
        <w:t>r</w:t>
      </w:r>
      <w:r w:rsidRPr="00E8358C">
        <w:t>ves. Parler de l’esclavage, contrairement à ce que soutient ce courant, ne se résume pas à adopter toujours une posture de victime. Il faut le voir comme une façon pour le peuple haïtien de transcender ce poids mémoriel, de se libérer de toutes les attitudes esclavagistes et de vivre pleinement la souveraineté. On doit signaler aussi qu’au-delà de cette reconnaissance dans la descendance des victimes de l’esclavage r</w:t>
      </w:r>
      <w:r w:rsidRPr="00E8358C">
        <w:t>e</w:t>
      </w:r>
      <w:r w:rsidRPr="00E8358C">
        <w:t xml:space="preserve">vendiquée ici, les Haïtiens se reconnaissent davantage comme des descendants d’hommes libres. </w:t>
      </w:r>
    </w:p>
    <w:p w:rsidR="004C50DC" w:rsidRPr="00E8358C" w:rsidRDefault="004C50DC" w:rsidP="004C50DC">
      <w:pPr>
        <w:spacing w:before="120" w:after="120"/>
        <w:jc w:val="both"/>
      </w:pPr>
      <w:r w:rsidRPr="00E8358C">
        <w:t>Peut-on réellement parler de victimisation pour le peuple haïtien qui est issu d’une  terre de révolte, d’une terre de marronnage et de révolution ? N’est-ce pas remettre en question la dimension mémorie</w:t>
      </w:r>
      <w:r w:rsidRPr="00E8358C">
        <w:t>l</w:t>
      </w:r>
      <w:r w:rsidRPr="00E8358C">
        <w:t>le héroïque que l’on confère au peuple haïtien ? Cet extrait d’entrevue du journaliste et écrivain Onel tente d’expliquer le bien-fondé et le sens de cette mémoire victimaire dans un contexte de « post-colonisation ».</w:t>
      </w:r>
    </w:p>
    <w:p w:rsidR="004C50DC" w:rsidRPr="00E8358C" w:rsidRDefault="004C50DC" w:rsidP="004C50DC">
      <w:pPr>
        <w:pStyle w:val="Citation0"/>
      </w:pPr>
      <w:r w:rsidRPr="00E8358C">
        <w:t>D’abord, oui, c’est possible de parler d’une mémoire victimaire en Haïti. Car le peuple se sent toujours victime par rapport aux élites d</w:t>
      </w:r>
      <w:r w:rsidRPr="00E8358C">
        <w:t>i</w:t>
      </w:r>
      <w:r w:rsidRPr="00E8358C">
        <w:t>rigeantes qui ne peuvent pas satisfaire ses revendications. Mémoire victimaire aussi, car depuis 1804, la situation est très critique et tout le monde est obligé de fixer les yeux ailleurs pour réussir à survivre, c’est donc une forme de vi</w:t>
      </w:r>
      <w:r w:rsidRPr="00E8358C">
        <w:t>c</w:t>
      </w:r>
      <w:r w:rsidRPr="00E8358C">
        <w:t>timisation. Nous gardons toujours le tra</w:t>
      </w:r>
      <w:r w:rsidRPr="00E8358C">
        <w:t>u</w:t>
      </w:r>
      <w:r w:rsidRPr="00E8358C">
        <w:t>matisme d’un passé douloureux et tragique. C’est dans ce sens que cette mémoire conduit parfois à la révo</w:t>
      </w:r>
      <w:r w:rsidRPr="00E8358C">
        <w:t>l</w:t>
      </w:r>
      <w:r w:rsidRPr="00E8358C">
        <w:t xml:space="preserve">te ; et le livre </w:t>
      </w:r>
      <w:r w:rsidRPr="00E8358C">
        <w:rPr>
          <w:i/>
        </w:rPr>
        <w:t>Quand la nation demande des comptes</w:t>
      </w:r>
      <w:r>
        <w:t> </w:t>
      </w:r>
      <w:r>
        <w:rPr>
          <w:rStyle w:val="Appelnotedebasdep"/>
        </w:rPr>
        <w:footnoteReference w:id="987"/>
      </w:r>
      <w:r w:rsidRPr="00E8358C">
        <w:t xml:space="preserve"> d’Alain Turnier peut nous éclairer en termes de revendications du peuple haïtien toujours en état de rébellion, mais aussi en quête incessante de meilleures cond</w:t>
      </w:r>
      <w:r w:rsidRPr="00E8358C">
        <w:t>i</w:t>
      </w:r>
      <w:r w:rsidRPr="00E8358C">
        <w:t xml:space="preserve">tions de vie. </w:t>
      </w:r>
    </w:p>
    <w:p w:rsidR="004C50DC" w:rsidRDefault="004C50DC" w:rsidP="004C50DC">
      <w:pPr>
        <w:pStyle w:val="Citation0c"/>
      </w:pPr>
      <w:r w:rsidRPr="00E8358C">
        <w:t>(Onel, entrevue, 10 mai 2013)</w:t>
      </w:r>
    </w:p>
    <w:p w:rsidR="004C50DC" w:rsidRPr="00E8358C" w:rsidRDefault="004C50DC" w:rsidP="004C50DC">
      <w:pPr>
        <w:pStyle w:val="Citation0c"/>
      </w:pPr>
    </w:p>
    <w:p w:rsidR="004C50DC" w:rsidRDefault="004C50DC" w:rsidP="004C50DC">
      <w:pPr>
        <w:spacing w:before="120" w:after="120"/>
        <w:jc w:val="both"/>
      </w:pPr>
      <w:r w:rsidRPr="00E8358C">
        <w:t>En quoi cette mémoire victimaire est-elle liée au passé colonial e</w:t>
      </w:r>
      <w:r w:rsidRPr="00E8358C">
        <w:t>s</w:t>
      </w:r>
      <w:r w:rsidRPr="00E8358C">
        <w:t>clavagiste ? On l’a décrit en considérant l’esclavagisme comme un passé qui guette perpétuellement les Haïtiens au point de s’incarner dans leur mémoire et de leur faire croire qu’ils sont cond</w:t>
      </w:r>
      <w:r>
        <w:t>amnés à lu</w:t>
      </w:r>
      <w:r>
        <w:t>t</w:t>
      </w:r>
      <w:r>
        <w:t>ter pour la liberté.</w:t>
      </w:r>
    </w:p>
    <w:p w:rsidR="004C50DC" w:rsidRPr="00E8358C" w:rsidRDefault="004C50DC" w:rsidP="004C50DC">
      <w:pPr>
        <w:spacing w:before="120" w:after="120"/>
        <w:jc w:val="both"/>
      </w:pPr>
      <w:r>
        <w:t>[389]</w:t>
      </w:r>
    </w:p>
    <w:p w:rsidR="004C50DC" w:rsidRPr="00E8358C" w:rsidRDefault="004C50DC" w:rsidP="004C50DC">
      <w:pPr>
        <w:pStyle w:val="Citation0"/>
      </w:pPr>
      <w:r w:rsidRPr="00E8358C">
        <w:t>Cette mémoire victimaire est liée au passé colonial et à l’esclavage, car depuis 1804, nous nous détruisons nous-mêmes et nous ne regardons j</w:t>
      </w:r>
      <w:r w:rsidRPr="00E8358C">
        <w:t>a</w:t>
      </w:r>
      <w:r w:rsidRPr="00E8358C">
        <w:t>mais en avant pour pouvoir bâtir un lendemain meilleur pour les génér</w:t>
      </w:r>
      <w:r w:rsidRPr="00E8358C">
        <w:t>a</w:t>
      </w:r>
      <w:r w:rsidRPr="00E8358C">
        <w:t>tions qui viennent. C’est toujours la destru</w:t>
      </w:r>
      <w:r w:rsidRPr="00E8358C">
        <w:t>c</w:t>
      </w:r>
      <w:r w:rsidRPr="00E8358C">
        <w:t xml:space="preserve">tion, la révolte perpétuelle. </w:t>
      </w:r>
    </w:p>
    <w:p w:rsidR="004C50DC" w:rsidRPr="00E8358C" w:rsidRDefault="004C50DC" w:rsidP="004C50DC">
      <w:pPr>
        <w:pStyle w:val="Citation0c"/>
      </w:pPr>
      <w:r w:rsidRPr="00E8358C">
        <w:t>(Onel, entrevue, 10 mai 2013)</w:t>
      </w:r>
    </w:p>
    <w:p w:rsidR="004C50DC" w:rsidRPr="00E8358C" w:rsidRDefault="004C50DC" w:rsidP="004C50DC">
      <w:pPr>
        <w:spacing w:before="120" w:after="120"/>
        <w:jc w:val="both"/>
      </w:pPr>
      <w:r w:rsidRPr="00E8358C">
        <w:t>D’un autre côté, les adeptes de la victimisation attribuent la re</w:t>
      </w:r>
      <w:r w:rsidRPr="00E8358C">
        <w:t>s</w:t>
      </w:r>
      <w:r w:rsidRPr="00E8358C">
        <w:t>ponsabilité du retard économique d’Haïti au passé colonial. Nous comprenons que le retard économique est lié en partie au paiement de la dette négociée par les Haïtiens avec la France pour la reconnaissa</w:t>
      </w:r>
      <w:r w:rsidRPr="00E8358C">
        <w:t>n</w:t>
      </w:r>
      <w:r w:rsidRPr="00E8358C">
        <w:t>ce de leur indépendance. L’histoire d’Haïti montre que la colonisation n’est pas la cause principale de son sous-développement. Les div</w:t>
      </w:r>
      <w:r w:rsidRPr="00E8358C">
        <w:t>i</w:t>
      </w:r>
      <w:r w:rsidRPr="00E8358C">
        <w:t>sions, les guerres civiles, les luttes inconditionnelles pour le contrôle du pouvoir politique, la question de la couleur épidermique et de la classe sociale, la marginalisation de la classe paysanne sont, entre a</w:t>
      </w:r>
      <w:r w:rsidRPr="00E8358C">
        <w:t>u</w:t>
      </w:r>
      <w:r w:rsidRPr="00E8358C">
        <w:t xml:space="preserve">tres, des facteurs qui, sur le plan national, constituent aussi des freins. </w:t>
      </w:r>
    </w:p>
    <w:p w:rsidR="004C50DC" w:rsidRPr="00E8358C" w:rsidRDefault="004C50DC" w:rsidP="004C50DC">
      <w:pPr>
        <w:spacing w:before="120" w:after="120"/>
        <w:jc w:val="both"/>
      </w:pPr>
      <w:r w:rsidRPr="00E8358C">
        <w:t>Certes, des faits liés aux problèmes d’Haïti peuvent être articulés autour de l’esclavage et les accusations pourront conduire à des condamnations ou à la reconnaissance de sa culpabilité par la France en reconnaissant que la Traite négrière et l’esclavage constituent des crimes contre l’humanité. Dans l’état actuel du travail de mémoire sur la traite négrière et l’esclavage transatlantique, la posture accusatrice ne semble pas non plus, jusqu’à présent, porter ses fruits. Les répar</w:t>
      </w:r>
      <w:r w:rsidRPr="00E8358C">
        <w:t>a</w:t>
      </w:r>
      <w:r w:rsidRPr="00E8358C">
        <w:t>tions matérielles se font toujours attendre. Jouer perpétuellement la victimisation, c’est accepter, quelque part, de faire du mal subi un marqueur identitaire ; or aucun peuple ne peut passer son temps à se lamenter sur son passé. Les Haïtiens doivent faire preuve du courage qu’ils ont toujours montré par le passé. Leurs ancêtres ont démontré qu’ils voulaient vivre libres et ont lutté pour la libération de la colonie de Saint-Domingue. Le « maintien de soi »</w:t>
      </w:r>
      <w:r>
        <w:t> </w:t>
      </w:r>
      <w:r w:rsidRPr="00E8358C">
        <w:rPr>
          <w:rStyle w:val="Appelnotedebasdep"/>
        </w:rPr>
        <w:footnoteReference w:id="988"/>
      </w:r>
      <w:r w:rsidRPr="00E8358C">
        <w:t>, au sens de Paul Ri</w:t>
      </w:r>
      <w:r w:rsidRPr="00E8358C">
        <w:t>c</w:t>
      </w:r>
      <w:r w:rsidRPr="00E8358C">
        <w:t>œur, sous le regard de l’autre est nécessaire aux Haïtiens pour assurer la continuité des idéaux de liberté et de défense des valeurs les plus fo</w:t>
      </w:r>
      <w:r w:rsidRPr="00E8358C">
        <w:t>n</w:t>
      </w:r>
      <w:r w:rsidRPr="00E8358C">
        <w:t>damentales de la dignité humaine. Dans cette veine, Christa, re</w:t>
      </w:r>
      <w:r w:rsidRPr="00E8358C">
        <w:t>n</w:t>
      </w:r>
      <w:r w:rsidRPr="00E8358C">
        <w:t>contrée à Tabarre, pense qu’il est temps que les Haïtiens prennent leur destin en main. Aujourd’hui, la conscience historique et mémorielle est indispensable à de nouveaux discours pédagogiques et patrim</w:t>
      </w:r>
      <w:r w:rsidRPr="00E8358C">
        <w:t>o</w:t>
      </w:r>
      <w:r w:rsidRPr="00E8358C">
        <w:t>niaux.</w:t>
      </w:r>
    </w:p>
    <w:p w:rsidR="004C50DC" w:rsidRDefault="004C50DC" w:rsidP="004C50DC">
      <w:pPr>
        <w:pStyle w:val="Citation0"/>
      </w:pPr>
    </w:p>
    <w:p w:rsidR="004C50DC" w:rsidRPr="00E8358C" w:rsidRDefault="004C50DC" w:rsidP="004C50DC">
      <w:pPr>
        <w:pStyle w:val="Citation0"/>
      </w:pPr>
      <w:r w:rsidRPr="00E8358C">
        <w:t>Il ne peut rester qu’une chose à faire. Faire comprendre à l’Autre qu’il y a une histoire, une raison à l’existence d’Haïti : vous êtes allés chercher des Noirs en Afrique, vous</w:t>
      </w:r>
      <w:r>
        <w:t xml:space="preserve"> [390]</w:t>
      </w:r>
      <w:r w:rsidRPr="00E8358C">
        <w:t xml:space="preserve"> les avez amenés dans la colonie de Saint-Domingue. Ils ont eu leur indépendance par leur sang. Il existe encore des hommes et des femmes qui sont prêts à prendre le gouvernail de ce pays.</w:t>
      </w:r>
    </w:p>
    <w:p w:rsidR="004C50DC" w:rsidRPr="00E8358C" w:rsidRDefault="004C50DC" w:rsidP="004C50DC">
      <w:pPr>
        <w:pStyle w:val="Citation0c"/>
      </w:pPr>
      <w:r w:rsidRPr="00E8358C">
        <w:t>(Christa, entrevue, Tabarre, 29 septembre 2013)</w:t>
      </w:r>
    </w:p>
    <w:p w:rsidR="004C50DC" w:rsidRDefault="004C50DC" w:rsidP="004C50DC">
      <w:pPr>
        <w:spacing w:before="120" w:after="120"/>
        <w:jc w:val="both"/>
      </w:pPr>
    </w:p>
    <w:p w:rsidR="004C50DC" w:rsidRPr="0088465E" w:rsidRDefault="004C50DC" w:rsidP="004C50DC">
      <w:pPr>
        <w:spacing w:before="120" w:after="120"/>
        <w:jc w:val="both"/>
        <w:rPr>
          <w:strike/>
        </w:rPr>
      </w:pPr>
      <w:r w:rsidRPr="0088465E">
        <w:t xml:space="preserve">Dans le courant de revendication se retrouve une bonne partie de la population haïtienne qui exige de la France des réparations pour les torts faits à ses ancêtres, et des autorités haïtiennes l’obligation d’assurer une meilleure intégration, une meilleure prise en compte des inégalités, une meilleure gestion des pouvoirs publics. En effet, c’est une réclamation du droit de disposer ou de bénéficier des bienfaits de la Révolution haïtienne. </w:t>
      </w:r>
    </w:p>
    <w:p w:rsidR="004C50DC" w:rsidRPr="00E8358C" w:rsidRDefault="004C50DC" w:rsidP="004C50DC">
      <w:pPr>
        <w:spacing w:before="120" w:after="120"/>
        <w:jc w:val="both"/>
      </w:pPr>
      <w:r w:rsidRPr="00E8358C">
        <w:t>Le courant de la mémoire de victimisation et de revendication continue d’exiger de la France, ancienne puissance coloniale, et des États-Unis d’Amérique, ancienne puissance d’occupation, des répar</w:t>
      </w:r>
      <w:r w:rsidRPr="00E8358C">
        <w:t>a</w:t>
      </w:r>
      <w:r w:rsidRPr="00E8358C">
        <w:t>tions pour les préjudices physiques et moraux infligés au peuple ha</w:t>
      </w:r>
      <w:r w:rsidRPr="00E8358C">
        <w:t>ï</w:t>
      </w:r>
      <w:r w:rsidRPr="00E8358C">
        <w:t>tien. Pour ce groupe porteur de cette mémoire, la mémoire de l’esclavage impose aujourd’hui, non seulement que les États coloni</w:t>
      </w:r>
      <w:r w:rsidRPr="00E8358C">
        <w:t>a</w:t>
      </w:r>
      <w:r w:rsidRPr="00E8358C">
        <w:t>listes et esclavagistes reconnaissent leurs torts, mais aussi que les de</w:t>
      </w:r>
      <w:r w:rsidRPr="00E8358C">
        <w:t>s</w:t>
      </w:r>
      <w:r w:rsidRPr="00E8358C">
        <w:t>cendants des victimes de l’esclavage obtiennent réparation. C’est dans cette perspective que Domond exprime sa position.</w:t>
      </w:r>
    </w:p>
    <w:p w:rsidR="004C50DC" w:rsidRDefault="004C50DC" w:rsidP="004C50DC">
      <w:pPr>
        <w:pStyle w:val="Citation0"/>
      </w:pPr>
    </w:p>
    <w:p w:rsidR="004C50DC" w:rsidRPr="00E8358C" w:rsidRDefault="004C50DC" w:rsidP="004C50DC">
      <w:pPr>
        <w:pStyle w:val="Citation0"/>
      </w:pPr>
      <w:r w:rsidRPr="00E8358C">
        <w:t>Au-delà de la dette de l’Indépendance que doit restituer la France, a</w:t>
      </w:r>
      <w:r w:rsidRPr="00E8358C">
        <w:t>u</w:t>
      </w:r>
      <w:r w:rsidRPr="00E8358C">
        <w:t xml:space="preserve">jourd’hui elle doit aussi réparer les Haïtiens pour les atrocités faites à leurs ancêtres esclaves. En effet, ils étaient astreints à vivre dans une abjection la plus totale, dans une inhumanité criante durant plus de cent ans. Les États-Unis doivent réparer également les Haïtiens pour les dix-neuf années d’occupation et d’humiliation entre 1915 et 1934. </w:t>
      </w:r>
    </w:p>
    <w:p w:rsidR="004C50DC" w:rsidRDefault="004C50DC" w:rsidP="004C50DC">
      <w:pPr>
        <w:pStyle w:val="Citation0c"/>
      </w:pPr>
      <w:r w:rsidRPr="00E8358C">
        <w:t>(Domond, entrevue, Port-au-Prince, 26 février 2015)</w:t>
      </w:r>
    </w:p>
    <w:p w:rsidR="004C50DC" w:rsidRPr="00E8358C" w:rsidRDefault="004C50DC" w:rsidP="004C50DC">
      <w:pPr>
        <w:pStyle w:val="Citation0c"/>
      </w:pPr>
    </w:p>
    <w:p w:rsidR="004C50DC" w:rsidRPr="0088465E" w:rsidRDefault="004C50DC" w:rsidP="004C50DC">
      <w:pPr>
        <w:spacing w:before="120" w:after="120"/>
        <w:jc w:val="both"/>
      </w:pPr>
      <w:bookmarkStart w:id="528" w:name="_Toc423347392"/>
      <w:bookmarkStart w:id="529" w:name="_Toc423348325"/>
      <w:bookmarkStart w:id="530" w:name="_Toc442280572"/>
      <w:r w:rsidRPr="0088465E">
        <w:t>Au fond peut-on tout attendre d’hypothétiques réparations fina</w:t>
      </w:r>
      <w:r w:rsidRPr="0088465E">
        <w:t>n</w:t>
      </w:r>
      <w:r w:rsidRPr="0088465E">
        <w:t>cières de l’ancienne métropole ? D’une certaine manière, la mémoire de victimisation et celle de culpabilité partagées dans la société ha</w:t>
      </w:r>
      <w:r w:rsidRPr="0088465E">
        <w:t>ï</w:t>
      </w:r>
      <w:r w:rsidRPr="0088465E">
        <w:t>tienne « fabrique(nt) une cohérence en instaurant un ordre intellig</w:t>
      </w:r>
      <w:r w:rsidRPr="0088465E">
        <w:t>i</w:t>
      </w:r>
      <w:r w:rsidRPr="0088465E">
        <w:t>ble »</w:t>
      </w:r>
      <w:r>
        <w:t> </w:t>
      </w:r>
      <w:r>
        <w:rPr>
          <w:rStyle w:val="Appelnotedebasdep"/>
        </w:rPr>
        <w:footnoteReference w:id="989"/>
      </w:r>
      <w:r w:rsidRPr="0088465E">
        <w:t xml:space="preserve"> derrière la réparation qui unit la plupart des Haïtiens au-delà des divergences mémorielles. Elles se soumettent, comme nous le rappelle Christine Chivallon, « à la nécessité de produire et préserver la cohésion sociale en proposant les références qui</w:t>
      </w:r>
      <w:r>
        <w:t xml:space="preserve"> [391]</w:t>
      </w:r>
      <w:r w:rsidRPr="0088465E">
        <w:t xml:space="preserve"> vont faire fondation du lien social »</w:t>
      </w:r>
      <w:r>
        <w:t> </w:t>
      </w:r>
      <w:r>
        <w:rPr>
          <w:rStyle w:val="Appelnotedebasdep"/>
        </w:rPr>
        <w:footnoteReference w:id="990"/>
      </w:r>
      <w:r w:rsidRPr="0088465E">
        <w:t>.</w:t>
      </w:r>
      <w:bookmarkEnd w:id="528"/>
      <w:bookmarkEnd w:id="529"/>
      <w:bookmarkEnd w:id="530"/>
    </w:p>
    <w:p w:rsidR="004C50DC" w:rsidRDefault="004C50DC" w:rsidP="004C50DC">
      <w:pPr>
        <w:spacing w:before="120" w:after="120"/>
        <w:jc w:val="both"/>
      </w:pPr>
      <w:bookmarkStart w:id="531" w:name="_Toc442280573"/>
    </w:p>
    <w:p w:rsidR="004C50DC" w:rsidRPr="0088465E" w:rsidRDefault="004C50DC" w:rsidP="004C50DC">
      <w:pPr>
        <w:pStyle w:val="b"/>
        <w:rPr>
          <w:shd w:val="clear" w:color="auto" w:fill="FFFFFF"/>
        </w:rPr>
      </w:pPr>
      <w:r w:rsidRPr="0088465E">
        <w:t xml:space="preserve">Mémoire </w:t>
      </w:r>
      <w:bookmarkEnd w:id="531"/>
      <w:r w:rsidRPr="0088465E">
        <w:t>de réconciliation</w:t>
      </w:r>
    </w:p>
    <w:p w:rsidR="004C50DC" w:rsidRDefault="004C50DC" w:rsidP="004C50DC">
      <w:pPr>
        <w:spacing w:before="120" w:after="120"/>
        <w:jc w:val="both"/>
      </w:pPr>
    </w:p>
    <w:p w:rsidR="004C50DC" w:rsidRPr="0088465E" w:rsidRDefault="004C50DC" w:rsidP="004C50DC">
      <w:pPr>
        <w:spacing w:before="120" w:after="120"/>
        <w:jc w:val="both"/>
      </w:pPr>
      <w:r w:rsidRPr="0088465E">
        <w:t>Le courant de valorisation d’une mémoire de l’esclavage a préd</w:t>
      </w:r>
      <w:r w:rsidRPr="0088465E">
        <w:t>o</w:t>
      </w:r>
      <w:r w:rsidRPr="0088465E">
        <w:t>miné durant ces dernières décennies en Haïti. Il est idéologiquement marqué par la volonté de l’intégrer dans le développement d’un « tourisme de mémoire ». Il est aussi encouragé par le désir de poser des jalons pour amener les Haïtiens à se réconcilier avec eux-mêmes et à accepter l’Autre. Les scientifiques, les historiens, les ethnol</w:t>
      </w:r>
      <w:r w:rsidRPr="0088465E">
        <w:t>o</w:t>
      </w:r>
      <w:r w:rsidRPr="0088465E">
        <w:t>gues… se chargeront de la partie académique. Et la société civile, en première ligne, assurera l’authenticité de l’histoire et de la mémoire transmises. La page de l’esclavage ne peut plus être tournée ou ne saurait être tournée aussi rapidement. L’argument est bien connu : « l’histoire coloniale persiste encore. La mémoire la retient toujours », affirme Clément. Les séquelles de l’histoire (les préjugés, la corru</w:t>
      </w:r>
      <w:r w:rsidRPr="0088465E">
        <w:t>p</w:t>
      </w:r>
      <w:r w:rsidRPr="0088465E">
        <w:t xml:space="preserve">tion) persistent encore. </w:t>
      </w:r>
    </w:p>
    <w:p w:rsidR="004C50DC" w:rsidRPr="0088465E" w:rsidRDefault="004C50DC" w:rsidP="004C50DC">
      <w:pPr>
        <w:spacing w:before="120" w:after="120"/>
        <w:jc w:val="both"/>
      </w:pPr>
      <w:r w:rsidRPr="0088465E">
        <w:t>Les Haïtiens continuent de transmettre les héritages culturels et s</w:t>
      </w:r>
      <w:r w:rsidRPr="0088465E">
        <w:t>o</w:t>
      </w:r>
      <w:r w:rsidRPr="0088465E">
        <w:t xml:space="preserve">ciaux issus de la colonisation esclavagiste.Qu’il s’agisse du jazz, de la musique racine, de la contredanse, du </w:t>
      </w:r>
      <w:r w:rsidRPr="0088465E">
        <w:rPr>
          <w:i/>
        </w:rPr>
        <w:t>rara</w:t>
      </w:r>
      <w:r w:rsidRPr="0088465E">
        <w:t>, de l’art culinaire, de la langue créole, du français, du vodou, de la solidarité entre les Ha</w:t>
      </w:r>
      <w:r w:rsidRPr="0088465E">
        <w:t>ï</w:t>
      </w:r>
      <w:r w:rsidRPr="0088465E">
        <w:t>tiens… leurs genèses peuvent s’expliquer par le passé colonial et e</w:t>
      </w:r>
      <w:r w:rsidRPr="0088465E">
        <w:t>s</w:t>
      </w:r>
      <w:r w:rsidRPr="0088465E">
        <w:t>clavagiste. Les habitations et les fortifications ont été en grande partie des cadres environnementaux ayant contribué à leur émergence ou à leur développement. Les Haïtiens auraient pu être des Européens ou des Asiatiques, mais il y a eu, dans un premier temps, un choc cult</w:t>
      </w:r>
      <w:r w:rsidRPr="0088465E">
        <w:t>u</w:t>
      </w:r>
      <w:r w:rsidRPr="0088465E">
        <w:t>rel, puis un métissage des cultures africaines et européennes au fil des années dans la colonie de Saint-Domingue qui ont donné une culture, un peuple, une langue, voire une ethnologie haïtienne.</w:t>
      </w:r>
    </w:p>
    <w:p w:rsidR="004C50DC" w:rsidRPr="00E8358C" w:rsidRDefault="004C50DC" w:rsidP="004C50DC">
      <w:pPr>
        <w:spacing w:before="120" w:after="120"/>
        <w:jc w:val="both"/>
      </w:pPr>
      <w:r w:rsidRPr="00E8358C">
        <w:t>Les communautés proches des sites (habitations ou fortifications) seront en première ligne. Elles seront les gardiennes des tranches de mémoire qu’elles raconteront aux visiteurs. Les citoyens seront fiers de parler de toutes les strates de leur histoire de manière professio</w:t>
      </w:r>
      <w:r w:rsidRPr="00E8358C">
        <w:t>n</w:t>
      </w:r>
      <w:r w:rsidRPr="00E8358C">
        <w:t>nelle et en toute  transparence. À ce moment, ils seront ouverts à eux-mêmes et</w:t>
      </w:r>
      <w:r>
        <w:t xml:space="preserve"> [392]</w:t>
      </w:r>
      <w:r w:rsidRPr="00E8358C">
        <w:t xml:space="preserve"> aux visiteurs. Certes, les souffrances de ce passé sont pénibles, mais Haïti n’est pas le seul pays à avoir connu l’esclavage. Maintenant, dans le cadre d’un développement d’un projet de touri</w:t>
      </w:r>
      <w:r w:rsidRPr="00E8358C">
        <w:t>s</w:t>
      </w:r>
      <w:r w:rsidRPr="00E8358C">
        <w:t>me mémoriel et pedagogique, les pratiques culturelles et les mémoires de résistance en lien avec ce passé seront mises en relief. Les souv</w:t>
      </w:r>
      <w:r w:rsidRPr="00E8358C">
        <w:t>e</w:t>
      </w:r>
      <w:r w:rsidRPr="00E8358C">
        <w:t>nirs douloureux pourront aussi enseigner l’idée de bien commun dans une Haïti patrimonialisée. Comme l’a écrit Ernest Renan, « de souv</w:t>
      </w:r>
      <w:r w:rsidRPr="00E8358C">
        <w:t>e</w:t>
      </w:r>
      <w:r w:rsidRPr="00E8358C">
        <w:t>nirs nationaux, les deuils valent mieux que des triomphes, car ils i</w:t>
      </w:r>
      <w:r w:rsidRPr="00E8358C">
        <w:t>m</w:t>
      </w:r>
      <w:r w:rsidRPr="00E8358C">
        <w:t>posent des devoirs et commandent l’effort en commun »</w:t>
      </w:r>
      <w:r>
        <w:t> </w:t>
      </w:r>
      <w:r>
        <w:rPr>
          <w:rStyle w:val="Appelnotedebasdep"/>
        </w:rPr>
        <w:footnoteReference w:id="991"/>
      </w:r>
      <w:r w:rsidRPr="00E8358C">
        <w:t>.</w:t>
      </w:r>
    </w:p>
    <w:p w:rsidR="004C50DC" w:rsidRDefault="004C50DC" w:rsidP="004C50DC">
      <w:pPr>
        <w:spacing w:before="120" w:after="120"/>
        <w:jc w:val="both"/>
      </w:pPr>
      <w:r w:rsidRPr="00E8358C">
        <w:t>La culture haïtienne, par rapport au passé colonial et esclavagiste, n’a cessé de se renouveler. Le monde lui-même se créolise avec la mondialisation. Sans nous en rendre compte, on assiste à une sorte de « métissage des êtres et des cultures ». Bientôt, il sera difficile de d</w:t>
      </w:r>
      <w:r w:rsidRPr="00E8358C">
        <w:t>é</w:t>
      </w:r>
      <w:r w:rsidRPr="00E8358C">
        <w:t>terminer le commencement d’une culture par rapport à l’autre, parce que tout rentrerait dans le syncrétisme. Avant tout, il faudrait par exemple que tout le monde ait le même train de vie, les mêmes esp</w:t>
      </w:r>
      <w:r w:rsidRPr="00E8358C">
        <w:t>é</w:t>
      </w:r>
      <w:r w:rsidRPr="00E8358C">
        <w:t>rances. Serait-il encore possible de conserver le moi tout en inventant un autre moi ? À cette question, les Haïtiens doivent trouver des m</w:t>
      </w:r>
      <w:r w:rsidRPr="00E8358C">
        <w:t>é</w:t>
      </w:r>
      <w:r w:rsidRPr="00E8358C">
        <w:t>moires conciliatrices pour intégrer le marché culturel mondial et se démarquer sur la carte de la mémoire mondiale de l’esclavage. C’est un peu sous ce jour que Sabine, habitant la ville des Gonaïves, inte</w:t>
      </w:r>
      <w:r w:rsidRPr="00E8358C">
        <w:t>r</w:t>
      </w:r>
      <w:r w:rsidRPr="00E8358C">
        <w:t xml:space="preserve">vient pour expliquer l’importance du travail des mémoires de l’esclavage et de sa mise en valeur dans le contexte social haïtien. </w:t>
      </w:r>
    </w:p>
    <w:p w:rsidR="004C50DC" w:rsidRPr="00E8358C" w:rsidRDefault="004C50DC" w:rsidP="004C50DC">
      <w:pPr>
        <w:spacing w:before="120" w:after="120"/>
        <w:jc w:val="both"/>
      </w:pPr>
      <w:r>
        <w:br w:type="page"/>
      </w:r>
    </w:p>
    <w:p w:rsidR="004C50DC" w:rsidRPr="00E8358C" w:rsidRDefault="004C50DC" w:rsidP="004C50DC">
      <w:pPr>
        <w:pStyle w:val="Citation0i"/>
      </w:pPr>
      <w:r w:rsidRPr="00E8358C">
        <w:t>Patrimwan memwa esklavaj la dwe pemèt nou fè ripti ya totalman, fè dèy la. Ou konprann pou konstwi yon bagay nouvo, fòk nou libere lespri w, aprann de sa ki pase pou konstwi yon sosyete nouvo, se prensipal objektif patrimwan esklavaj la dwe genyen dèyè l. Se sa ke nou pat rive fè aprè e</w:t>
      </w:r>
      <w:r w:rsidRPr="00E8358C">
        <w:t>n</w:t>
      </w:r>
      <w:r w:rsidRPr="00E8358C">
        <w:t xml:space="preserve">depandans lan. </w:t>
      </w:r>
    </w:p>
    <w:p w:rsidR="004C50DC" w:rsidRPr="00E8358C" w:rsidRDefault="004C50DC" w:rsidP="004C50DC">
      <w:pPr>
        <w:pStyle w:val="Citation0"/>
      </w:pPr>
      <w:r w:rsidRPr="00E8358C">
        <w:t>[Le patrimoine de la mémoire de l’esclavage doit permettre aux Haïtiens de rompre avec le passé colonial et de faire leur deuil défin</w:t>
      </w:r>
      <w:r w:rsidRPr="00E8358C">
        <w:t>i</w:t>
      </w:r>
      <w:r w:rsidRPr="00E8358C">
        <w:t>tivement. Car pour construire une nouvelle société et entamer un no</w:t>
      </w:r>
      <w:r w:rsidRPr="00E8358C">
        <w:t>u</w:t>
      </w:r>
      <w:r w:rsidRPr="00E8358C">
        <w:t>veau départ, toute la population doit apprendre de son passé. C’est le principal objectif que doit avoir tout projet de patrimonialisation des mémoires de l’esclavage en Haïti. C’est-ce que nos ancêtres n’ont pas pu faire après la proclamation de l’indépendance.]</w:t>
      </w:r>
    </w:p>
    <w:p w:rsidR="004C50DC" w:rsidRPr="00E8358C" w:rsidRDefault="004C50DC" w:rsidP="004C50DC">
      <w:pPr>
        <w:pStyle w:val="Citation0c"/>
      </w:pPr>
      <w:r w:rsidRPr="00E8358C">
        <w:t>(Sabine, entrevue, 1</w:t>
      </w:r>
      <w:r w:rsidRPr="00E8358C">
        <w:rPr>
          <w:vertAlign w:val="superscript"/>
        </w:rPr>
        <w:t>er</w:t>
      </w:r>
      <w:r w:rsidRPr="00E8358C">
        <w:t xml:space="preserve"> janvier 2014)</w:t>
      </w:r>
    </w:p>
    <w:p w:rsidR="004C50DC" w:rsidRDefault="004C50DC" w:rsidP="004C50DC">
      <w:pPr>
        <w:pStyle w:val="Citation0c"/>
      </w:pPr>
    </w:p>
    <w:p w:rsidR="004C50DC" w:rsidRDefault="004C50DC" w:rsidP="004C50DC">
      <w:pPr>
        <w:spacing w:before="120" w:after="120"/>
        <w:jc w:val="both"/>
      </w:pPr>
      <w:r w:rsidRPr="00E8358C">
        <w:t>Sabine pense qu’en patrimonialisant les mémoires en lien avec le passé esclavagiste, les</w:t>
      </w:r>
      <w:r>
        <w:t xml:space="preserve"> [393]</w:t>
      </w:r>
      <w:r w:rsidRPr="00E8358C">
        <w:t xml:space="preserve"> Haïtiens pourraient commencer à faire le deuil de ce passé. Souvent, quand on parle de la mémoire de l’esclavage en Haïti, on évoque surtout les victimes, les bourreaux coloniaux, les atrocités et les soulèvements. On occulte la vie quot</w:t>
      </w:r>
      <w:r w:rsidRPr="00E8358C">
        <w:t>i</w:t>
      </w:r>
      <w:r w:rsidRPr="00E8358C">
        <w:t>dienne des esclaves et de leurs maîtres, la mémoire de la résistance individuelle ou collective à l’esclavage, les pratiques culturelles, les formes d’adaptation cultuelle, la création linguistique, comme strat</w:t>
      </w:r>
      <w:r w:rsidRPr="00E8358C">
        <w:t>é</w:t>
      </w:r>
      <w:r w:rsidRPr="00E8358C">
        <w:t>gies d’adaptation et de combat perpétuel contre le système esclavagi</w:t>
      </w:r>
      <w:r w:rsidRPr="00E8358C">
        <w:t>s</w:t>
      </w:r>
      <w:r w:rsidRPr="00E8358C">
        <w:t>te et les pratiques gastronomiques (soupe au giraumont, etc.) qui pou</w:t>
      </w:r>
      <w:r w:rsidRPr="00E8358C">
        <w:t>r</w:t>
      </w:r>
      <w:r w:rsidRPr="00E8358C">
        <w:t>raient servir à appuyer les démarches patrimoniales du passé colonial et esclavagiste. Ces marqueurs culturels peuvent servir également à l’apprentissage du vivre ensemble et de la citoyenneté dans la société haïtienne, car ils projettent la lumière sur des faits longtemps occultés et des lieux « par excellence où se densifient les symboles de la repr</w:t>
      </w:r>
      <w:r w:rsidRPr="00E8358C">
        <w:t>é</w:t>
      </w:r>
      <w:r w:rsidRPr="00E8358C">
        <w:t>sentation communautaire »</w:t>
      </w:r>
      <w:r>
        <w:t> </w:t>
      </w:r>
      <w:r w:rsidRPr="00E8358C">
        <w:rPr>
          <w:rStyle w:val="Appelnotedebasdep"/>
        </w:rPr>
        <w:footnoteReference w:id="992"/>
      </w:r>
      <w:r w:rsidRPr="00E8358C">
        <w:t xml:space="preserve"> haïtienne. Dans ce contexte, ils s’imposeraient comme « un enjeu toujours disponible, un ensemble de stratégies, un être-là qui vaut moins par ce qu’il est que par ce que l’on en fait »</w:t>
      </w:r>
      <w:r>
        <w:t> </w:t>
      </w:r>
      <w:r w:rsidRPr="00E8358C">
        <w:rPr>
          <w:rStyle w:val="Appelnotedebasdep"/>
        </w:rPr>
        <w:footnoteReference w:id="993"/>
      </w:r>
      <w:r w:rsidRPr="00E8358C">
        <w:t>, pour repre</w:t>
      </w:r>
      <w:r>
        <w:t>ndre les termes de Pierre Nora.</w:t>
      </w:r>
    </w:p>
    <w:p w:rsidR="004C50DC" w:rsidRPr="00E8358C" w:rsidRDefault="004C50DC" w:rsidP="004C50DC">
      <w:pPr>
        <w:spacing w:before="120" w:after="120"/>
        <w:jc w:val="both"/>
      </w:pPr>
    </w:p>
    <w:p w:rsidR="004C50DC" w:rsidRPr="00E8358C" w:rsidRDefault="004C50DC" w:rsidP="004C50DC">
      <w:pPr>
        <w:pStyle w:val="planche"/>
      </w:pPr>
      <w:bookmarkStart w:id="532" w:name="_Toc442280574"/>
      <w:bookmarkStart w:id="533" w:name="Memoire_chap_VII_2"/>
      <w:r w:rsidRPr="00E8358C">
        <w:t>7.2. Polémiques autour des mémoires</w:t>
      </w:r>
      <w:r>
        <w:br/>
      </w:r>
      <w:r w:rsidRPr="00E8358C">
        <w:t>de l’esclavage en Haïti et enjeux</w:t>
      </w:r>
      <w:r>
        <w:br/>
      </w:r>
      <w:r w:rsidRPr="00E8358C">
        <w:t>d’une patrimonialis</w:t>
      </w:r>
      <w:r w:rsidRPr="00E8358C">
        <w:t>a</w:t>
      </w:r>
      <w:r w:rsidRPr="00E8358C">
        <w:t>tion</w:t>
      </w:r>
      <w:bookmarkEnd w:id="532"/>
    </w:p>
    <w:bookmarkEnd w:id="533"/>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La mise en patrimoine des mémoires de l’esclavage suscite des p</w:t>
      </w:r>
      <w:r w:rsidRPr="00E8358C">
        <w:t>o</w:t>
      </w:r>
      <w:r w:rsidRPr="00E8358C">
        <w:t>lémiques au sein de la société haïtienne. Les discours consignés dans les ouvrages et ceux des participants à notre enquête s’inscrivent dans des polémiques anticolonialistes et antiesclavagistes, des polémiques antiségrégationnistes, et nourrissent les débats anticorruption et contre la domination des élites. Ces enjeux ne sont pas les moindres. Prenons le rythme sur les quatre principaux groupes conçus pour situer nos propos : enjeux historiques et mnémoniques, enjeux culturels et rel</w:t>
      </w:r>
      <w:r w:rsidRPr="00E8358C">
        <w:t>i</w:t>
      </w:r>
      <w:r w:rsidRPr="00E8358C">
        <w:t>gieux, enjeux sociaux et politiques, et enjeux économiques. Ces e</w:t>
      </w:r>
      <w:r w:rsidRPr="00E8358C">
        <w:t>n</w:t>
      </w:r>
      <w:r w:rsidRPr="00E8358C">
        <w:t xml:space="preserve">jeux permettent d’évaluer l’importance d’une analyse des catégories de mémoires de l’esclavage dans la société haïtienne. Ainsi, il convient d’interroger les polémiques et les enjeux afin d’identifier les freins et de déceler les pistes probables qui </w:t>
      </w:r>
      <w:r>
        <w:t xml:space="preserve">[394] </w:t>
      </w:r>
      <w:r w:rsidRPr="00E8358C">
        <w:t xml:space="preserve">pourront orienter les réflexions et les actions vers la mise en patrimoine des mémoires de l’esclavage.  </w:t>
      </w:r>
    </w:p>
    <w:p w:rsidR="004C50DC" w:rsidRDefault="004C50DC" w:rsidP="004C50DC">
      <w:pPr>
        <w:spacing w:before="120" w:after="120"/>
        <w:jc w:val="both"/>
      </w:pPr>
      <w:bookmarkStart w:id="534" w:name="_Toc442280575"/>
    </w:p>
    <w:p w:rsidR="004C50DC" w:rsidRDefault="004C50DC" w:rsidP="004C50DC">
      <w:pPr>
        <w:pStyle w:val="a"/>
      </w:pPr>
      <w:r w:rsidRPr="00E8358C">
        <w:t>7.2.1. Présentation et examen des polémiques</w:t>
      </w:r>
      <w:bookmarkEnd w:id="534"/>
    </w:p>
    <w:p w:rsidR="004C50DC" w:rsidRPr="00E8358C" w:rsidRDefault="004C50DC" w:rsidP="004C50DC">
      <w:pPr>
        <w:spacing w:before="120" w:after="120"/>
        <w:jc w:val="both"/>
      </w:pPr>
    </w:p>
    <w:p w:rsidR="004C50DC" w:rsidRPr="0088465E" w:rsidRDefault="004C50DC" w:rsidP="004C50DC">
      <w:pPr>
        <w:pStyle w:val="b"/>
      </w:pPr>
      <w:bookmarkStart w:id="535" w:name="_Toc442280576"/>
      <w:r w:rsidRPr="0088465E">
        <w:t>Polémiques anticolonialistes et antiesclavagistes</w:t>
      </w:r>
      <w:bookmarkEnd w:id="535"/>
    </w:p>
    <w:p w:rsidR="004C50DC" w:rsidRDefault="004C50DC" w:rsidP="004C50DC">
      <w:pPr>
        <w:spacing w:before="120" w:after="120"/>
        <w:jc w:val="both"/>
      </w:pPr>
    </w:p>
    <w:p w:rsidR="004C50DC" w:rsidRPr="00E8358C" w:rsidRDefault="004C50DC" w:rsidP="004C50DC">
      <w:pPr>
        <w:spacing w:before="120" w:after="120"/>
        <w:jc w:val="both"/>
      </w:pPr>
      <w:r w:rsidRPr="00E8358C">
        <w:t>Les polémiques dites anticolonialistes sont alimentées par la con</w:t>
      </w:r>
      <w:r w:rsidRPr="00E8358C">
        <w:t>s</w:t>
      </w:r>
      <w:r w:rsidRPr="00E8358C">
        <w:t>cience souverainiste et indépendantiste des Haïtiens pour assumer la création de la première République noire  et continuer à défendre leur révolution antiesclavagiste. Elles prennent en compte les discours construits dans une approche postcoloniale. La question relative à la réparation des préjudices, des crimes dont ont été victimes le peuple haïtien et tous les autres peuples réduits en esclavage, est soulevée. Aujourd’hui, la diabolisation du système colonial s’explique à cause de son influence permanente dans la gestion de l’État haïtien. Or selon Leslie François Manigat :</w:t>
      </w:r>
    </w:p>
    <w:p w:rsidR="004C50DC" w:rsidRDefault="004C50DC" w:rsidP="004C50DC">
      <w:pPr>
        <w:pStyle w:val="Citation0"/>
      </w:pPr>
    </w:p>
    <w:p w:rsidR="004C50DC" w:rsidRDefault="004C50DC" w:rsidP="004C50DC">
      <w:pPr>
        <w:pStyle w:val="Citation0"/>
      </w:pPr>
      <w:r w:rsidRPr="00E8358C">
        <w:t>Le rôle de l’Haïtien est capital quand il s’agit des rapports avec l’étranger. Mais c’est ce rôle qui s’est effacé. C’est ce rôle qui n’existe pas. [...] J’entends des patriotes parler d’ingérence, je souris. Car il n’y a même pas d’ingérence : « </w:t>
      </w:r>
      <w:r w:rsidRPr="00E8358C">
        <w:rPr>
          <w:i/>
        </w:rPr>
        <w:t>se chwal papa, nan jaden papa </w:t>
      </w:r>
      <w:r w:rsidRPr="00E8358C">
        <w:t>» (C’est le cheval de mon père dans son jardin)</w:t>
      </w:r>
      <w:r>
        <w:t> </w:t>
      </w:r>
      <w:r>
        <w:rPr>
          <w:rStyle w:val="Appelnotedebasdep"/>
        </w:rPr>
        <w:footnoteReference w:id="994"/>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Dans ce débat, le colon est encore présent dans l'imaginaire ha</w:t>
      </w:r>
      <w:r w:rsidRPr="00E8358C">
        <w:t>ï</w:t>
      </w:r>
      <w:r w:rsidRPr="00E8358C">
        <w:t xml:space="preserve">tien. Il est représenté par la figure du « Blanc » et de ses représentants nationaux. Le mal de la colonisation semble faire encore souffrir le peuple haïtien qui n’a pas pu commémorer le bicentenaire de l’Indépendance en 2004. Pour de nombreux citoyens comme Parnel, 28 ans, </w:t>
      </w:r>
      <w:r w:rsidRPr="00E8358C">
        <w:rPr>
          <w:lang w:eastAsia="fr-FR"/>
        </w:rPr>
        <w:t xml:space="preserve">étudiant de la Faculté d’ethnologie, </w:t>
      </w:r>
      <w:r w:rsidRPr="00E8358C">
        <w:t xml:space="preserve">les troubles politiques de 2003 étaient l’œuvre des États colonisateurs (France, États-Unis…) voulant occuper Haïti. </w:t>
      </w:r>
      <w:r w:rsidRPr="00E8358C">
        <w:rPr>
          <w:lang w:eastAsia="fr-FR"/>
        </w:rPr>
        <w:t xml:space="preserve">Cet élan patriotique a marqué tout l’entretien tenu le 26 juillet 2014 à Port-au-Prince: </w:t>
      </w:r>
    </w:p>
    <w:p w:rsidR="004C50DC" w:rsidRDefault="004C50DC" w:rsidP="004C50DC">
      <w:pPr>
        <w:spacing w:before="120" w:after="120"/>
        <w:jc w:val="both"/>
        <w:rPr>
          <w:szCs w:val="22"/>
          <w:lang w:eastAsia="fr-FR"/>
        </w:rPr>
      </w:pPr>
    </w:p>
    <w:p w:rsidR="004C50DC" w:rsidRPr="00E8358C" w:rsidRDefault="004C50DC" w:rsidP="004C50DC">
      <w:pPr>
        <w:pStyle w:val="Citation0"/>
        <w:rPr>
          <w:lang w:eastAsia="fr-FR"/>
        </w:rPr>
      </w:pPr>
      <w:r w:rsidRPr="00E8358C">
        <w:rPr>
          <w:lang w:eastAsia="fr-FR"/>
        </w:rPr>
        <w:t>Le peuple haïtien n’a pas pu célébrer dignement le bicentenaire de l’Indépendance nationale, le 1</w:t>
      </w:r>
      <w:r w:rsidRPr="00E8358C">
        <w:rPr>
          <w:vertAlign w:val="superscript"/>
          <w:lang w:eastAsia="fr-FR"/>
        </w:rPr>
        <w:t>er</w:t>
      </w:r>
      <w:r w:rsidRPr="00E8358C">
        <w:rPr>
          <w:lang w:eastAsia="fr-FR"/>
        </w:rPr>
        <w:t xml:space="preserve"> janvier 2004. On a pu observer, le 29 f</w:t>
      </w:r>
      <w:r w:rsidRPr="00E8358C">
        <w:rPr>
          <w:lang w:eastAsia="fr-FR"/>
        </w:rPr>
        <w:t>é</w:t>
      </w:r>
      <w:r w:rsidRPr="00E8358C">
        <w:rPr>
          <w:lang w:eastAsia="fr-FR"/>
        </w:rPr>
        <w:t>vrier 2004, au départ du président Jean-Bertrand Aristide, que les forces d’occupation françaises et américaines étaient déjà sur le territoire nati</w:t>
      </w:r>
      <w:r w:rsidRPr="00E8358C">
        <w:rPr>
          <w:lang w:eastAsia="fr-FR"/>
        </w:rPr>
        <w:t>o</w:t>
      </w:r>
      <w:r w:rsidRPr="00E8358C">
        <w:rPr>
          <w:lang w:eastAsia="fr-FR"/>
        </w:rPr>
        <w:t>nal. L’idée fondamentale de la cérémonie du Bois-Caïman</w:t>
      </w:r>
      <w:r>
        <w:rPr>
          <w:lang w:eastAsia="fr-FR"/>
        </w:rPr>
        <w:t xml:space="preserve"> [395]</w:t>
      </w:r>
      <w:r w:rsidRPr="00E8358C">
        <w:rPr>
          <w:lang w:eastAsia="fr-FR"/>
        </w:rPr>
        <w:t xml:space="preserve"> doit tenir encore aujourd’hui. Au moment où la « force étrang</w:t>
      </w:r>
      <w:r w:rsidRPr="00E8358C">
        <w:rPr>
          <w:lang w:eastAsia="fr-FR"/>
        </w:rPr>
        <w:t>è</w:t>
      </w:r>
      <w:r w:rsidRPr="00E8358C">
        <w:rPr>
          <w:lang w:eastAsia="fr-FR"/>
        </w:rPr>
        <w:t>re »</w:t>
      </w:r>
      <w:r>
        <w:rPr>
          <w:lang w:eastAsia="fr-FR"/>
        </w:rPr>
        <w:t> </w:t>
      </w:r>
      <w:r w:rsidRPr="00E8358C">
        <w:rPr>
          <w:rStyle w:val="Appelnotedebasdep"/>
          <w:szCs w:val="22"/>
          <w:lang w:eastAsia="fr-FR"/>
        </w:rPr>
        <w:footnoteReference w:id="995"/>
      </w:r>
      <w:r w:rsidRPr="00E8358C">
        <w:rPr>
          <w:lang w:eastAsia="fr-FR"/>
        </w:rPr>
        <w:t xml:space="preserve"> multinationale est présente en Haïti. Il est urgent de faire nôtre le message de </w:t>
      </w:r>
      <w:r w:rsidRPr="00E8358C">
        <w:rPr>
          <w:iCs/>
          <w:lang w:eastAsia="fr-FR"/>
        </w:rPr>
        <w:t>Boukman</w:t>
      </w:r>
      <w:r w:rsidRPr="00E8358C">
        <w:rPr>
          <w:lang w:eastAsia="fr-FR"/>
        </w:rPr>
        <w:t xml:space="preserve"> qui invite à l’unité et qui nous fait obligation de reconquérir notre souv</w:t>
      </w:r>
      <w:r w:rsidRPr="00E8358C">
        <w:rPr>
          <w:lang w:eastAsia="fr-FR"/>
        </w:rPr>
        <w:t>e</w:t>
      </w:r>
      <w:r w:rsidRPr="00E8358C">
        <w:rPr>
          <w:lang w:eastAsia="fr-FR"/>
        </w:rPr>
        <w:t>raineté nationale, et de la préserver.</w:t>
      </w:r>
    </w:p>
    <w:p w:rsidR="004C50DC" w:rsidRDefault="004C50DC" w:rsidP="004C50DC">
      <w:pPr>
        <w:pStyle w:val="Citation0c"/>
      </w:pPr>
      <w:r w:rsidRPr="00E8358C">
        <w:t>(Parnel, entrevue, Port-au-Prince, 26 juillet 2014)</w:t>
      </w:r>
    </w:p>
    <w:p w:rsidR="004C50DC" w:rsidRPr="00E8358C" w:rsidRDefault="004C50DC" w:rsidP="004C50DC">
      <w:pPr>
        <w:pStyle w:val="Citation0"/>
      </w:pPr>
    </w:p>
    <w:p w:rsidR="004C50DC" w:rsidRPr="00E8358C" w:rsidRDefault="004C50DC" w:rsidP="004C50DC">
      <w:pPr>
        <w:spacing w:before="120" w:after="120"/>
        <w:jc w:val="both"/>
        <w:rPr>
          <w:lang w:eastAsia="fr-FR"/>
        </w:rPr>
      </w:pPr>
      <w:r w:rsidRPr="00E8358C">
        <w:t>Les élites politiques et économiques ne perçoivent pas le passé e</w:t>
      </w:r>
      <w:r w:rsidRPr="00E8358C">
        <w:t>s</w:t>
      </w:r>
      <w:r w:rsidRPr="00E8358C">
        <w:t>clavagiste de la même façon que la masse populaire. Les intérêts éc</w:t>
      </w:r>
      <w:r w:rsidRPr="00E8358C">
        <w:t>o</w:t>
      </w:r>
      <w:r w:rsidRPr="00E8358C">
        <w:t>nomiques motivent souvent leur comportement. L’inquiétude porte aussi sur la sélection mémorielle et l’abus dans la transmission de la mémoire de l’esclavage en Haïti. L’idée de l’instrumentalisation de l’histoire d’Haïti est évoquée. Bayyinah Bello, professeure à la F</w:t>
      </w:r>
      <w:r w:rsidRPr="00E8358C">
        <w:t>a</w:t>
      </w:r>
      <w:r w:rsidRPr="00E8358C">
        <w:t>culté d’ethnologie, donne sa réponse. Elle met la jeunesse en garde contre certains textes écrits par des écrivains encore au service du sy</w:t>
      </w:r>
      <w:r w:rsidRPr="00E8358C">
        <w:t>s</w:t>
      </w:r>
      <w:r w:rsidRPr="00E8358C">
        <w:t>tème colonial.</w:t>
      </w:r>
    </w:p>
    <w:p w:rsidR="004C50DC" w:rsidRDefault="004C50DC" w:rsidP="004C50DC">
      <w:pPr>
        <w:pStyle w:val="Citation0"/>
      </w:pPr>
    </w:p>
    <w:p w:rsidR="004C50DC" w:rsidRDefault="004C50DC" w:rsidP="004C50DC">
      <w:pPr>
        <w:pStyle w:val="Citation0"/>
      </w:pPr>
      <w:r w:rsidRPr="00E8358C">
        <w:t>L’histoire qu’on enseigne à nos enfants à l’école est trafiquée et très in</w:t>
      </w:r>
      <w:r w:rsidRPr="00E8358C">
        <w:t>s</w:t>
      </w:r>
      <w:r w:rsidRPr="00E8358C">
        <w:t>trumentalisée. Il faut faire attention. Plusieurs pages de cette histoire ont été écrites par des descendants de colonisateurs ou par des écrivains enc</w:t>
      </w:r>
      <w:r w:rsidRPr="00E8358C">
        <w:t>o</w:t>
      </w:r>
      <w:r w:rsidRPr="00E8358C">
        <w:t>re au service du système esclavagiste. Les textes ne peuvent pas aider les jeunes d’Haïti à découvrir et à apprécier leur histoire. Ils ne font que véh</w:t>
      </w:r>
      <w:r w:rsidRPr="00E8358C">
        <w:t>i</w:t>
      </w:r>
      <w:r w:rsidRPr="00E8358C">
        <w:t>culer des messages qui visent, dans la plupart des cas, à diaboliser certains héros de la Révolution haïtienne comme Jean-Jacques Dessalines</w:t>
      </w:r>
      <w:r>
        <w:t> </w:t>
      </w:r>
      <w:r>
        <w:rPr>
          <w:rStyle w:val="Appelnotedebasdep"/>
        </w:rPr>
        <w:footnoteReference w:id="996"/>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L’abus de mémoire est systématique, car cette histoire instrume</w:t>
      </w:r>
      <w:r w:rsidRPr="00E8358C">
        <w:t>n</w:t>
      </w:r>
      <w:r w:rsidRPr="00E8358C">
        <w:t>talisée, écrite par les descendants des esclavagistes, est aussi ense</w:t>
      </w:r>
      <w:r w:rsidRPr="00E8358C">
        <w:t>i</w:t>
      </w:r>
      <w:r w:rsidRPr="00E8358C">
        <w:t>gnée à l’école. De ce point de vue, l’enjeu se situe dans la crainte de perdre des éléments essentiels de l’identité du peuple haïtien. La m</w:t>
      </w:r>
      <w:r w:rsidRPr="00E8358C">
        <w:t>é</w:t>
      </w:r>
      <w:r w:rsidRPr="00E8358C">
        <w:t xml:space="preserve">moire collective risque de devenir contradictoire et anachronique par la profusion de mémoires inventées d’un côté, et par les mémoires discriminées ou occultées de l’autre. </w:t>
      </w:r>
    </w:p>
    <w:p w:rsidR="004C50DC" w:rsidRPr="00E8358C" w:rsidRDefault="004C50DC" w:rsidP="004C50DC">
      <w:pPr>
        <w:spacing w:before="120" w:after="120"/>
        <w:jc w:val="both"/>
      </w:pPr>
      <w:r w:rsidRPr="00E8358C">
        <w:t>La question anticolonialiste s’est posée dès la création de l’État haïtien. Elle est au centre de la définition de la société haïtienne. La destruction des sites et des lieux, « </w:t>
      </w:r>
      <w:r w:rsidRPr="00E8358C">
        <w:rPr>
          <w:i/>
        </w:rPr>
        <w:t>Koupe tèt, boule kay</w:t>
      </w:r>
      <w:r w:rsidRPr="00E8358C">
        <w:t> » (couper les têtes et brûler les maisons) ordonnée par Jean-Jacques Dessalines, fo</w:t>
      </w:r>
      <w:r w:rsidRPr="00E8358C">
        <w:t>r</w:t>
      </w:r>
      <w:r w:rsidRPr="00E8358C">
        <w:t>cée certes par l’invasion étrangère, et les silences sur des mémoires en lien avec le passé colonial et esclavagiste attestaient la volonté des Haïtiens de rester fidèles à leurs idéaux souverainistes. Une révision de l’enseignement des représentations de la traite négrière et</w:t>
      </w:r>
      <w:r>
        <w:t xml:space="preserve"> [396]</w:t>
      </w:r>
      <w:r w:rsidRPr="00E8358C">
        <w:t xml:space="preserve"> de l’esclavage serait établie pour gérer les rapports sociaux.</w:t>
      </w:r>
    </w:p>
    <w:p w:rsidR="004C50DC" w:rsidRPr="00E8358C" w:rsidRDefault="004C50DC" w:rsidP="004C50DC">
      <w:pPr>
        <w:spacing w:before="120" w:after="120"/>
        <w:jc w:val="both"/>
        <w:rPr>
          <w:shd w:val="clear" w:color="auto" w:fill="FFFFFF"/>
        </w:rPr>
      </w:pPr>
      <w:r w:rsidRPr="00E8358C">
        <w:t>Les polémiques antiesclavagistes vont plus loin. Elles interrogent l’organisation même de la société haïtienne. Elles sont de mieux en mieux comprises. La hiérarchisation sociale est tellement évidente depuis 1804 qu’elle fait penser à la hiérarchisation de la société col</w:t>
      </w:r>
      <w:r w:rsidRPr="00E8358C">
        <w:t>o</w:t>
      </w:r>
      <w:r w:rsidRPr="00E8358C">
        <w:t>niale et esclavagiste de Saint-Domingue qui, selon Moreau de Saint-Méry, était « divisée en treize classes distinctes et fondée sur les nuances de la couleur de peau allant du noir au blanc »</w:t>
      </w:r>
      <w:r>
        <w:t> </w:t>
      </w:r>
      <w:r>
        <w:rPr>
          <w:rStyle w:val="Appelnotedebasdep"/>
        </w:rPr>
        <w:footnoteReference w:id="997"/>
      </w:r>
      <w:r w:rsidRPr="00E8358C">
        <w:rPr>
          <w:shd w:val="clear" w:color="auto" w:fill="FFFFFF"/>
        </w:rPr>
        <w:t xml:space="preserve">. </w:t>
      </w:r>
    </w:p>
    <w:p w:rsidR="004C50DC" w:rsidRPr="00E8358C" w:rsidRDefault="004C50DC" w:rsidP="004C50DC">
      <w:pPr>
        <w:spacing w:before="120" w:after="120"/>
        <w:jc w:val="both"/>
      </w:pPr>
      <w:r w:rsidRPr="00E8358C">
        <w:t>Les conditions de vie quotidienne de nombreux citoyens haïtiens font douter aujourd’hui des notions de liberté, de respect de la dignité et des Droits de l’Homme fortement défendus dans la Révolution de 1804. Ils ne veulent pas s’identifier comme descendants d’esclaves, car la liberté a eu raison des atrocités qu’ils ne veulent plus revivre. Ces citoyens poursuivent, malgré eux, la lutte contre les élites dir</w:t>
      </w:r>
      <w:r w:rsidRPr="00E8358C">
        <w:t>i</w:t>
      </w:r>
      <w:r w:rsidRPr="00E8358C">
        <w:t xml:space="preserve">geantes qui tardent à réaliser les réformes sociales réclamées. Ainsi les questions antiesclavagistes et anticolonialistes servent-elles d’appui aux luttes contre l’oppression, l’exploitation et l’exclusion de la masse paysanne. À ce sujet, Fanfan, étudiant, note que : </w:t>
      </w:r>
    </w:p>
    <w:p w:rsidR="004C50DC" w:rsidRDefault="004C50DC" w:rsidP="004C50DC">
      <w:pPr>
        <w:pStyle w:val="Citation0"/>
      </w:pPr>
    </w:p>
    <w:p w:rsidR="004C50DC" w:rsidRPr="00E8358C" w:rsidRDefault="004C50DC" w:rsidP="004C50DC">
      <w:pPr>
        <w:pStyle w:val="Citation0"/>
      </w:pPr>
      <w:r w:rsidRPr="00E8358C">
        <w:t>En Haïti aujourd’hui, la lutte aboutit à une impasse. L’État escl</w:t>
      </w:r>
      <w:r w:rsidRPr="00E8358C">
        <w:t>a</w:t>
      </w:r>
      <w:r w:rsidRPr="00E8358C">
        <w:t>vagiste est renversé au profit d’un État néocolonialiste. Les anciens marrons devie</w:t>
      </w:r>
      <w:r w:rsidRPr="00E8358C">
        <w:t>n</w:t>
      </w:r>
      <w:r w:rsidRPr="00E8358C">
        <w:t>nent de nouveaux colonisés et les dirigeants des a</w:t>
      </w:r>
      <w:r w:rsidRPr="00E8358C">
        <w:t>c</w:t>
      </w:r>
      <w:r w:rsidRPr="00E8358C">
        <w:t>tuels colonisateurs.</w:t>
      </w:r>
    </w:p>
    <w:p w:rsidR="004C50DC" w:rsidRDefault="004C50DC" w:rsidP="004C50DC">
      <w:pPr>
        <w:pStyle w:val="Citation0c"/>
      </w:pPr>
      <w:r w:rsidRPr="00E8358C">
        <w:t>(Fanfan, entrevue, 26 mars 2013)</w:t>
      </w:r>
    </w:p>
    <w:p w:rsidR="004C50DC" w:rsidRPr="00E8358C" w:rsidRDefault="004C50DC" w:rsidP="004C50DC">
      <w:pPr>
        <w:pStyle w:val="Citation0c"/>
      </w:pPr>
    </w:p>
    <w:p w:rsidR="004C50DC" w:rsidRDefault="004C50DC" w:rsidP="004C50DC">
      <w:pPr>
        <w:spacing w:before="120" w:after="120"/>
        <w:jc w:val="both"/>
      </w:pPr>
      <w:bookmarkStart w:id="536" w:name="_Toc442280577"/>
      <w:bookmarkStart w:id="537" w:name="_Toc423347397"/>
      <w:bookmarkStart w:id="538" w:name="_Toc423348330"/>
      <w:r w:rsidRPr="00154B95">
        <w:t>L’enjeu social de la mise en patrimoine des mémoires de l’esclavage est visible. Il étayera le passé colonial et renouvellera le sens de la Révolution haïtienne. Des stratégies pour « capter » et pour intégrer la patrimonialisation dans une perspective de « régulation s</w:t>
      </w:r>
      <w:r w:rsidRPr="00154B95">
        <w:t>o</w:t>
      </w:r>
      <w:r w:rsidRPr="00154B95">
        <w:t>ciale »</w:t>
      </w:r>
      <w:r>
        <w:t> </w:t>
      </w:r>
      <w:r>
        <w:rPr>
          <w:rStyle w:val="Appelnotedebasdep"/>
        </w:rPr>
        <w:footnoteReference w:id="998"/>
      </w:r>
      <w:r w:rsidRPr="00154B95">
        <w:t xml:space="preserve"> devraient être envisagées.</w:t>
      </w:r>
      <w:bookmarkEnd w:id="536"/>
      <w:bookmarkEnd w:id="537"/>
      <w:bookmarkEnd w:id="538"/>
    </w:p>
    <w:p w:rsidR="004C50DC" w:rsidRPr="00154B95" w:rsidRDefault="004C50DC" w:rsidP="004C50DC">
      <w:pPr>
        <w:spacing w:before="120" w:after="120"/>
        <w:jc w:val="both"/>
      </w:pPr>
      <w:r>
        <w:br w:type="page"/>
      </w:r>
    </w:p>
    <w:p w:rsidR="004C50DC" w:rsidRPr="00154B95" w:rsidRDefault="004C50DC" w:rsidP="004C50DC">
      <w:pPr>
        <w:pStyle w:val="b"/>
      </w:pPr>
      <w:bookmarkStart w:id="539" w:name="_Toc442280578"/>
      <w:r w:rsidRPr="00154B95">
        <w:t>Polémiques antiségrégationnistes</w:t>
      </w:r>
      <w:bookmarkEnd w:id="539"/>
    </w:p>
    <w:p w:rsidR="004C50DC" w:rsidRDefault="004C50DC" w:rsidP="004C50DC">
      <w:pPr>
        <w:spacing w:before="120" w:after="120"/>
        <w:jc w:val="both"/>
      </w:pPr>
    </w:p>
    <w:p w:rsidR="004C50DC" w:rsidRPr="00E8358C" w:rsidRDefault="004C50DC" w:rsidP="004C50DC">
      <w:pPr>
        <w:spacing w:before="120" w:after="120"/>
        <w:jc w:val="both"/>
      </w:pPr>
      <w:r w:rsidRPr="00E8358C">
        <w:t>Le système colonial esclavagiste était surtout fondé sur les préj</w:t>
      </w:r>
      <w:r w:rsidRPr="00E8358C">
        <w:t>u</w:t>
      </w:r>
      <w:r w:rsidRPr="00E8358C">
        <w:t>gés de couleur. Avec la</w:t>
      </w:r>
      <w:r>
        <w:t xml:space="preserve"> [397]</w:t>
      </w:r>
      <w:r w:rsidRPr="00E8358C">
        <w:t xml:space="preserve"> Révolution haïtienne, le noir s’impose comme la couleur épidermique de la liberté</w:t>
      </w:r>
      <w:r>
        <w:t> </w:t>
      </w:r>
      <w:r>
        <w:rPr>
          <w:rStyle w:val="Appelnotedebasdep"/>
        </w:rPr>
        <w:footnoteReference w:id="999"/>
      </w:r>
      <w:r w:rsidRPr="00E8358C">
        <w:t>. La Constitution de 1805</w:t>
      </w:r>
      <w:r>
        <w:t> </w:t>
      </w:r>
      <w:r w:rsidRPr="00E8358C">
        <w:rPr>
          <w:rStyle w:val="Appelnotedebasdep"/>
        </w:rPr>
        <w:footnoteReference w:id="1000"/>
      </w:r>
      <w:r w:rsidRPr="00E8358C">
        <w:t xml:space="preserve"> consacre la couleur « noire » comme étant celle de tous les Ha</w:t>
      </w:r>
      <w:r w:rsidRPr="00E8358C">
        <w:t>ï</w:t>
      </w:r>
      <w:r w:rsidRPr="00E8358C">
        <w:t>tiens. Aujourd’hui, la société haïtienne se trouve confrontée aux obstacles de la couleur de peau qui animent souvent des tensions s</w:t>
      </w:r>
      <w:r w:rsidRPr="00E8358C">
        <w:t>o</w:t>
      </w:r>
      <w:r w:rsidRPr="00E8358C">
        <w:t>ciales et politiques. L’héritage des discriminations coloniales est un piège dans lequel sont tombés les citoyens haïtiens malgré le modèle rép</w:t>
      </w:r>
      <w:r w:rsidRPr="00E8358C">
        <w:t>u</w:t>
      </w:r>
      <w:r w:rsidRPr="00E8358C">
        <w:t>blicain adopté. La question de couleur a ses racines dans les schèmes mentaux des affranchis mulâtres et noirs. Le modèle blanc était cons</w:t>
      </w:r>
      <w:r w:rsidRPr="00E8358C">
        <w:t>i</w:t>
      </w:r>
      <w:r w:rsidRPr="00E8358C">
        <w:t xml:space="preserve">déré comme le modèle référentiel pour les deux groupes d’affranchis. Les « Mulâtres » voulaient se rapprocher du « Blanc » par la peau, tandis que les « Noirs » voulaient ressembler au « Blanc » par la culture. </w:t>
      </w:r>
    </w:p>
    <w:p w:rsidR="004C50DC" w:rsidRPr="00E8358C" w:rsidRDefault="004C50DC" w:rsidP="004C50DC">
      <w:pPr>
        <w:spacing w:before="120" w:after="120"/>
        <w:jc w:val="both"/>
      </w:pPr>
      <w:r w:rsidRPr="00E8358C">
        <w:t>Les polémiques antiségrégationnistes montrent que certains Ha</w:t>
      </w:r>
      <w:r w:rsidRPr="00E8358C">
        <w:t>ï</w:t>
      </w:r>
      <w:r w:rsidRPr="00E8358C">
        <w:t>tiens n’ont pas encore totalement brisé les barrières du préjugé de co</w:t>
      </w:r>
      <w:r w:rsidRPr="00E8358C">
        <w:t>u</w:t>
      </w:r>
      <w:r w:rsidRPr="00E8358C">
        <w:t>leur. Le préjugé se perpétue même s’il est parfois latent. La perception des gens, l’histoire enseignée, la représentation du paysan par les im</w:t>
      </w:r>
      <w:r w:rsidRPr="00E8358C">
        <w:t>a</w:t>
      </w:r>
      <w:r w:rsidRPr="00E8358C">
        <w:t>ges et les textes nourrissent un impensé ségrégationniste. Domond, avec lequel nous avons pu nous entretenir au début du chapitre, fait une comparaison entre le temps des Duvalier et aujourd’hui pour év</w:t>
      </w:r>
      <w:r w:rsidRPr="00E8358C">
        <w:t>o</w:t>
      </w:r>
      <w:r w:rsidRPr="00E8358C">
        <w:t>quer l’évolution du ségrégationnisme sous la forme du préjugé de co</w:t>
      </w:r>
      <w:r w:rsidRPr="00E8358C">
        <w:t>u</w:t>
      </w:r>
      <w:r w:rsidRPr="00E8358C">
        <w:t>leur dans la société haïtienne.</w:t>
      </w:r>
    </w:p>
    <w:p w:rsidR="004C50DC" w:rsidRDefault="004C50DC" w:rsidP="004C50DC">
      <w:pPr>
        <w:pStyle w:val="Citation0"/>
      </w:pPr>
    </w:p>
    <w:p w:rsidR="004C50DC" w:rsidRPr="00E8358C" w:rsidRDefault="004C50DC" w:rsidP="004C50DC">
      <w:pPr>
        <w:pStyle w:val="Citation0"/>
      </w:pPr>
      <w:r w:rsidRPr="00E8358C">
        <w:t>Jusqu’à Jean-Claude Duvalier, un mulâtre et un noir pouvaient se re</w:t>
      </w:r>
      <w:r w:rsidRPr="00E8358C">
        <w:t>n</w:t>
      </w:r>
      <w:r w:rsidRPr="00E8358C">
        <w:t>contrer à l’Université d’État d’Haïti. Aujourd’hui, le fils ou la fille du M</w:t>
      </w:r>
      <w:r w:rsidRPr="00E8358C">
        <w:t>u</w:t>
      </w:r>
      <w:r w:rsidRPr="00E8358C">
        <w:t>lâtre cherche à se démarquer du fils du Noir. Il ne fréquente plus l’UEH (Université d’État d’Haïti) et opte surtout pour les unive</w:t>
      </w:r>
      <w:r w:rsidRPr="00E8358C">
        <w:t>r</w:t>
      </w:r>
      <w:r w:rsidRPr="00E8358C">
        <w:t>sités étrangères. Le Mulâtre ne tolère pas d’être pauvre. Il fuit les lieux que fréquentent les couches populaires et les pauvres. Cette att</w:t>
      </w:r>
      <w:r w:rsidRPr="00E8358C">
        <w:t>i</w:t>
      </w:r>
      <w:r w:rsidRPr="00E8358C">
        <w:t xml:space="preserve">tude explique quelque part les dérives du président Michel-Joseph Martelly qui croit pouvoir sauver une partie de la bourgeoisie mulâtre très endettée, voire appauvrie. </w:t>
      </w:r>
    </w:p>
    <w:p w:rsidR="004C50DC" w:rsidRPr="00E8358C" w:rsidRDefault="004C50DC" w:rsidP="004C50DC">
      <w:pPr>
        <w:pStyle w:val="Citation0c"/>
      </w:pPr>
      <w:r w:rsidRPr="00E8358C">
        <w:t>(Domond, entrevue, Port-au-Prince, 26 février 2015)</w:t>
      </w:r>
    </w:p>
    <w:p w:rsidR="004C50DC" w:rsidRDefault="004C50DC" w:rsidP="004C50DC">
      <w:pPr>
        <w:pStyle w:val="Citation0"/>
      </w:pPr>
    </w:p>
    <w:p w:rsidR="004C50DC" w:rsidRPr="00E8358C" w:rsidRDefault="004C50DC" w:rsidP="004C50DC">
      <w:pPr>
        <w:spacing w:before="120" w:after="120"/>
        <w:jc w:val="both"/>
      </w:pPr>
      <w:r w:rsidRPr="00E8358C">
        <w:t>Les polémiques antiségrégationnistes présentent un enjeu identita</w:t>
      </w:r>
      <w:r w:rsidRPr="00E8358C">
        <w:t>i</w:t>
      </w:r>
      <w:r w:rsidRPr="00E8358C">
        <w:t>re. Depuis son</w:t>
      </w:r>
      <w:r>
        <w:t xml:space="preserve"> [398]</w:t>
      </w:r>
      <w:r w:rsidRPr="00E8358C">
        <w:t xml:space="preserve"> indépendance, la question de la nuance épide</w:t>
      </w:r>
      <w:r w:rsidRPr="00E8358C">
        <w:t>r</w:t>
      </w:r>
      <w:r w:rsidRPr="00E8358C">
        <w:t>mique a ralenti la marche d’Haïti vers le développement. Souvent, les élites politiques mettent face-à-face une population pauvre, à majorité « noire » et une minorité de « Mulâtres» pour la plupart gestionnaires désignés de l’État et du pôle économique. C’est un signe qui montre que le passé colonial hante encore les Haïtiens. Cette minorité, d’après la théorie de l’identité sociale, a une volonté fondamentale de se di</w:t>
      </w:r>
      <w:r w:rsidRPr="00E8358C">
        <w:t>s</w:t>
      </w:r>
      <w:r w:rsidRPr="00E8358C">
        <w:t>tinguer des autres, de maximiser sa différence psychologique, en l’occurrence par la dimension ethnique</w:t>
      </w:r>
      <w:r>
        <w:t> </w:t>
      </w:r>
      <w:r w:rsidRPr="00E8358C">
        <w:rPr>
          <w:rStyle w:val="Appelnotedebasdep"/>
        </w:rPr>
        <w:footnoteReference w:id="1001"/>
      </w:r>
      <w:r w:rsidRPr="00E8358C">
        <w:t>.</w:t>
      </w:r>
    </w:p>
    <w:p w:rsidR="004C50DC" w:rsidRDefault="004C50DC" w:rsidP="004C50DC">
      <w:pPr>
        <w:spacing w:before="120" w:after="120"/>
        <w:jc w:val="both"/>
      </w:pPr>
      <w:r w:rsidRPr="00E8358C">
        <w:t>La patrimonialisation des mémoires de l’esclavage peut-elle contribuer à renverser les barrières de ces préjugés ? Quand on sait que le patrimoine contribue au vivre- ensemble des populations, il y a lieu de l’encourager, d’autant plus que beaucoup d’Haïtiens réitèrent leur volonté de faire tomber les barrières discriminatoires. Les Mul</w:t>
      </w:r>
      <w:r w:rsidRPr="00E8358C">
        <w:t>â</w:t>
      </w:r>
      <w:r w:rsidRPr="00E8358C">
        <w:t>tres et les Noirs doivent toujours s’entendre et se parler, car leur exi</w:t>
      </w:r>
      <w:r w:rsidRPr="00E8358C">
        <w:t>s</w:t>
      </w:r>
      <w:r w:rsidRPr="00E8358C">
        <w:t xml:space="preserve">tence sur le territoire haïtien se construit à partir de leur union pour combattre l’esclavage. Donc, ils partagent tous les deux, bien que d’une manière différente, des mémoires de l’esclavage dans la société. </w:t>
      </w:r>
    </w:p>
    <w:p w:rsidR="004C50DC" w:rsidRPr="00E8358C" w:rsidRDefault="004C50DC" w:rsidP="004C50DC">
      <w:pPr>
        <w:spacing w:before="120" w:after="120"/>
        <w:jc w:val="both"/>
      </w:pPr>
    </w:p>
    <w:p w:rsidR="004C50DC" w:rsidRPr="00450E07" w:rsidRDefault="004C50DC" w:rsidP="004C50DC">
      <w:pPr>
        <w:pStyle w:val="b"/>
      </w:pPr>
      <w:bookmarkStart w:id="540" w:name="_Toc442280579"/>
      <w:r w:rsidRPr="00450E07">
        <w:t>Débats anticorruption</w:t>
      </w:r>
      <w:r>
        <w:br/>
      </w:r>
      <w:r w:rsidRPr="00450E07">
        <w:t>et contre la domination des élites</w:t>
      </w:r>
      <w:bookmarkEnd w:id="540"/>
    </w:p>
    <w:p w:rsidR="004C50DC" w:rsidRDefault="004C50DC" w:rsidP="004C50DC">
      <w:pPr>
        <w:spacing w:before="120" w:after="120"/>
        <w:jc w:val="both"/>
      </w:pPr>
    </w:p>
    <w:p w:rsidR="004C50DC" w:rsidRPr="00E8358C" w:rsidRDefault="004C50DC" w:rsidP="004C50DC">
      <w:pPr>
        <w:spacing w:before="120" w:after="120"/>
        <w:jc w:val="both"/>
      </w:pPr>
      <w:r w:rsidRPr="00E8358C">
        <w:t>Les convulsions politiques d’après 1804 jusqu’à aujourd’hui ont créé un espace favorable à la corruption en Haïti. Il est à constater que la conquête du pouvoir politique devient, de plus en plus, un moyen de dilapider les caisses publiques et de ressembler aux anciens pr</w:t>
      </w:r>
      <w:r w:rsidRPr="00E8358C">
        <w:t>o</w:t>
      </w:r>
      <w:r w:rsidRPr="00E8358C">
        <w:t>priétaires-colons. Cet « apprentissage vicariant », terme cher à Albert Bandura</w:t>
      </w:r>
      <w:r>
        <w:t> </w:t>
      </w:r>
      <w:r>
        <w:rPr>
          <w:rStyle w:val="Appelnotedebasdep"/>
        </w:rPr>
        <w:footnoteReference w:id="1002"/>
      </w:r>
      <w:r w:rsidRPr="00E8358C">
        <w:t xml:space="preserve"> (1977), se perpétue dans la société haïtienne. L’État est d</w:t>
      </w:r>
      <w:r w:rsidRPr="00E8358C">
        <w:t>e</w:t>
      </w:r>
      <w:r w:rsidRPr="00E8358C">
        <w:t>venu une propriété gérée au profit du groupe au pouvoir. Malgré les luttes contre la corruption menées par des organismes publics comme l’Unité centrale des renseignements financiers (UCREF)</w:t>
      </w:r>
      <w:r>
        <w:t> </w:t>
      </w:r>
      <w:r>
        <w:rPr>
          <w:rStyle w:val="Appelnotedebasdep"/>
        </w:rPr>
        <w:footnoteReference w:id="1003"/>
      </w:r>
      <w:r w:rsidRPr="00E8358C">
        <w:t xml:space="preserve"> et</w:t>
      </w:r>
      <w:r>
        <w:t xml:space="preserve"> [399]</w:t>
      </w:r>
      <w:r w:rsidRPr="00E8358C">
        <w:t xml:space="preserve"> l’Unité de luttecontre la corruption (ULCC)</w:t>
      </w:r>
      <w:r>
        <w:t> </w:t>
      </w:r>
      <w:r>
        <w:rPr>
          <w:rStyle w:val="Appelnotedebasdep"/>
        </w:rPr>
        <w:footnoteReference w:id="1004"/>
      </w:r>
      <w:r w:rsidRPr="00E8358C">
        <w:t>, la société haïtienne et les institutions semblent gangrénées par la corruption, la cupidité et la soif d’enrichissement. Il existe toujours cette conception coloniale qui fait croire qu’il faut piller au maximum les caisses publiques pour a</w:t>
      </w:r>
      <w:r w:rsidRPr="00E8358C">
        <w:t>l</w:t>
      </w:r>
      <w:r w:rsidRPr="00E8358C">
        <w:t>ler thésauriser dans des banques étrangères. Haïti reste un pays de transit pour les élites dirigeantes qui ne veulent satisfaire que leur a</w:t>
      </w:r>
      <w:r w:rsidRPr="00E8358C">
        <w:t>p</w:t>
      </w:r>
      <w:r w:rsidRPr="00E8358C">
        <w:t>pétit. Elles sont même prêtes à toutes les ignominies.</w:t>
      </w:r>
    </w:p>
    <w:p w:rsidR="004C50DC" w:rsidRPr="00E8358C" w:rsidRDefault="004C50DC" w:rsidP="004C50DC">
      <w:pPr>
        <w:spacing w:before="120" w:after="120"/>
        <w:jc w:val="both"/>
      </w:pPr>
      <w:r w:rsidRPr="00E8358C">
        <w:t>La conception d’anticorruption apparaît comme une volonté de préserver les richesses nationales et de les partager équitablement. E</w:t>
      </w:r>
      <w:r w:rsidRPr="00E8358C">
        <w:t>l</w:t>
      </w:r>
      <w:r w:rsidRPr="00E8358C">
        <w:t>le se méfie du pillage comme au temps de la colonie. Il faut voir Haïti comme un bien commun, un patrimoine à conserver et à mettre en v</w:t>
      </w:r>
      <w:r w:rsidRPr="00E8358C">
        <w:t>a</w:t>
      </w:r>
      <w:r w:rsidRPr="00E8358C">
        <w:t>leur. L’aspect collectif est primordial. C’est dans le but de sauvega</w:t>
      </w:r>
      <w:r w:rsidRPr="00E8358C">
        <w:t>r</w:t>
      </w:r>
      <w:r w:rsidRPr="00E8358C">
        <w:t>der et de maintenir le symbolisme de 1804 qu’il faut chercher à co</w:t>
      </w:r>
      <w:r w:rsidRPr="00E8358C">
        <w:t>m</w:t>
      </w:r>
      <w:r w:rsidRPr="00E8358C">
        <w:t>prendre les prises de position contre la corruption dont témoigne D</w:t>
      </w:r>
      <w:r w:rsidRPr="00E8358C">
        <w:t>o</w:t>
      </w:r>
      <w:r w:rsidRPr="00E8358C">
        <w:t>mond.</w:t>
      </w:r>
    </w:p>
    <w:p w:rsidR="004C50DC" w:rsidRDefault="004C50DC" w:rsidP="004C50DC">
      <w:pPr>
        <w:pStyle w:val="Citation0"/>
      </w:pPr>
    </w:p>
    <w:p w:rsidR="004C50DC" w:rsidRPr="00E8358C" w:rsidRDefault="004C50DC" w:rsidP="004C50DC">
      <w:pPr>
        <w:pStyle w:val="Citation0"/>
      </w:pPr>
      <w:r w:rsidRPr="00E8358C">
        <w:t>Aujourd’hui, je pense que le peuple haïtien doit faire de la bataille contre la corruption une réponse contre le système esclavagiste. Les élites dir</w:t>
      </w:r>
      <w:r w:rsidRPr="00E8358C">
        <w:t>i</w:t>
      </w:r>
      <w:r w:rsidRPr="00E8358C">
        <w:t>geantes ont été toujours marquées au fer rouge de la corru</w:t>
      </w:r>
      <w:r w:rsidRPr="00E8358C">
        <w:t>p</w:t>
      </w:r>
      <w:r w:rsidRPr="00E8358C">
        <w:t>tion. Dans le spectre des intérêts économiques, la démocratie et la liberté sont verroui</w:t>
      </w:r>
      <w:r w:rsidRPr="00E8358C">
        <w:t>l</w:t>
      </w:r>
      <w:r w:rsidRPr="00E8358C">
        <w:t>lées par le silence dans la société haïtienne. La course au dollar et le pill</w:t>
      </w:r>
      <w:r w:rsidRPr="00E8358C">
        <w:t>a</w:t>
      </w:r>
      <w:r w:rsidRPr="00E8358C">
        <w:t>ge des richesses du pays peuvent être également étudiés comme un hérit</w:t>
      </w:r>
      <w:r w:rsidRPr="00E8358C">
        <w:t>a</w:t>
      </w:r>
      <w:r w:rsidRPr="00E8358C">
        <w:t>ge colonial. Chaque homme politique veut imposer une image du colon en accumulant sans répit de la r</w:t>
      </w:r>
      <w:r w:rsidRPr="00E8358C">
        <w:t>i</w:t>
      </w:r>
      <w:r w:rsidRPr="00E8358C">
        <w:t>chesse. Il faut que les Haïtiens s’engagent à combattre perpétuell</w:t>
      </w:r>
      <w:r w:rsidRPr="00E8358C">
        <w:t>e</w:t>
      </w:r>
      <w:r w:rsidRPr="00E8358C">
        <w:t>ment cette corruption pour éviter le pire et pour conserver l’esprit de la Révolution haïtienne.</w:t>
      </w:r>
    </w:p>
    <w:p w:rsidR="004C50DC" w:rsidRDefault="004C50DC" w:rsidP="004C50DC">
      <w:pPr>
        <w:pStyle w:val="Citation0c"/>
      </w:pPr>
      <w:r w:rsidRPr="00E8358C">
        <w:t>(Domond, entrevue, Port-au-Prince, 26 février 2015)</w:t>
      </w:r>
    </w:p>
    <w:p w:rsidR="004C50DC" w:rsidRPr="00E8358C" w:rsidRDefault="004C50DC" w:rsidP="004C50DC">
      <w:pPr>
        <w:pStyle w:val="Citation0c"/>
      </w:pPr>
    </w:p>
    <w:p w:rsidR="004C50DC" w:rsidRPr="00E8358C" w:rsidRDefault="004C50DC" w:rsidP="004C50DC">
      <w:pPr>
        <w:spacing w:before="120" w:after="120"/>
        <w:jc w:val="both"/>
      </w:pPr>
      <w:r w:rsidRPr="00E8358C">
        <w:t>Les luttes contre la domination des hauts placés se développent dans les rapports de classe (les possédants et les non-possédants) au sein de la société haïtienne. Les élites dirigeantes se distinguent au sommet de l’échelle sociale haïtienne en accaparant le pouvoir polit</w:t>
      </w:r>
      <w:r w:rsidRPr="00E8358C">
        <w:t>i</w:t>
      </w:r>
      <w:r w:rsidRPr="00E8358C">
        <w:t>que au détriment de la classe moyenne, de la masse paysanne et des pauvres. Elles mènent une lutte anti-hégémonique décriée publiqu</w:t>
      </w:r>
      <w:r w:rsidRPr="00E8358C">
        <w:t>e</w:t>
      </w:r>
      <w:r w:rsidRPr="00E8358C">
        <w:t>ment. Sur ce sujet, Souffrant nous fait part de ses impressions.</w:t>
      </w:r>
    </w:p>
    <w:p w:rsidR="004C50DC" w:rsidRDefault="004C50DC" w:rsidP="004C50DC">
      <w:pPr>
        <w:pStyle w:val="Citation0"/>
      </w:pPr>
    </w:p>
    <w:p w:rsidR="004C50DC" w:rsidRPr="00E8358C" w:rsidRDefault="004C50DC" w:rsidP="004C50DC">
      <w:pPr>
        <w:pStyle w:val="Citation0"/>
      </w:pPr>
      <w:r w:rsidRPr="00E8358C">
        <w:t>Depuis la création de la République d’Haïti, il y a un groupe d’hommes et de femmes qui veulent construire une hégémonie de classe et asseoir leur puissance sur l’ensemble du pays. Ces hommes et ces femmes se prése</w:t>
      </w:r>
      <w:r w:rsidRPr="00E8358C">
        <w:t>n</w:t>
      </w:r>
      <w:r w:rsidRPr="00E8358C">
        <w:t>tent comme les nouveaux</w:t>
      </w:r>
      <w:r>
        <w:t xml:space="preserve"> [400]</w:t>
      </w:r>
      <w:r w:rsidRPr="00E8358C">
        <w:t xml:space="preserve"> colons qui tiennent les masses populaires dans l’esclavage et la misère. Ils ont une obsession de pouvoir et de dom</w:t>
      </w:r>
      <w:r w:rsidRPr="00E8358C">
        <w:t>i</w:t>
      </w:r>
      <w:r w:rsidRPr="00E8358C">
        <w:t>nation. La masse paysanne est la principale victime de cette attitude dom</w:t>
      </w:r>
      <w:r w:rsidRPr="00E8358C">
        <w:t>i</w:t>
      </w:r>
      <w:r w:rsidRPr="00E8358C">
        <w:t>natrice. Je pense que dans la compréhension de l’idéal révolutionnaire, il ne devrait pas y avoir de groupe social dominant, encore moins de dom</w:t>
      </w:r>
      <w:r w:rsidRPr="00E8358C">
        <w:t>i</w:t>
      </w:r>
      <w:r w:rsidRPr="00E8358C">
        <w:t>nés.</w:t>
      </w:r>
    </w:p>
    <w:p w:rsidR="004C50DC" w:rsidRDefault="004C50DC" w:rsidP="004C50DC">
      <w:pPr>
        <w:pStyle w:val="Citation0c"/>
      </w:pPr>
      <w:r w:rsidRPr="00E8358C">
        <w:t>(Souffrant, entrevue, Pétion-Ville, 21 janvier 2014)</w:t>
      </w:r>
    </w:p>
    <w:p w:rsidR="004C50DC" w:rsidRPr="00E8358C" w:rsidRDefault="004C50DC" w:rsidP="004C50DC">
      <w:pPr>
        <w:pStyle w:val="Citation0"/>
      </w:pPr>
    </w:p>
    <w:p w:rsidR="004C50DC" w:rsidRDefault="004C50DC" w:rsidP="004C50DC">
      <w:pPr>
        <w:spacing w:before="120" w:after="120"/>
        <w:jc w:val="both"/>
      </w:pPr>
      <w:r w:rsidRPr="00E8358C">
        <w:t>Il est important de saisir que le passé colonial esclavagiste est au centre de ces débats. L’esprit de domination serait établi pour assurer une continuité coloniale dans la gestion du pays. Il faut dire que les élites dirigeantes haïtiennes ne se reconnaissent pas ouvertement  comme étant de « nouveaux colons », comme en témoigne Souffrant. Toutefois, leur attitude envers la population p</w:t>
      </w:r>
      <w:r>
        <w:t>eut inspirer cette appe</w:t>
      </w:r>
      <w:r>
        <w:t>l</w:t>
      </w:r>
      <w:r>
        <w:t>lation.</w:t>
      </w:r>
    </w:p>
    <w:p w:rsidR="004C50DC" w:rsidRPr="00E8358C" w:rsidRDefault="004C50DC" w:rsidP="004C50DC">
      <w:pPr>
        <w:spacing w:before="120" w:after="120"/>
        <w:jc w:val="both"/>
      </w:pPr>
    </w:p>
    <w:p w:rsidR="004C50DC" w:rsidRPr="00E8358C" w:rsidRDefault="004C50DC" w:rsidP="004C50DC">
      <w:pPr>
        <w:pStyle w:val="a"/>
      </w:pPr>
      <w:bookmarkStart w:id="541" w:name="_Toc442280580"/>
      <w:r w:rsidRPr="00E8358C">
        <w:t>7.2.2. Identification des enjeux</w:t>
      </w:r>
      <w:bookmarkEnd w:id="541"/>
    </w:p>
    <w:p w:rsidR="004C50DC" w:rsidRDefault="004C50DC" w:rsidP="004C50DC">
      <w:pPr>
        <w:spacing w:before="120" w:after="120"/>
        <w:jc w:val="both"/>
      </w:pPr>
    </w:p>
    <w:p w:rsidR="004C50DC" w:rsidRDefault="004C50DC" w:rsidP="004C50DC">
      <w:pPr>
        <w:spacing w:before="120" w:after="120"/>
        <w:jc w:val="both"/>
      </w:pPr>
      <w:r w:rsidRPr="00E8358C">
        <w:t>En Haïti, le débat public sur l’esclavage expose les divergences mémorielles. Même le passé glorieux ne fait pas l’unanimité. Il est normal que la manière de percevoir les mémoires de l’esclavage soit différente d’une classe sociale à une autre ou d’une idéologie politique à une autre, et que leur appropriation soit aussi motivée par les int</w:t>
      </w:r>
      <w:r w:rsidRPr="00E8358C">
        <w:t>é</w:t>
      </w:r>
      <w:r w:rsidRPr="00E8358C">
        <w:t>rêts. Il est également évident que la question de la mémoire de l’esclavage est un sujet important, mais sa patrimonialisation est co</w:t>
      </w:r>
      <w:r w:rsidRPr="00E8358C">
        <w:t>m</w:t>
      </w:r>
      <w:r w:rsidRPr="00E8358C">
        <w:t>pliquée. Le consensus mémoriel n’est pas facile à établir car les so</w:t>
      </w:r>
      <w:r w:rsidRPr="00E8358C">
        <w:t>u</w:t>
      </w:r>
      <w:r w:rsidRPr="00E8358C">
        <w:t>venirs glorieux et les mémoires douloureuses de l’esclavage forment un héritage commun inscrit dans la mémoire collective haïtienne. Plus le citoyen haïtien continue à négliger ses mémoires de l’esclavage, plus les conséquences de l’esclavage seront désastreuses. Les tensions mémorielles sont des signes de l’importance accordée au passé col</w:t>
      </w:r>
      <w:r w:rsidRPr="00E8358C">
        <w:t>o</w:t>
      </w:r>
      <w:r w:rsidRPr="00E8358C">
        <w:t>nial esclavagiste. Les conflits de mémoires peuvent être vus comme une volonté de créer ce consensus mémoriel pour cons</w:t>
      </w:r>
      <w:r>
        <w:t>truire un di</w:t>
      </w:r>
      <w:r>
        <w:t>s</w:t>
      </w:r>
      <w:r>
        <w:t>cours rassembleur.</w:t>
      </w:r>
    </w:p>
    <w:p w:rsidR="004C50DC" w:rsidRPr="00E8358C" w:rsidRDefault="004C50DC" w:rsidP="004C50DC">
      <w:pPr>
        <w:spacing w:before="120" w:after="120"/>
        <w:jc w:val="both"/>
      </w:pPr>
    </w:p>
    <w:p w:rsidR="004C50DC" w:rsidRPr="00450E07" w:rsidRDefault="004C50DC" w:rsidP="004C50DC">
      <w:pPr>
        <w:pStyle w:val="b"/>
      </w:pPr>
      <w:bookmarkStart w:id="542" w:name="_Toc442280581"/>
      <w:r w:rsidRPr="00450E07">
        <w:t>Enjeux historiques et mnémoniques</w:t>
      </w:r>
      <w:bookmarkEnd w:id="542"/>
    </w:p>
    <w:p w:rsidR="004C50DC" w:rsidRDefault="004C50DC" w:rsidP="004C50DC">
      <w:pPr>
        <w:spacing w:before="120" w:after="120"/>
        <w:jc w:val="both"/>
      </w:pPr>
    </w:p>
    <w:p w:rsidR="004C50DC" w:rsidRPr="00E8358C" w:rsidRDefault="004C50DC" w:rsidP="004C50DC">
      <w:pPr>
        <w:spacing w:before="120" w:after="120"/>
        <w:jc w:val="both"/>
      </w:pPr>
      <w:r w:rsidRPr="00E8358C">
        <w:t>La mémoire héroïque choisie par les élites politiques est organisée pour pouvoir contrôler la destinée de la société haïtienne. A</w:t>
      </w:r>
      <w:r w:rsidRPr="00E8358C">
        <w:t>u</w:t>
      </w:r>
      <w:r w:rsidRPr="00E8358C">
        <w:t>jourd’hui, cette société se trouve dans un « présentisme » comme nouvel ordre du temps dans ses relations avec sa mémoire. François Hartog définit « le présentisme » comme une</w:t>
      </w:r>
      <w:r w:rsidRPr="00450E07">
        <w:t xml:space="preserve"> entrée dans le temps de la</w:t>
      </w:r>
      <w:r>
        <w:t xml:space="preserve"> [401]</w:t>
      </w:r>
      <w:r w:rsidRPr="00450E07">
        <w:t xml:space="preserve"> prééminence d’un présent perçu, sur un horizon sans futur et sans passé</w:t>
      </w:r>
      <w:r>
        <w:t> </w:t>
      </w:r>
      <w:r>
        <w:rPr>
          <w:rStyle w:val="Appelnotedebasdep"/>
        </w:rPr>
        <w:footnoteReference w:id="1005"/>
      </w:r>
      <w:r w:rsidRPr="00E8358C">
        <w:t>. Le présentisme haïtien est très tendu. Il conduit à une sorte de décadence, voire à une amnésie collective. Il est ravivé par l’absence d’un discours nationaliste qui, malheureusement, n’a pas été remplacé par un discours rassembleur, alors que la société en a besoin. Le développement de ce « régime d’historicité »</w:t>
      </w:r>
      <w:r>
        <w:t> </w:t>
      </w:r>
      <w:r w:rsidRPr="00E8358C">
        <w:rPr>
          <w:rStyle w:val="Appelnotedebasdep"/>
        </w:rPr>
        <w:footnoteReference w:id="1006"/>
      </w:r>
      <w:r w:rsidRPr="00E8358C">
        <w:t>, expression chère à François Hartog, s’explique par les conditions de précarité et même d’extrême pauvreté de certains citoyens, par l’incapacité des hommes politiques à convaincre la société et par l’incapacité de la politique à organiser la société. Le politique est piégé par les fortes demandes sociales qui ne tiennent pas compte de la capacité matérielle de l’État. Cette déchéance sociale montre le dénuement du système de valeurs patrimoniale et mémorielle, et cette situation rend encore plus difficile l’élaboration d’une stratégie culturelle qui prendrait en compte la p</w:t>
      </w:r>
      <w:r w:rsidRPr="00E8358C">
        <w:t>a</w:t>
      </w:r>
      <w:r w:rsidRPr="00E8358C">
        <w:t xml:space="preserve">trimonialisation des mémoires de l’esclavage. </w:t>
      </w:r>
    </w:p>
    <w:p w:rsidR="004C50DC" w:rsidRPr="00E8358C" w:rsidRDefault="004C50DC" w:rsidP="004C50DC">
      <w:pPr>
        <w:spacing w:before="120" w:after="120"/>
        <w:jc w:val="both"/>
        <w:rPr>
          <w:b/>
          <w:strike/>
        </w:rPr>
      </w:pPr>
      <w:r w:rsidRPr="00E8358C">
        <w:t>De son côté, Leslie F. Manigat, avec son intuition d’historien et de politologue, soutient qu’il existe « un interminable passage de la s</w:t>
      </w:r>
      <w:r w:rsidRPr="00E8358C">
        <w:t>o</w:t>
      </w:r>
      <w:r w:rsidRPr="00E8358C">
        <w:t>ciété traditionnelle à la société moderne »</w:t>
      </w:r>
      <w:r>
        <w:t> </w:t>
      </w:r>
      <w:r>
        <w:rPr>
          <w:rStyle w:val="Appelnotedebasdep"/>
        </w:rPr>
        <w:footnoteReference w:id="1007"/>
      </w:r>
      <w:r w:rsidRPr="00E8358C">
        <w:t xml:space="preserve"> en Haïti. Le présentisme est en plein cœur de ce difficile passage qui nuit aussi au travail p</w:t>
      </w:r>
      <w:r w:rsidRPr="00E8358C">
        <w:t>a</w:t>
      </w:r>
      <w:r w:rsidRPr="00E8358C">
        <w:t>trimonial. Il est en train de tuer à petit feu la société traditionnelle po</w:t>
      </w:r>
      <w:r w:rsidRPr="00E8358C">
        <w:t>r</w:t>
      </w:r>
      <w:r w:rsidRPr="00E8358C">
        <w:t>teuse de mémoire, notamment de celle de l’esclavage. Il faut tourner un regard lucide sur ce difficile passage et, en même temps, engager un combat contre la précarisation sociale pour sauvegarder, voire me</w:t>
      </w:r>
      <w:r w:rsidRPr="00E8358C">
        <w:t>t</w:t>
      </w:r>
      <w:r w:rsidRPr="00E8358C">
        <w:t>tre en valeur, le patrimoine mémoriel haïtien en lien avec le passé e</w:t>
      </w:r>
      <w:r w:rsidRPr="00E8358C">
        <w:t>s</w:t>
      </w:r>
      <w:r w:rsidRPr="00E8358C">
        <w:t xml:space="preserve">clavagiste. </w:t>
      </w:r>
    </w:p>
    <w:p w:rsidR="004C50DC" w:rsidRPr="00E8358C" w:rsidRDefault="004C50DC" w:rsidP="004C50DC">
      <w:pPr>
        <w:spacing w:before="120" w:after="120"/>
        <w:jc w:val="both"/>
      </w:pPr>
      <w:r w:rsidRPr="00E8358C">
        <w:t>Une fois de plus, la mémoire de Toussaint Louverture a été récup</w:t>
      </w:r>
      <w:r w:rsidRPr="00E8358C">
        <w:t>é</w:t>
      </w:r>
      <w:r w:rsidRPr="00E8358C">
        <w:t xml:space="preserve">rée par la France au détriment de celle de Dessalines, lors de la visite en Haïti du Président François Hollande, le 12 mai 2015. En fait, plus d’un pense que si le président français a encensé Toussaint Louverture en déposant une gerbe de fleurs au pied de sa statue au Champ-de-Mars, il a en même temps ignoré la statue de Jean-Jacques Dessalines. Ce geste a été interprété par la plupart des Haïtiens comme un affront à la mémoire du père fondateur de la Nation. </w:t>
      </w:r>
      <w:r>
        <w:t xml:space="preserve">[402] </w:t>
      </w:r>
      <w:r w:rsidRPr="00E8358C">
        <w:t>L’historien D</w:t>
      </w:r>
      <w:r w:rsidRPr="00E8358C">
        <w:t>o</w:t>
      </w:r>
      <w:r w:rsidRPr="00E8358C">
        <w:t>mond se faisait, bien avant cette visite, du souci au sujet de la désacr</w:t>
      </w:r>
      <w:r w:rsidRPr="00E8358C">
        <w:t>a</w:t>
      </w:r>
      <w:r w:rsidRPr="00E8358C">
        <w:t>lisation des figures de Toussaint Louverture et de Jean-Jacques Dess</w:t>
      </w:r>
      <w:r w:rsidRPr="00E8358C">
        <w:t>a</w:t>
      </w:r>
      <w:r w:rsidRPr="00E8358C">
        <w:t xml:space="preserve">lines qui se produit à la suite des démarches pour la récupération d’une figure au détriment de l’autre. </w:t>
      </w:r>
    </w:p>
    <w:p w:rsidR="004C50DC" w:rsidRDefault="004C50DC" w:rsidP="004C50DC">
      <w:pPr>
        <w:pStyle w:val="Citation0"/>
      </w:pPr>
    </w:p>
    <w:p w:rsidR="004C50DC" w:rsidRPr="00E8358C" w:rsidRDefault="004C50DC" w:rsidP="004C50DC">
      <w:pPr>
        <w:pStyle w:val="Citation0"/>
      </w:pPr>
      <w:r w:rsidRPr="00E8358C">
        <w:t>Je crains un processus de désacralisation de l’image de Toussaint Louve</w:t>
      </w:r>
      <w:r w:rsidRPr="00E8358C">
        <w:t>r</w:t>
      </w:r>
      <w:r w:rsidRPr="00E8358C">
        <w:t>ture. Haïti ne saurait demander aujourd’hui à la France de r</w:t>
      </w:r>
      <w:r w:rsidRPr="00E8358C">
        <w:t>e</w:t>
      </w:r>
      <w:r w:rsidRPr="00E8358C">
        <w:t xml:space="preserve">connaître Jean-Jacques Dessalines. C’est une absurdité. La figure de Dessalines, tout comme celle de Toussaint, n’appartiennent qu’à Haïti qui doit les valoriser et les patrimonialiser. On ne saurait reprocher non plus à la France d’avoir récupéré Toussaint Louverture. Ce choix ne concerne que la France. Haïti ne peut pas pour cette raison rejeter cette part de nous-mêmes dans le corps de Louverture. </w:t>
      </w:r>
    </w:p>
    <w:p w:rsidR="004C50DC" w:rsidRDefault="004C50DC" w:rsidP="004C50DC">
      <w:pPr>
        <w:pStyle w:val="Citation0c"/>
      </w:pPr>
      <w:r w:rsidRPr="00E8358C">
        <w:t>(Domond, entrevue, Port-au-Prince, 26 février 2015)</w:t>
      </w:r>
    </w:p>
    <w:p w:rsidR="004C50DC" w:rsidRPr="00E8358C" w:rsidRDefault="004C50DC" w:rsidP="004C50DC">
      <w:pPr>
        <w:pStyle w:val="Citation0c"/>
      </w:pPr>
    </w:p>
    <w:p w:rsidR="004C50DC" w:rsidRPr="00E8358C" w:rsidRDefault="004C50DC" w:rsidP="004C50DC">
      <w:pPr>
        <w:spacing w:before="120" w:after="120"/>
        <w:jc w:val="both"/>
      </w:pPr>
      <w:r w:rsidRPr="00E8358C">
        <w:t>Pour Souffrant, l’écrivain que nous avons rencontré à Pétion-Ville, la question ne se pose pas en ces termes. Il essaie de nous convaincre que les récupérations ont toute leur importance dans la société ha</w:t>
      </w:r>
      <w:r w:rsidRPr="00E8358C">
        <w:t>ï</w:t>
      </w:r>
      <w:r w:rsidRPr="00E8358C">
        <w:t>tienne. Elles peuvent aider à réfléchir sur le passé colonial esclavagi</w:t>
      </w:r>
      <w:r w:rsidRPr="00E8358C">
        <w:t>s</w:t>
      </w:r>
      <w:r w:rsidRPr="00E8358C">
        <w:t>te et permettre à chaque citoyen haïtien de placer ses mots sur son hi</w:t>
      </w:r>
      <w:r w:rsidRPr="00E8358C">
        <w:t>s</w:t>
      </w:r>
      <w:r w:rsidRPr="00E8358C">
        <w:t>toire et sa mémoire. Elles ravivent donc les souvenirs.</w:t>
      </w:r>
    </w:p>
    <w:p w:rsidR="004C50DC" w:rsidRDefault="004C50DC" w:rsidP="004C50DC">
      <w:pPr>
        <w:pStyle w:val="Citation0"/>
      </w:pPr>
    </w:p>
    <w:p w:rsidR="004C50DC" w:rsidRPr="00E8358C" w:rsidRDefault="004C50DC" w:rsidP="004C50DC">
      <w:pPr>
        <w:pStyle w:val="Citation0"/>
      </w:pPr>
      <w:r w:rsidRPr="00E8358C">
        <w:t>C’est un débat indispensable au travail de mémoire dans la société ha</w:t>
      </w:r>
      <w:r w:rsidRPr="00E8358C">
        <w:t>ï</w:t>
      </w:r>
      <w:r w:rsidRPr="00E8358C">
        <w:t xml:space="preserve">tienne. Je suis ravi qu’il se traduise sur le terrain haïtien et oppose la figure de Toussaint à celle de Dessalines, car tout Haïtien peut se permettre de parler de son histoire, de faire part de sa mémoire et de comprendre l’histoire à un moment où j’ai l’impression que le virus de l’oubli empêche les Haïtiens de se souvenir. </w:t>
      </w:r>
    </w:p>
    <w:p w:rsidR="004C50DC" w:rsidRDefault="004C50DC" w:rsidP="004C50DC">
      <w:pPr>
        <w:pStyle w:val="Citation0c"/>
      </w:pPr>
      <w:r w:rsidRPr="00E8358C">
        <w:t>(Souffrant, entrevue, Pétion-Ville, 21 janvier 2014)</w:t>
      </w:r>
    </w:p>
    <w:p w:rsidR="004C50DC" w:rsidRPr="00E8358C" w:rsidRDefault="004C50DC" w:rsidP="004C50DC">
      <w:pPr>
        <w:pStyle w:val="Citation0c"/>
      </w:pPr>
    </w:p>
    <w:p w:rsidR="004C50DC" w:rsidRDefault="004C50DC" w:rsidP="004C50DC">
      <w:pPr>
        <w:spacing w:before="120" w:after="120"/>
        <w:jc w:val="both"/>
      </w:pPr>
      <w:r w:rsidRPr="00E8358C">
        <w:t>Le propos, ici, est de questionner les raisons et les facteurs ayant conduit la France à récupérer la mémoire de Toussaint Louverture. En réalité, celui-ci était un notable avant la Révolution haïtienne. Dans le sens gramscien du terme, un notable est un produit de la petite bou</w:t>
      </w:r>
      <w:r w:rsidRPr="00E8358C">
        <w:t>r</w:t>
      </w:r>
      <w:r w:rsidRPr="00E8358C">
        <w:t>geoisie</w:t>
      </w:r>
      <w:r>
        <w:t> </w:t>
      </w:r>
      <w:r>
        <w:rPr>
          <w:rStyle w:val="Appelnotedebasdep"/>
        </w:rPr>
        <w:footnoteReference w:id="1008"/>
      </w:r>
      <w:r w:rsidRPr="00E8358C">
        <w:t>. Donc, dans la révolution, il incarnait l’esclave dans ses a</w:t>
      </w:r>
      <w:r w:rsidRPr="00E8358C">
        <w:t>c</w:t>
      </w:r>
      <w:r w:rsidRPr="00E8358C">
        <w:t>tions de libération et en même temps il incarnait le notable qui dra</w:t>
      </w:r>
      <w:r w:rsidRPr="00E8358C">
        <w:t>i</w:t>
      </w:r>
      <w:r w:rsidRPr="00E8358C">
        <w:t>nait un système de valeurs proprement colonial et esclavagiste. La prox</w:t>
      </w:r>
      <w:r w:rsidRPr="00E8358C">
        <w:t>i</w:t>
      </w:r>
      <w:r w:rsidRPr="00E8358C">
        <w:t>mité de Toussaint Louverture avec les colons l’avait conduit, dans son parcours révolutionnaire, à adopter une stratégie comparable à celle de l’</w:t>
      </w:r>
      <w:r w:rsidRPr="00E8358C">
        <w:rPr>
          <w:i/>
        </w:rPr>
        <w:t>habitus</w:t>
      </w:r>
      <w:r>
        <w:t> </w:t>
      </w:r>
      <w:r>
        <w:rPr>
          <w:rStyle w:val="Appelnotedebasdep"/>
        </w:rPr>
        <w:footnoteReference w:id="1009"/>
      </w:r>
      <w:r w:rsidRPr="00E8358C">
        <w:t xml:space="preserve"> de Pierre Bourdieu. Toutefois, il s’était construit un po</w:t>
      </w:r>
      <w:r w:rsidRPr="00E8358C">
        <w:t>u</w:t>
      </w:r>
      <w:r w:rsidRPr="00E8358C">
        <w:t>voir et un discours révolutionnaires dans la lutte pour la liberté gén</w:t>
      </w:r>
      <w:r w:rsidRPr="00E8358C">
        <w:t>é</w:t>
      </w:r>
      <w:r w:rsidRPr="00E8358C">
        <w:t xml:space="preserve">rale des esclaves. </w:t>
      </w:r>
    </w:p>
    <w:p w:rsidR="004C50DC" w:rsidRPr="00E8358C" w:rsidRDefault="004C50DC" w:rsidP="004C50DC">
      <w:pPr>
        <w:spacing w:before="120" w:after="120"/>
        <w:jc w:val="both"/>
      </w:pPr>
      <w:r>
        <w:t>[403]</w:t>
      </w:r>
    </w:p>
    <w:p w:rsidR="004C50DC" w:rsidRPr="00E8358C" w:rsidRDefault="004C50DC" w:rsidP="004C50DC">
      <w:pPr>
        <w:spacing w:before="120" w:after="120"/>
        <w:jc w:val="both"/>
        <w:rPr>
          <w:b/>
        </w:rPr>
      </w:pPr>
      <w:r w:rsidRPr="00E8358C">
        <w:t>Dans ces débats, si nous travaillons la subjectivité des événements et des discours, on s’aperçoit que la France n’a pas un problème avec Haïti en elle-même, mais avec 1804. L’état actuel de sous-développement de la République d’Haïti, jadis « la Perle des Anti</w:t>
      </w:r>
      <w:r w:rsidRPr="00E8358C">
        <w:t>l</w:t>
      </w:r>
      <w:r w:rsidRPr="00E8358C">
        <w:t>les », conforte la France dans sa mémoire. Il est normal que la France n’ait jamais encensé Jean-Jacques Dessalines, l’artisan principal de la Révolution d’Indépendance haïtienne. La chance de Toussaint Lo</w:t>
      </w:r>
      <w:r w:rsidRPr="00E8358C">
        <w:t>u</w:t>
      </w:r>
      <w:r w:rsidRPr="00E8358C">
        <w:t>verture vis-à-vis de la France qui le récupère, c’est qu’il n’était pas présent en 1804 et n’avait pas su faire la déconnexion totale avec la France colonialiste. Il avait compris très tard les questions que lui p</w:t>
      </w:r>
      <w:r w:rsidRPr="00E8358C">
        <w:t>o</w:t>
      </w:r>
      <w:r w:rsidRPr="00E8358C">
        <w:t>sait la Révolution au moment où c’était l’Indépendance qui prévalait, au sens de la rupture que prônait Dessalines. En fait, Toussaint Lo</w:t>
      </w:r>
      <w:r w:rsidRPr="00E8358C">
        <w:t>u</w:t>
      </w:r>
      <w:r w:rsidRPr="00E8358C">
        <w:t>verture, au-delà de son élan révolutionnaire, cherchait aussi à prése</w:t>
      </w:r>
      <w:r w:rsidRPr="00E8358C">
        <w:t>r</w:t>
      </w:r>
      <w:r w:rsidRPr="00E8358C">
        <w:t xml:space="preserve">ver ses maîtres et sa position de notable. </w:t>
      </w:r>
    </w:p>
    <w:p w:rsidR="004C50DC" w:rsidRDefault="004C50DC" w:rsidP="004C50DC">
      <w:pPr>
        <w:spacing w:before="120" w:after="120"/>
        <w:jc w:val="both"/>
      </w:pPr>
      <w:r w:rsidRPr="00E8358C">
        <w:t>L’histoire et la mémoire sont indispensables à la construction ide</w:t>
      </w:r>
      <w:r w:rsidRPr="00E8358C">
        <w:t>n</w:t>
      </w:r>
      <w:r w:rsidRPr="00E8358C">
        <w:t>titaire d’un peuple. Il s’agit d’une obligation citoyenne avant d’être étatique. Les questions se rapportant au patrimoine mémoriel de l’esclavage sont plus que jamais d’actualité. L’indifférence du peuple haïtien face à ses lieux de mémoire collective et à son histoire risque de continuer à créer un terrain propice à l’élaboration d’une histoire inventée pour Haïti. L’oubli ou l’amnésie historique contribue à l’altération de la culture et de l’identité existentielle d’un peuple. Les faits historiques et les éléments de traditions populaires encore v</w:t>
      </w:r>
      <w:r w:rsidRPr="00E8358C">
        <w:t>i</w:t>
      </w:r>
      <w:r w:rsidRPr="00E8358C">
        <w:t>vants, les pratiques culturelles et les nombreuses représentations en lien avec le passé colonial et esclavagiste, doivent être pris en compte dans une politique de conservation et de mise en valeur. La mémoire collective, Jacques Le Goff l’a bien mentionné, « fait partie des gros enjeux des sociétés développées et des sociétés en voies de dévelo</w:t>
      </w:r>
      <w:r w:rsidRPr="00E8358C">
        <w:t>p</w:t>
      </w:r>
      <w:r w:rsidRPr="00E8358C">
        <w:t>pement, des classes dominantes et des classes dominées, luttant toutes pour le pouvoir ou pour la vie, pour la survie et pour la prom</w:t>
      </w:r>
      <w:r w:rsidRPr="00E8358C">
        <w:t>o</w:t>
      </w:r>
      <w:r w:rsidRPr="00E8358C">
        <w:t>tion »</w:t>
      </w:r>
      <w:r>
        <w:t> </w:t>
      </w:r>
      <w:r>
        <w:rPr>
          <w:rStyle w:val="Appelnotedebasdep"/>
        </w:rPr>
        <w:footnoteReference w:id="1010"/>
      </w:r>
      <w:r w:rsidRPr="00E8358C">
        <w:t xml:space="preserve">. </w:t>
      </w:r>
    </w:p>
    <w:p w:rsidR="004C50DC" w:rsidRPr="00E8358C" w:rsidRDefault="004C50DC" w:rsidP="004C50DC">
      <w:pPr>
        <w:spacing w:before="120" w:after="120"/>
        <w:jc w:val="both"/>
      </w:pPr>
    </w:p>
    <w:p w:rsidR="004C50DC" w:rsidRPr="00450E07" w:rsidRDefault="004C50DC" w:rsidP="004C50DC">
      <w:pPr>
        <w:pStyle w:val="b"/>
      </w:pPr>
      <w:bookmarkStart w:id="543" w:name="_Toc442280582"/>
      <w:r w:rsidRPr="00450E07">
        <w:t>Enjeux culturels et religieux</w:t>
      </w:r>
      <w:bookmarkEnd w:id="543"/>
    </w:p>
    <w:p w:rsidR="004C50DC" w:rsidRDefault="004C50DC" w:rsidP="004C50DC">
      <w:pPr>
        <w:spacing w:before="120" w:after="120"/>
        <w:jc w:val="both"/>
      </w:pPr>
    </w:p>
    <w:p w:rsidR="004C50DC" w:rsidRPr="00E8358C" w:rsidRDefault="004C50DC" w:rsidP="004C50DC">
      <w:pPr>
        <w:spacing w:before="120" w:after="120"/>
        <w:jc w:val="both"/>
      </w:pPr>
      <w:r w:rsidRPr="00E8358C">
        <w:t>En ce qui a trait à la culture, l’enjeu est d’abord celui de la conse</w:t>
      </w:r>
      <w:r w:rsidRPr="00E8358C">
        <w:t>r</w:t>
      </w:r>
      <w:r w:rsidRPr="00E8358C">
        <w:t>vation et de la transmission des mémoires fondatrices de l’identité ha</w:t>
      </w:r>
      <w:r w:rsidRPr="00E8358C">
        <w:t>ï</w:t>
      </w:r>
      <w:r w:rsidRPr="00E8358C">
        <w:t>tienne. De nombreuses pratiques</w:t>
      </w:r>
      <w:r>
        <w:t xml:space="preserve"> [404]</w:t>
      </w:r>
      <w:r w:rsidRPr="00E8358C">
        <w:t xml:space="preserve"> issues du passé colonial sont déjà menacées de disparition, comme le </w:t>
      </w:r>
      <w:r w:rsidRPr="00E8358C">
        <w:rPr>
          <w:i/>
        </w:rPr>
        <w:t xml:space="preserve">tanbou marengwen </w:t>
      </w:r>
      <w:r w:rsidRPr="00E8358C">
        <w:t>et le</w:t>
      </w:r>
      <w:r w:rsidRPr="00E8358C">
        <w:rPr>
          <w:i/>
        </w:rPr>
        <w:t xml:space="preserve"> ta</w:t>
      </w:r>
      <w:r w:rsidRPr="00E8358C">
        <w:rPr>
          <w:i/>
        </w:rPr>
        <w:t>n</w:t>
      </w:r>
      <w:r w:rsidRPr="00E8358C">
        <w:rPr>
          <w:i/>
        </w:rPr>
        <w:t>bou asòtò</w:t>
      </w:r>
      <w:r w:rsidRPr="00E8358C">
        <w:t>. Dans le processus de construction du patrimoine mémoriel de l’esclavage, il serait important d’inventorier les pratiques et les manifestations culturelles (festivals, foires, expositions, créations a</w:t>
      </w:r>
      <w:r w:rsidRPr="00E8358C">
        <w:t>r</w:t>
      </w:r>
      <w:r w:rsidRPr="00E8358C">
        <w:t xml:space="preserve">tistiques…) qui constituent les piliers de l’action culturelle afin de les rendre plus accessibles au public. </w:t>
      </w:r>
    </w:p>
    <w:p w:rsidR="004C50DC" w:rsidRPr="00792DC7" w:rsidRDefault="004C50DC" w:rsidP="004C50DC">
      <w:pPr>
        <w:spacing w:before="120" w:after="120"/>
        <w:jc w:val="both"/>
      </w:pPr>
      <w:bookmarkStart w:id="544" w:name="_Toc406489772"/>
      <w:r w:rsidRPr="00E8358C">
        <w:t>L’enjeu religieux s’observe dans la structure des liens sociaux et politiques avec le « vodou », connu pour être la religion populaire, et la nécessité de conserver et de protéger ce patrimoine religieux au-delà des positions officielles et aux côtés des autres religions en Haïti. Les « campagnes anti-superstitieuses » ont attesté de la volonté polit</w:t>
      </w:r>
      <w:r w:rsidRPr="00E8358C">
        <w:t>i</w:t>
      </w:r>
      <w:r w:rsidRPr="00E8358C">
        <w:t>que de le détruire. La concertation patrimoniale doit permettre de faire la lumière sur la place du vodou dans la libération nationale et dans la société haïtienne. Force est de constater que les religions sont laissées à elles-mêmes dans la gestion de leur patrimoine. Des plans d’action doivent être adoptés et des ententes doivent être trouvées avec des in</w:t>
      </w:r>
      <w:r w:rsidRPr="00E8358C">
        <w:t>s</w:t>
      </w:r>
      <w:r w:rsidRPr="00E8358C">
        <w:t>titutions muséales ou dédiées à la conservation d’objets pour sauv</w:t>
      </w:r>
      <w:r w:rsidRPr="00E8358C">
        <w:t>e</w:t>
      </w:r>
      <w:r w:rsidRPr="00E8358C">
        <w:t>garder les objets de culte religieux de l’époque coloniale et esclavagi</w:t>
      </w:r>
      <w:r w:rsidRPr="00E8358C">
        <w:t>s</w:t>
      </w:r>
      <w:r w:rsidRPr="00E8358C">
        <w:t xml:space="preserve">te.  </w:t>
      </w:r>
      <w:r w:rsidRPr="00792DC7">
        <w:t xml:space="preserve">C’est pourquoi </w:t>
      </w:r>
      <w:r w:rsidRPr="00E8358C">
        <w:t>Guy-André Roy insiste sur le fait que « le patr</w:t>
      </w:r>
      <w:r w:rsidRPr="00E8358C">
        <w:t>i</w:t>
      </w:r>
      <w:r w:rsidRPr="00E8358C">
        <w:t>moine religieux constitue un témoignage essentiel à la compréhension de notre civilisation. […] Ce patrimoine révèle une partie importante de notre histoire »</w:t>
      </w:r>
      <w:r>
        <w:t> </w:t>
      </w:r>
      <w:r>
        <w:rPr>
          <w:rStyle w:val="Appelnotedebasdep"/>
        </w:rPr>
        <w:footnoteReference w:id="1011"/>
      </w:r>
      <w:r w:rsidRPr="00E8358C">
        <w:t xml:space="preserve">. C’est un fait que le patrimoine du vodou comme celui du catholicisme sont chargés de </w:t>
      </w:r>
      <w:r w:rsidRPr="00792DC7">
        <w:t>sens culturels, ethnol</w:t>
      </w:r>
      <w:r w:rsidRPr="00792DC7">
        <w:t>o</w:t>
      </w:r>
      <w:r w:rsidRPr="00792DC7">
        <w:t>giques, historiques et sociologiques en Haïti.</w:t>
      </w:r>
      <w:bookmarkEnd w:id="544"/>
    </w:p>
    <w:p w:rsidR="004C50DC" w:rsidRPr="00E8358C" w:rsidRDefault="004C50DC" w:rsidP="004C50DC">
      <w:pPr>
        <w:spacing w:before="120" w:after="120"/>
        <w:jc w:val="both"/>
      </w:pPr>
    </w:p>
    <w:p w:rsidR="004C50DC" w:rsidRPr="00450E07" w:rsidRDefault="004C50DC" w:rsidP="004C50DC">
      <w:pPr>
        <w:pStyle w:val="b"/>
      </w:pPr>
      <w:bookmarkStart w:id="545" w:name="_Toc442280583"/>
      <w:r w:rsidRPr="00450E07">
        <w:t>Enjeux sociaux et politiques</w:t>
      </w:r>
      <w:bookmarkEnd w:id="545"/>
    </w:p>
    <w:p w:rsidR="004C50DC" w:rsidRPr="00E8358C" w:rsidRDefault="004C50DC" w:rsidP="004C50DC">
      <w:pPr>
        <w:spacing w:before="120" w:after="120"/>
        <w:jc w:val="both"/>
      </w:pPr>
    </w:p>
    <w:p w:rsidR="004C50DC" w:rsidRDefault="004C50DC" w:rsidP="004C50DC">
      <w:pPr>
        <w:spacing w:before="120" w:after="120"/>
        <w:jc w:val="both"/>
      </w:pPr>
      <w:r w:rsidRPr="00E8358C">
        <w:t>L’État construit et transmet la mémoire qui est en accord avec son projet national. Ce projet politique obéit au contexte historique. La société reçoit la mémoire ou la crée et l’opérationnalise en fonction de l’époque. Aujourd’hui, sur le plan social, l’enjeu est le « vivre ense</w:t>
      </w:r>
      <w:r w:rsidRPr="00E8358C">
        <w:t>m</w:t>
      </w:r>
      <w:r w:rsidRPr="00E8358C">
        <w:t>ble », la pratique du vivre-ensemble, la cohésion sociale et le sent</w:t>
      </w:r>
      <w:r w:rsidRPr="00E8358C">
        <w:t>i</w:t>
      </w:r>
      <w:r w:rsidRPr="00E8358C">
        <w:t>ment de fierté passée, présente et future que pourraient faciliter les mémoires à mettre en patrimoine. Michelin, professeur d’histoire h</w:t>
      </w:r>
      <w:r w:rsidRPr="00E8358C">
        <w:t>a</w:t>
      </w:r>
      <w:r w:rsidRPr="00E8358C">
        <w:t>bitant la ville de Port-au-Prince, nous l’a signifié aussi à travers son témoignage.</w:t>
      </w:r>
    </w:p>
    <w:p w:rsidR="004C50DC" w:rsidRPr="00E8358C" w:rsidRDefault="004C50DC" w:rsidP="004C50DC">
      <w:pPr>
        <w:spacing w:before="120" w:after="120"/>
        <w:jc w:val="both"/>
      </w:pPr>
      <w:r>
        <w:t>[405]</w:t>
      </w:r>
    </w:p>
    <w:p w:rsidR="004C50DC" w:rsidRDefault="004C50DC" w:rsidP="004C50DC">
      <w:pPr>
        <w:pStyle w:val="Citation0"/>
      </w:pPr>
    </w:p>
    <w:p w:rsidR="004C50DC" w:rsidRPr="00E8358C" w:rsidRDefault="004C50DC" w:rsidP="004C50DC">
      <w:pPr>
        <w:pStyle w:val="Citation0"/>
      </w:pPr>
      <w:r w:rsidRPr="00E8358C">
        <w:t>Si nos ancêtres ont pu briser les chaînes de l’esclavage, nous pou</w:t>
      </w:r>
      <w:r w:rsidRPr="00E8358C">
        <w:t>r</w:t>
      </w:r>
      <w:r w:rsidRPr="00E8358C">
        <w:t>rons trouver aujourd’hui un consensus national pour construire une société plus juste et plus conforme à l’idéal de l’Indépendance de 1804, celui de la création d’un espace social égalitaire et équitable pour tous. La mémoire de l’esclavage doit être interprétée comme la participation de tous les Ha</w:t>
      </w:r>
      <w:r w:rsidRPr="00E8358C">
        <w:t>ï</w:t>
      </w:r>
      <w:r w:rsidRPr="00E8358C">
        <w:t>tiens à la libération et à la construction nationales. Elle est plus que jamais un outil indispensable au « vivre ensemble » dans la société haïtienne.</w:t>
      </w:r>
    </w:p>
    <w:p w:rsidR="004C50DC" w:rsidRDefault="004C50DC" w:rsidP="004C50DC">
      <w:pPr>
        <w:pStyle w:val="Citation0c"/>
      </w:pPr>
      <w:r w:rsidRPr="00E8358C">
        <w:t>(Michelin, entrevue, Port-au-Prince, 26 février 2015)</w:t>
      </w:r>
    </w:p>
    <w:p w:rsidR="004C50DC" w:rsidRPr="00E8358C" w:rsidRDefault="004C50DC" w:rsidP="004C50DC">
      <w:pPr>
        <w:pStyle w:val="Citation0c"/>
      </w:pPr>
    </w:p>
    <w:p w:rsidR="004C50DC" w:rsidRPr="00E8358C" w:rsidRDefault="004C50DC" w:rsidP="004C50DC">
      <w:pPr>
        <w:spacing w:before="120" w:after="120"/>
        <w:jc w:val="both"/>
      </w:pPr>
      <w:r w:rsidRPr="00E8358C">
        <w:t>Un consensus social pourrait se dégager de ces mémoires, et des réseaux peuvent être créés autour des lieux de mémoire (habitations coloniales et fortifications). Ce sont des espaces physiques vivants où cohabitent différentes mémoires qui peuvent constituer des indicateurs nécessaires à une compréhension mutuelle entre les Haïtiens.</w:t>
      </w:r>
    </w:p>
    <w:p w:rsidR="004C50DC" w:rsidRPr="00E8358C" w:rsidRDefault="004C50DC" w:rsidP="004C50DC">
      <w:pPr>
        <w:spacing w:before="120" w:after="120"/>
        <w:jc w:val="both"/>
      </w:pPr>
      <w:r w:rsidRPr="00E8358C">
        <w:t>Sur le plan politique, l’enjeu dans la société haïtienne est d’abord celui de l’instrumentalisation de la mémoire de l’esclavage par les hommes politiques et les gouvernements pour conforter leur pouvoir, tandis que la position de ceux-ci est remise en question. La mise en patrimoine des mémoires de l’esclavage peut amener à faire la lumière sur des faits historiques. Certes, en connaissant son histoire et en s’appropriant sa mémoire, un peuple qui se sent toujours bafoué aura tendance à demander des comptes à ses élites. En voulant occulter ce</w:t>
      </w:r>
      <w:r w:rsidRPr="00E8358C">
        <w:t>r</w:t>
      </w:r>
      <w:r w:rsidRPr="00E8358C">
        <w:t>tains éléments de la mémoire du peuple haïtien, les élites dirigeantes, dans le contexte postcolonial, abandonneraient la voie d’une « patrimonialisation » ou une « valorisation » pour s’orienter vers une « esclavagisation » de la mémoire collective haïtienne. C’est déterm</w:t>
      </w:r>
      <w:r w:rsidRPr="00E8358C">
        <w:t>i</w:t>
      </w:r>
      <w:r w:rsidRPr="00E8358C">
        <w:t>nant, car comme l’explique Joël Candau, un État cherche toujours à imposer un monopole de la mémoire légitime, entre amnésie collect</w:t>
      </w:r>
      <w:r w:rsidRPr="00E8358C">
        <w:t>i</w:t>
      </w:r>
      <w:r w:rsidRPr="00E8358C">
        <w:t>ve et devoir de mémoire</w:t>
      </w:r>
      <w:r>
        <w:t> </w:t>
      </w:r>
      <w:r w:rsidRPr="00E8358C">
        <w:rPr>
          <w:rStyle w:val="Appelnotedebasdep"/>
        </w:rPr>
        <w:footnoteReference w:id="1012"/>
      </w:r>
      <w:r w:rsidRPr="00E8358C">
        <w:t>.</w:t>
      </w:r>
    </w:p>
    <w:p w:rsidR="004C50DC" w:rsidRPr="00E8358C" w:rsidRDefault="004C50DC" w:rsidP="004C50DC">
      <w:pPr>
        <w:spacing w:before="120" w:after="120"/>
        <w:jc w:val="both"/>
      </w:pPr>
      <w:r w:rsidRPr="00E8358C">
        <w:t>Les dimensions patrimoniales de la mémoire nous poussent à r</w:t>
      </w:r>
      <w:r w:rsidRPr="00E8358C">
        <w:t>é</w:t>
      </w:r>
      <w:r w:rsidRPr="00E8358C">
        <w:t>fléchir au rôle de l’État dans les polémiques sur les mémoires de l’esclavage en Haïti. L’enjeu se trouve aussi dans la manière de réal</w:t>
      </w:r>
      <w:r w:rsidRPr="00E8358C">
        <w:t>i</w:t>
      </w:r>
      <w:r w:rsidRPr="00E8358C">
        <w:t>ser la patrimonialisation du corpus mémoriel du passé colonial suivant un consensus basé sur les grands principes fondateurs de la Nation haïtienne : liberté, égalité et fraternité. La création d’un climat polit</w:t>
      </w:r>
      <w:r w:rsidRPr="00E8358C">
        <w:t>i</w:t>
      </w:r>
      <w:r w:rsidRPr="00E8358C">
        <w:t xml:space="preserve">que stable en Haïti est un outil promoteur </w:t>
      </w:r>
      <w:r>
        <w:t xml:space="preserve">[406] </w:t>
      </w:r>
      <w:r w:rsidRPr="00E8358C">
        <w:t>de démocratie pour tous les Haïtiens, quelle que soit leur origine sociale. Une politique culturelle qui permettrait de développer des stratégies de conservation et de mise en valeur du patrimoine culturel haïtien est à définir. Cette politique prendra en compte les pratiques culturelles et sociales, les sites et les monuments témoins des faits héroïques, des douleurs et des sacrifices des esclaves. Les éléments mémoriels se doivent d’être cla</w:t>
      </w:r>
      <w:r w:rsidRPr="00E8358C">
        <w:t>s</w:t>
      </w:r>
      <w:r w:rsidRPr="00E8358C">
        <w:t xml:space="preserve">sés et valorisés. </w:t>
      </w:r>
    </w:p>
    <w:p w:rsidR="004C50DC" w:rsidRPr="00E8358C" w:rsidRDefault="004C50DC" w:rsidP="004C50DC">
      <w:pPr>
        <w:spacing w:before="120" w:after="120"/>
        <w:jc w:val="both"/>
      </w:pPr>
      <w:r w:rsidRPr="00E8358C">
        <w:t>Enfin, l’enjeu ne se situe pas seulement au niveau national, mais aussi au niveau des relations internationales. Du côté des Français, la patrimonialisation des mémoires de l’esclavage et des luttes pour l’indépendance reviendrait aussi à exiger d’Haïti la reconnaissance du massacre des colons français. Dans ce cas, la mise en valeur des vest</w:t>
      </w:r>
      <w:r w:rsidRPr="00E8358C">
        <w:t>i</w:t>
      </w:r>
      <w:r w:rsidRPr="00E8358C">
        <w:t xml:space="preserve">ges des habitations coloniales et des fortifications pourrait être vue comme  une provocation par leurs descendants. </w:t>
      </w:r>
    </w:p>
    <w:p w:rsidR="004C50DC" w:rsidRDefault="004C50DC" w:rsidP="004C50DC">
      <w:pPr>
        <w:spacing w:before="120" w:after="120"/>
        <w:jc w:val="both"/>
      </w:pPr>
      <w:r w:rsidRPr="00E8358C">
        <w:t>Pour les Haïtiens, au contraire, ces vestiges caractérisent la mat</w:t>
      </w:r>
      <w:r w:rsidRPr="00E8358C">
        <w:t>é</w:t>
      </w:r>
      <w:r w:rsidRPr="00E8358C">
        <w:t>rialisation de la fin de plusieurs siècles d’esclavage, de tortures, d’exécutions sommaires, de crimes contre l’humanité. De même, ils peuvent appuyer les démarches pour la réparation des crimes de l’esclavage et pour la valorisation du sens historique de la Révolution haïtienne. Comment réconcilier les mémoires au-delà de tout nation</w:t>
      </w:r>
      <w:r w:rsidRPr="00E8358C">
        <w:t>a</w:t>
      </w:r>
      <w:r w:rsidRPr="00E8358C">
        <w:t>lisme et de toute « haïtianité » ? Les mémoires de l’esclavage appa</w:t>
      </w:r>
      <w:r w:rsidRPr="00E8358C">
        <w:t>r</w:t>
      </w:r>
      <w:r w:rsidRPr="00E8358C">
        <w:t>tiennent à l’humanité. Il ne faut pas trop amalgamer les réalités d’hier avec celles d’aujourd’hui. Un travail d’acceptation et de reconnai</w:t>
      </w:r>
      <w:r w:rsidRPr="00E8358C">
        <w:t>s</w:t>
      </w:r>
      <w:r w:rsidRPr="00E8358C">
        <w:t>sance mutuelle est à envisager en Haïti et dans les autres pays conce</w:t>
      </w:r>
      <w:r w:rsidRPr="00E8358C">
        <w:t>r</w:t>
      </w:r>
      <w:r w:rsidRPr="00E8358C">
        <w:t>nés. Le point de vue conciliatoire mènera à « l’usage exemplaire » qui « permet d’utiliser le passé en vue du présent, de se servir des leçons d’injustices subies pour combattre celles qui ont cours aujourd’hui, de quitter le soi pour aller vers l’autre »</w:t>
      </w:r>
      <w:r>
        <w:t> </w:t>
      </w:r>
      <w:r>
        <w:rPr>
          <w:rStyle w:val="Appelnotedebasdep"/>
        </w:rPr>
        <w:footnoteReference w:id="1013"/>
      </w:r>
      <w:r w:rsidRPr="00E8358C">
        <w:t xml:space="preserve">. </w:t>
      </w:r>
    </w:p>
    <w:p w:rsidR="004C50DC" w:rsidRPr="00E8358C" w:rsidRDefault="004C50DC" w:rsidP="004C50DC">
      <w:pPr>
        <w:spacing w:before="120" w:after="120"/>
        <w:jc w:val="both"/>
      </w:pPr>
    </w:p>
    <w:p w:rsidR="004C50DC" w:rsidRPr="00450E07" w:rsidRDefault="004C50DC" w:rsidP="004C50DC">
      <w:pPr>
        <w:pStyle w:val="b"/>
      </w:pPr>
      <w:bookmarkStart w:id="546" w:name="_Toc442280584"/>
      <w:r w:rsidRPr="00450E07">
        <w:t>Enjeux économiques</w:t>
      </w:r>
      <w:bookmarkEnd w:id="546"/>
    </w:p>
    <w:p w:rsidR="004C50DC" w:rsidRDefault="004C50DC" w:rsidP="004C50DC">
      <w:pPr>
        <w:spacing w:before="120" w:after="120"/>
        <w:jc w:val="both"/>
      </w:pPr>
    </w:p>
    <w:p w:rsidR="004C50DC" w:rsidRPr="00E8358C" w:rsidRDefault="004C50DC" w:rsidP="004C50DC">
      <w:pPr>
        <w:spacing w:before="120" w:after="120"/>
        <w:jc w:val="both"/>
      </w:pPr>
      <w:r w:rsidRPr="00E8358C">
        <w:t>L’enjeu économique est celui du développement d’une économie touristique. Dans le sens d’une démarche visant d’abord à entretenir la conscience collective haïtienne autour des</w:t>
      </w:r>
      <w:r>
        <w:t xml:space="preserve"> [407]</w:t>
      </w:r>
      <w:r w:rsidRPr="00E8358C">
        <w:t xml:space="preserve"> éléments de son ide</w:t>
      </w:r>
      <w:r w:rsidRPr="00E8358C">
        <w:t>n</w:t>
      </w:r>
      <w:r w:rsidRPr="00E8358C">
        <w:t>tité, le développement touristique de masse doit céder la place à une pédagogie qui s’intéresse à impliquer davantage les communautés l</w:t>
      </w:r>
      <w:r w:rsidRPr="00E8358C">
        <w:t>o</w:t>
      </w:r>
      <w:r w:rsidRPr="00E8358C">
        <w:t xml:space="preserve">cales dans les efforts de patrimonialisation des mémoires de l’esclavage. Cette patrimonialisation devrait être liée à l’éducation des jeunes générations.  </w:t>
      </w:r>
    </w:p>
    <w:p w:rsidR="004C50DC" w:rsidRPr="00E8358C" w:rsidRDefault="004C50DC" w:rsidP="004C50DC">
      <w:pPr>
        <w:spacing w:before="120" w:after="120"/>
        <w:jc w:val="both"/>
      </w:pPr>
      <w:r w:rsidRPr="00E8358C">
        <w:t>Le tourisme de masse, analysé en termes financiers, peut apporter des devises, comme le souhaitent les responsables du ministère haïtien du Tourisme, mais il serait un accroc à la compréhension du passé c</w:t>
      </w:r>
      <w:r w:rsidRPr="00E8358C">
        <w:t>o</w:t>
      </w:r>
      <w:r w:rsidRPr="00E8358C">
        <w:t>lonial et esclavagiste. Toutefois, un tourisme de mémoire qui prend en compte les lieux de mémoire et les avis de la population locale peut être développé. Il doit être construit  sur « un temps qu’il est présu</w:t>
      </w:r>
      <w:r w:rsidRPr="00E8358C">
        <w:t>p</w:t>
      </w:r>
      <w:r w:rsidRPr="00E8358C">
        <w:t>posé activer ou réactiver, nourrir et entretenir […] », car« un lieu de mémoire n’est pas une destination comme les autres »</w:t>
      </w:r>
      <w:r>
        <w:t> </w:t>
      </w:r>
      <w:r>
        <w:rPr>
          <w:rStyle w:val="Appelnotedebasdep"/>
        </w:rPr>
        <w:footnoteReference w:id="1014"/>
      </w:r>
      <w:r w:rsidRPr="00E8358C">
        <w:t>. Selon les propos de Jean-Didier Urbain inspirés de Dean MacCannel, le touri</w:t>
      </w:r>
      <w:r w:rsidRPr="00E8358C">
        <w:t>s</w:t>
      </w:r>
      <w:r w:rsidRPr="00E8358C">
        <w:t>me de mémoire est un « rite collectif de connaissance du passé »</w:t>
      </w:r>
      <w:r>
        <w:t> </w:t>
      </w:r>
      <w:r>
        <w:rPr>
          <w:rStyle w:val="Appelnotedebasdep"/>
        </w:rPr>
        <w:footnoteReference w:id="1015"/>
      </w:r>
      <w:r w:rsidRPr="00E8358C">
        <w:t>. Il contribue à la construction de l’identité d’un peuple et est une péd</w:t>
      </w:r>
      <w:r w:rsidRPr="00E8358C">
        <w:t>a</w:t>
      </w:r>
      <w:r w:rsidRPr="00E8358C">
        <w:t>gogie pour le voyageur, un vecteur de conscientisation historique. C’est un outil de lutte contre l’oubli, car il prend</w:t>
      </w:r>
    </w:p>
    <w:p w:rsidR="004C50DC" w:rsidRDefault="004C50DC" w:rsidP="004C50DC">
      <w:pPr>
        <w:pStyle w:val="Citation0"/>
      </w:pPr>
    </w:p>
    <w:p w:rsidR="004C50DC" w:rsidRPr="00E8358C" w:rsidRDefault="004C50DC" w:rsidP="004C50DC">
      <w:pPr>
        <w:pStyle w:val="Citation0"/>
      </w:pPr>
      <w:r w:rsidRPr="00E8358C">
        <w:t>le relais de certaines défaillances institutionnelles et sociales pour consol</w:t>
      </w:r>
      <w:r w:rsidRPr="00E8358C">
        <w:t>i</w:t>
      </w:r>
      <w:r w:rsidRPr="00E8358C">
        <w:t>der l’unité culturelle, la construction identitaire. [C’] est un outil de form</w:t>
      </w:r>
      <w:r w:rsidRPr="00E8358C">
        <w:t>a</w:t>
      </w:r>
      <w:r w:rsidRPr="00E8358C">
        <w:t>tion des peuples. Bref, il permet la diffusion d’une im</w:t>
      </w:r>
      <w:r w:rsidRPr="00E8358C">
        <w:t>a</w:t>
      </w:r>
      <w:r w:rsidRPr="00E8358C">
        <w:t>ge, d’une identité culturelle qui propose un rapatriement du passé dans le présent, une réa</w:t>
      </w:r>
      <w:r w:rsidRPr="00E8358C">
        <w:t>p</w:t>
      </w:r>
      <w:r w:rsidRPr="00E8358C">
        <w:t>propriation et une sauvegarde d’une conscience historique toujours men</w:t>
      </w:r>
      <w:r w:rsidRPr="00E8358C">
        <w:t>a</w:t>
      </w:r>
      <w:r w:rsidRPr="00E8358C">
        <w:t>cée</w:t>
      </w:r>
      <w:r>
        <w:t> </w:t>
      </w:r>
      <w:r>
        <w:rPr>
          <w:rStyle w:val="Appelnotedebasdep"/>
        </w:rPr>
        <w:footnoteReference w:id="1016"/>
      </w:r>
      <w:r w:rsidRPr="00E8358C">
        <w:t xml:space="preserve">. </w:t>
      </w:r>
    </w:p>
    <w:p w:rsidR="004C50DC" w:rsidRPr="00E8358C" w:rsidRDefault="004C50DC" w:rsidP="004C50DC">
      <w:pPr>
        <w:spacing w:before="120" w:after="120"/>
        <w:jc w:val="both"/>
      </w:pPr>
      <w:r w:rsidRPr="00E8358C">
        <w:t>Michelin a retenu notre attention sur la volonté des habitants l</w:t>
      </w:r>
      <w:r w:rsidRPr="00E8358C">
        <w:t>o</w:t>
      </w:r>
      <w:r w:rsidRPr="00E8358C">
        <w:t>caux, comme ceux avoisinant l’habitation Georges aux Gonaïves, de sauvegarder jusqu’à un certain point les lieux matériels de la mémoire de l’esclavage. Malheureusement, sous les contraintes de la pauvreté, tant du côté de l’État haïtien que des habitants eux-mêmes, la plupart des sites mémoriels sont vandalisés, dans l’espoir d’en tirer un maigre gain.</w:t>
      </w:r>
    </w:p>
    <w:p w:rsidR="004C50DC" w:rsidRPr="00E8358C" w:rsidRDefault="004C50DC" w:rsidP="004C50DC">
      <w:pPr>
        <w:pStyle w:val="Citation0"/>
      </w:pPr>
      <w:r w:rsidRPr="00E8358C">
        <w:t>J’ai amené mes étudiants visiter l’habitation Georges aux Gonaïves en 2006. Les habitants manifestaient la volonté de prendre le contrôle de l’espace pour en faire un site mémoriel et touristique. Ce fut agré</w:t>
      </w:r>
      <w:r w:rsidRPr="00E8358C">
        <w:t>a</w:t>
      </w:r>
      <w:r w:rsidRPr="00E8358C">
        <w:t xml:space="preserve">ble de voir la stèle que Sténio Vincent (1930-1941) a fait ériger pour préciser l’endroit où les soldats coloniaux français ont procédé à l’arrestation de Toussaint Louverture, le </w:t>
      </w:r>
      <w:r w:rsidRPr="00450E07">
        <w:t>7 juin 1802</w:t>
      </w:r>
      <w:r w:rsidRPr="00E8358C">
        <w:t>. Le quartier gén</w:t>
      </w:r>
      <w:r w:rsidRPr="00E8358C">
        <w:t>é</w:t>
      </w:r>
      <w:r w:rsidRPr="00E8358C">
        <w:t>ral de Brunet était encore présent. On y trouvait aussi un four colonial. La population locale était</w:t>
      </w:r>
      <w:r>
        <w:t xml:space="preserve"> [408]</w:t>
      </w:r>
      <w:r w:rsidRPr="00E8358C">
        <w:t xml:space="preserve"> intéressée à mettre en valeur le site historique. À chaque fois que nous nous présentons là-bas, elle pense que nous apportons la sol</w:t>
      </w:r>
      <w:r w:rsidRPr="00E8358C">
        <w:t>u</w:t>
      </w:r>
      <w:r w:rsidRPr="00E8358C">
        <w:t>tion. Une année plus tard, la population l</w:t>
      </w:r>
      <w:r w:rsidRPr="00E8358C">
        <w:t>o</w:t>
      </w:r>
      <w:r w:rsidRPr="00E8358C">
        <w:t>cale désemparée par la misère était mobilisée, et rien n’est resté prat</w:t>
      </w:r>
      <w:r w:rsidRPr="00E8358C">
        <w:t>i</w:t>
      </w:r>
      <w:r w:rsidRPr="00E8358C">
        <w:t xml:space="preserve">quement de l’habitation Georges. Tout a été pratiquement vandalisé et vendu. </w:t>
      </w:r>
    </w:p>
    <w:p w:rsidR="004C50DC" w:rsidRPr="00E8358C" w:rsidRDefault="004C50DC" w:rsidP="004C50DC">
      <w:pPr>
        <w:pStyle w:val="Citation0c"/>
      </w:pPr>
      <w:r w:rsidRPr="00E8358C">
        <w:t>(Michelin, entrevue, Port-au-Prince, 26 février 2015)</w:t>
      </w:r>
    </w:p>
    <w:p w:rsidR="004C50DC" w:rsidRPr="00E8358C" w:rsidRDefault="004C50DC" w:rsidP="004C50DC">
      <w:pPr>
        <w:spacing w:before="120" w:after="120"/>
        <w:jc w:val="both"/>
      </w:pPr>
      <w:r w:rsidRPr="00E8358C">
        <w:t>Durant cette dernière décennie, l’approche économique touristique veut être prédominante dans la mise en valeur des mémoires de l’esclavage en Haïti, mais il ne pourrait y avoir de développement to</w:t>
      </w:r>
      <w:r w:rsidRPr="00E8358C">
        <w:t>u</w:t>
      </w:r>
      <w:r w:rsidRPr="00E8358C">
        <w:t>ristique à partir des lieux de mémoire sans impliquer la population locale. C’est elle qui est la garante et la gérante de la mémoire locale des lieux. La  « touristification » doit intégrer à la fois un plan mém</w:t>
      </w:r>
      <w:r w:rsidRPr="00E8358C">
        <w:t>o</w:t>
      </w:r>
      <w:r w:rsidRPr="00E8358C">
        <w:t>riel et un plan de développement des localités. Cette stratégie débo</w:t>
      </w:r>
      <w:r w:rsidRPr="00E8358C">
        <w:t>u</w:t>
      </w:r>
      <w:r w:rsidRPr="00E8358C">
        <w:t>chera sur la fondation d’un tourisme local à partir des lieux, des m</w:t>
      </w:r>
      <w:r w:rsidRPr="00E8358C">
        <w:t>é</w:t>
      </w:r>
      <w:r w:rsidRPr="00E8358C">
        <w:t>moires et des pratiques en rapport avec la mémoire de l’esclavage. Dans cette veine, Michelin mentionne l’exemple du fort Ogé construit en 1805 dans la localité de Bas-Cap-Rouge, sur un morne qui domine toute la baie de Jacmel, pour expliquer les démarches à suivre en vue d’arriver à patrimonialiser les lieux matériels des mémoires de l’esclavage en Haïti.</w:t>
      </w:r>
    </w:p>
    <w:p w:rsidR="004C50DC" w:rsidRDefault="004C50DC" w:rsidP="004C50DC">
      <w:pPr>
        <w:pStyle w:val="Citation0"/>
      </w:pPr>
    </w:p>
    <w:p w:rsidR="004C50DC" w:rsidRPr="00E8358C" w:rsidRDefault="004C50DC" w:rsidP="004C50DC">
      <w:pPr>
        <w:pStyle w:val="Citation0"/>
      </w:pPr>
      <w:r w:rsidRPr="00E8358C">
        <w:t>Par exemple, pour le fort Ogé à Bas-Cap-Rouge, Jacmel  , il y a une école nationale en face qui porte d’ailleurs le même nom. Co</w:t>
      </w:r>
      <w:r w:rsidRPr="00E8358C">
        <w:t>m</w:t>
      </w:r>
      <w:r w:rsidRPr="00E8358C">
        <w:t>ment peut-on le conserver et organiser le tourisme en ce lieu indépe</w:t>
      </w:r>
      <w:r w:rsidRPr="00E8358C">
        <w:t>n</w:t>
      </w:r>
      <w:r w:rsidRPr="00E8358C">
        <w:t>damment de la route construite sans impliquer cette école ? La form</w:t>
      </w:r>
      <w:r w:rsidRPr="00E8358C">
        <w:t>a</w:t>
      </w:r>
      <w:r w:rsidRPr="00E8358C">
        <w:t>tion des guides est aussi nécessaire pour la transmission de l’histoire et de la mémoire du fort qui sont intimement intégrées dans l’histoire et la mémoire locales. On ne peut pas patrimonialiser sans développer l’histoire de cette localité. Cette hi</w:t>
      </w:r>
      <w:r w:rsidRPr="00E8358C">
        <w:t>s</w:t>
      </w:r>
      <w:r w:rsidRPr="00E8358C">
        <w:t>toire locale doit être liée à l’histoire nationale. Cela implique la particip</w:t>
      </w:r>
      <w:r w:rsidRPr="00E8358C">
        <w:t>a</w:t>
      </w:r>
      <w:r w:rsidRPr="00E8358C">
        <w:t>tion des associations locales, des collectivités territoriales, de la société c</w:t>
      </w:r>
      <w:r w:rsidRPr="00E8358C">
        <w:t>i</w:t>
      </w:r>
      <w:r w:rsidRPr="00E8358C">
        <w:t>vile et des hist</w:t>
      </w:r>
      <w:r w:rsidRPr="00E8358C">
        <w:t>o</w:t>
      </w:r>
      <w:r w:rsidRPr="00E8358C">
        <w:t xml:space="preserve">riens pour le côté scientifique de la démarche. L’artisanat local est aussi déterminant dans une telle démarche. </w:t>
      </w:r>
    </w:p>
    <w:p w:rsidR="004C50DC" w:rsidRDefault="004C50DC" w:rsidP="004C50DC">
      <w:pPr>
        <w:pStyle w:val="Citation0c"/>
      </w:pPr>
      <w:r w:rsidRPr="00E8358C">
        <w:t>(Michelin, entrevue, Port-au-Prince, 26 février 2015)</w:t>
      </w:r>
    </w:p>
    <w:p w:rsidR="004C50DC" w:rsidRPr="00E8358C" w:rsidRDefault="004C50DC" w:rsidP="004C50DC">
      <w:pPr>
        <w:pStyle w:val="Citation0c"/>
      </w:pPr>
    </w:p>
    <w:p w:rsidR="004C50DC" w:rsidRDefault="004C50DC" w:rsidP="004C50DC">
      <w:pPr>
        <w:spacing w:before="120" w:after="120"/>
        <w:jc w:val="both"/>
      </w:pPr>
      <w:r w:rsidRPr="00E8358C">
        <w:t>Selon Michelin, pour conserver ce lieu et en faire un site tourist</w:t>
      </w:r>
      <w:r w:rsidRPr="00E8358C">
        <w:t>i</w:t>
      </w:r>
      <w:r w:rsidRPr="00E8358C">
        <w:t>que, il faut accompagner la population locale. Elle est la principale actrice de cette approche de développement touristique durable. D</w:t>
      </w:r>
      <w:r w:rsidRPr="00E8358C">
        <w:t>o</w:t>
      </w:r>
      <w:r w:rsidRPr="00E8358C">
        <w:t>mond quant à lui, toujours sensibilisé par les questions de sauvegarde et de valorisation du patrimoine, exprime ses inquiétudes face au manque d’intérêt des autorités étatiques pour certains lieux de mémo</w:t>
      </w:r>
      <w:r w:rsidRPr="00E8358C">
        <w:t>i</w:t>
      </w:r>
      <w:r w:rsidRPr="00E8358C">
        <w:t>re, dont le Camp Gérard, malgré leur importance historique et leur place dans la catégorie de « mémoire épique » que soutient officiell</w:t>
      </w:r>
      <w:r w:rsidRPr="00E8358C">
        <w:t>e</w:t>
      </w:r>
      <w:r w:rsidRPr="00E8358C">
        <w:t>ment l’État.</w:t>
      </w:r>
    </w:p>
    <w:p w:rsidR="004C50DC" w:rsidRPr="00E8358C" w:rsidRDefault="004C50DC" w:rsidP="004C50DC">
      <w:pPr>
        <w:spacing w:before="120" w:after="120"/>
        <w:jc w:val="both"/>
      </w:pPr>
      <w:r>
        <w:br w:type="page"/>
      </w:r>
    </w:p>
    <w:p w:rsidR="004C50DC" w:rsidRPr="00E8358C" w:rsidRDefault="004C50DC" w:rsidP="004C50DC">
      <w:pPr>
        <w:pStyle w:val="Citation0"/>
      </w:pPr>
      <w:r w:rsidRPr="00E8358C">
        <w:t>Par exemple, le Camp Gérard, malgré le poids mémoriel du site en rapport avec le passé colonial et esclavagiste, et les campagnes pour l’expliquer, les autorités n’ont</w:t>
      </w:r>
      <w:r>
        <w:t xml:space="preserve"> [409]</w:t>
      </w:r>
      <w:r w:rsidRPr="00E8358C">
        <w:t xml:space="preserve"> rien fait pour conserver le site. Le Camp Gérard était une preuve matérielle de la volonté des généraux indigènes de co</w:t>
      </w:r>
      <w:r w:rsidRPr="00E8358C">
        <w:t>m</w:t>
      </w:r>
      <w:r w:rsidRPr="00E8358C">
        <w:t xml:space="preserve">battre le système esclavagiste et de libérer toute la colonie de Saint-Domingue. Dessalines en quittant le Nord pour se rendre aux Cayes, par ce geste avait fait preuve de construire cette unité pour la liberté. </w:t>
      </w:r>
    </w:p>
    <w:p w:rsidR="004C50DC" w:rsidRDefault="004C50DC" w:rsidP="004C50DC">
      <w:pPr>
        <w:pStyle w:val="Citation0c"/>
      </w:pPr>
      <w:r w:rsidRPr="00E8358C">
        <w:t>(Domond, entrevue, Port-au-Prince, 26 février 2015)</w:t>
      </w:r>
    </w:p>
    <w:p w:rsidR="004C50DC" w:rsidRPr="00E8358C" w:rsidRDefault="004C50DC" w:rsidP="004C50DC">
      <w:pPr>
        <w:pStyle w:val="Citation0c"/>
      </w:pPr>
    </w:p>
    <w:p w:rsidR="004C50DC" w:rsidRPr="00E8358C" w:rsidRDefault="004C50DC" w:rsidP="004C50DC">
      <w:pPr>
        <w:spacing w:before="120" w:after="120"/>
        <w:jc w:val="both"/>
        <w:rPr>
          <w:b/>
        </w:rPr>
      </w:pPr>
      <w:r w:rsidRPr="00E8358C">
        <w:t>Cette déclaration prouve, une fois de plus, que chaque choix de lieux et de mémoires à mettre en valeur fait ressortir le problème de la précarité économique de l’État haïtien. Par bonheur, certaines habit</w:t>
      </w:r>
      <w:r w:rsidRPr="00E8358C">
        <w:t>a</w:t>
      </w:r>
      <w:r w:rsidRPr="00E8358C">
        <w:t>tions coloniales et fortifications ne sont pas encore touchées par la « bidonvillisation » extrême. Elles peuvent toujours être prises en compte dans une politique touristique et culturelle publique.</w:t>
      </w:r>
    </w:p>
    <w:p w:rsidR="004C50DC" w:rsidRPr="00E8358C" w:rsidRDefault="004C50DC" w:rsidP="004C50DC">
      <w:pPr>
        <w:spacing w:before="120" w:after="120"/>
        <w:jc w:val="both"/>
      </w:pPr>
      <w:r w:rsidRPr="00E8358C">
        <w:t>D’autre part, selon Pastore, employé de l’ISPAN, les autorités ha</w:t>
      </w:r>
      <w:r w:rsidRPr="00E8358C">
        <w:t>ï</w:t>
      </w:r>
      <w:r w:rsidRPr="00E8358C">
        <w:t xml:space="preserve">tiennes ne doivent pas prétendre construire leur tourisme seulement sur leur mémoire épique.  </w:t>
      </w:r>
    </w:p>
    <w:p w:rsidR="004C50DC" w:rsidRDefault="004C50DC" w:rsidP="004C50DC">
      <w:pPr>
        <w:pStyle w:val="Citation0"/>
      </w:pPr>
    </w:p>
    <w:p w:rsidR="004C50DC" w:rsidRPr="00E8358C" w:rsidRDefault="004C50DC" w:rsidP="004C50DC">
      <w:pPr>
        <w:pStyle w:val="Citation0"/>
      </w:pPr>
      <w:r w:rsidRPr="00E8358C">
        <w:t>De nombreux touristes ne s’intéressent pas à notre mémoire de fierté. À notre époque touristique florissante des années 1940 jusqu’à la fin des a</w:t>
      </w:r>
      <w:r w:rsidRPr="00E8358C">
        <w:t>n</w:t>
      </w:r>
      <w:r w:rsidRPr="00E8358C">
        <w:t>nées 1970, les touristes étrangers s’intéressaient surtout aux belles plages de sable blanc, au soleil et à la gastronomie haïtie</w:t>
      </w:r>
      <w:r w:rsidRPr="00E8358C">
        <w:t>n</w:t>
      </w:r>
      <w:r w:rsidRPr="00E8358C">
        <w:t>ne. La preuve, certains gouvernements découragent aujourd’hui leurs ressortissants de visiter le pays. La mémoire épique dérange leur sy</w:t>
      </w:r>
      <w:r w:rsidRPr="00E8358C">
        <w:t>s</w:t>
      </w:r>
      <w:r w:rsidRPr="00E8358C">
        <w:t>tème de valeurs. Elle dérange aussi leur histoire et subvertit leur tr</w:t>
      </w:r>
      <w:r w:rsidRPr="00E8358C">
        <w:t>a</w:t>
      </w:r>
      <w:r w:rsidRPr="00E8358C">
        <w:t>vail de mémoire.</w:t>
      </w:r>
    </w:p>
    <w:p w:rsidR="004C50DC" w:rsidRDefault="004C50DC" w:rsidP="004C50DC">
      <w:pPr>
        <w:pStyle w:val="Citation0c"/>
      </w:pPr>
      <w:r w:rsidRPr="00E8358C">
        <w:t>(Pastore, entrevue, 21 juin 2014)</w:t>
      </w:r>
    </w:p>
    <w:p w:rsidR="004C50DC" w:rsidRPr="00E8358C" w:rsidRDefault="004C50DC" w:rsidP="004C50DC">
      <w:pPr>
        <w:pStyle w:val="Citation0c"/>
      </w:pPr>
    </w:p>
    <w:p w:rsidR="004C50DC" w:rsidRDefault="004C50DC" w:rsidP="004C50DC">
      <w:pPr>
        <w:spacing w:before="120" w:after="120"/>
        <w:jc w:val="both"/>
      </w:pPr>
      <w:r w:rsidRPr="00E8358C">
        <w:t>Tout en ne citant pas les pays concernés, Pastore, dans sa déclar</w:t>
      </w:r>
      <w:r w:rsidRPr="00E8358C">
        <w:t>a</w:t>
      </w:r>
      <w:r w:rsidRPr="00E8358C">
        <w:t>tion, fait allusion en particulier à la France, que l’Indépendance d’Haïti a affectée directement, et aux anciennes puissances coloniales d’Europe, telles que l’Espagne, parce que les Haïtiens ont aidé des colonies espagnoles comme le Venezuela et la Colombie à obtenir à leur tour leur indépendance. Le propos de Pastore touche alors un a</w:t>
      </w:r>
      <w:r w:rsidRPr="00E8358C">
        <w:t>s</w:t>
      </w:r>
      <w:r w:rsidRPr="00E8358C">
        <w:t xml:space="preserve">pect négligé par les autorités du tourisme haïtien, celui de la mémoire douloureuse du système colonial esclavagiste. </w:t>
      </w:r>
    </w:p>
    <w:p w:rsidR="004C50DC" w:rsidRPr="00E8358C" w:rsidRDefault="004C50DC" w:rsidP="004C50DC">
      <w:pPr>
        <w:spacing w:before="120" w:after="120"/>
        <w:jc w:val="both"/>
        <w:rPr>
          <w:b/>
        </w:rPr>
      </w:pPr>
    </w:p>
    <w:p w:rsidR="004C50DC" w:rsidRPr="00E8358C" w:rsidRDefault="004C50DC" w:rsidP="004C50DC">
      <w:pPr>
        <w:pStyle w:val="Citation0"/>
      </w:pPr>
      <w:r w:rsidRPr="00E8358C">
        <w:t>Quand le bateau de croisière arrive, par exemple, à Môle Saint-Nicolas, c’est la mémoire du colonialisme que les touristes voient en premier. Ce n’est pas la mémoire de l’Indépendance ni de la liberté. Donc, par respect pour nous-mêmes et par respect pour nos libérateurs, nous devons maint</w:t>
      </w:r>
      <w:r w:rsidRPr="00E8358C">
        <w:t>e</w:t>
      </w:r>
      <w:r w:rsidRPr="00E8358C">
        <w:t>nir les lieux de mémoire phare, mais en même temps reconstruire et entr</w:t>
      </w:r>
      <w:r w:rsidRPr="00E8358C">
        <w:t>e</w:t>
      </w:r>
      <w:r w:rsidRPr="00E8358C">
        <w:t>tenir les lieux de mémoire liés à la traite et à l’esclavage.</w:t>
      </w:r>
    </w:p>
    <w:p w:rsidR="004C50DC" w:rsidRDefault="004C50DC" w:rsidP="004C50DC">
      <w:pPr>
        <w:pStyle w:val="Citation0c"/>
      </w:pPr>
      <w:r w:rsidRPr="00E8358C">
        <w:t>(Pastore, entrevue, 21 juin 2014)</w:t>
      </w:r>
    </w:p>
    <w:p w:rsidR="004C50DC" w:rsidRPr="00E8358C" w:rsidRDefault="004C50DC" w:rsidP="004C50DC">
      <w:pPr>
        <w:pStyle w:val="Citation0c"/>
      </w:pPr>
    </w:p>
    <w:p w:rsidR="004C50DC" w:rsidRPr="00E8358C" w:rsidRDefault="004C50DC" w:rsidP="004C50DC">
      <w:pPr>
        <w:spacing w:before="120" w:after="120"/>
        <w:jc w:val="both"/>
      </w:pPr>
      <w:r w:rsidRPr="00E8358C">
        <w:t>Les habitations coloniales souffrent d’un déficit de mémoire tandis que la mémoire entourant les fortifications est survalorisée. Il faudrait mieux rétablir l’image du système d’irrigation, du fonctionnement des moulins et des guildives pour inciter les jeunes</w:t>
      </w:r>
      <w:r>
        <w:t xml:space="preserve"> [410]</w:t>
      </w:r>
      <w:r w:rsidRPr="00E8358C">
        <w:t xml:space="preserve"> Haïtiens à inn</w:t>
      </w:r>
      <w:r w:rsidRPr="00E8358C">
        <w:t>o</w:t>
      </w:r>
      <w:r w:rsidRPr="00E8358C">
        <w:t xml:space="preserve">ver du point de vue technologique. Cette observation est appuyée par les actions de l’État haïtien à travers l’ISPAN. </w:t>
      </w:r>
    </w:p>
    <w:p w:rsidR="004C50DC" w:rsidRDefault="004C50DC" w:rsidP="004C50DC">
      <w:pPr>
        <w:pStyle w:val="Citation0"/>
      </w:pPr>
    </w:p>
    <w:p w:rsidR="004C50DC" w:rsidRPr="00E8358C" w:rsidRDefault="004C50DC" w:rsidP="004C50DC">
      <w:pPr>
        <w:pStyle w:val="Citation0"/>
      </w:pPr>
      <w:r w:rsidRPr="00E8358C">
        <w:t>Les habitations coloniales et les fortifications dans l’espace territorial ha</w:t>
      </w:r>
      <w:r w:rsidRPr="00E8358C">
        <w:t>ï</w:t>
      </w:r>
      <w:r w:rsidRPr="00E8358C">
        <w:t>tien aujourd’hui sont des témoins physiques de l’époque col</w:t>
      </w:r>
      <w:r w:rsidRPr="00E8358C">
        <w:t>o</w:t>
      </w:r>
      <w:r w:rsidRPr="00E8358C">
        <w:t>niale à faire renaître. Certes, la plupart ont subi l’effet de la déstruct</w:t>
      </w:r>
      <w:r w:rsidRPr="00E8358C">
        <w:t>u</w:t>
      </w:r>
      <w:r w:rsidRPr="00E8358C">
        <w:t xml:space="preserve">ration avec l’élan de la Révolution. C’est toute notre histoire qui est ainsi tourmentée. </w:t>
      </w:r>
    </w:p>
    <w:p w:rsidR="004C50DC" w:rsidRDefault="004C50DC" w:rsidP="004C50DC">
      <w:pPr>
        <w:pStyle w:val="Citation0c"/>
      </w:pPr>
      <w:r w:rsidRPr="00E8358C">
        <w:t>(Souffrant, entrevue, Pétion-Ville, 21 janvier 2014)</w:t>
      </w:r>
    </w:p>
    <w:p w:rsidR="004C50DC" w:rsidRPr="00E8358C" w:rsidRDefault="004C50DC" w:rsidP="004C50DC">
      <w:pPr>
        <w:pStyle w:val="Citation0c"/>
      </w:pPr>
    </w:p>
    <w:p w:rsidR="004C50DC" w:rsidRPr="00E8358C" w:rsidRDefault="004C50DC" w:rsidP="004C50DC">
      <w:pPr>
        <w:spacing w:before="120" w:after="120"/>
        <w:jc w:val="both"/>
      </w:pPr>
      <w:r w:rsidRPr="00E8358C">
        <w:t>Nous estimons qu’avec la création de l’ISPAN en 1979, une no</w:t>
      </w:r>
      <w:r w:rsidRPr="00E8358C">
        <w:t>u</w:t>
      </w:r>
      <w:r w:rsidRPr="00E8358C">
        <w:t>velle orientation du travail patrimonial était née, bien qu’elle aussi ait été obnubilée par 1804. C’est ce qui l’a conduit d’ailleurs, dans le c</w:t>
      </w:r>
      <w:r w:rsidRPr="00E8358C">
        <w:t>a</w:t>
      </w:r>
      <w:r w:rsidRPr="00E8358C">
        <w:t>dre de ses premières actions, à préserver la Citadelle Henri, perçue comme le palladium de la liberté. Toutefois, cette institution a pu i</w:t>
      </w:r>
      <w:r w:rsidRPr="00E8358C">
        <w:t>n</w:t>
      </w:r>
      <w:r w:rsidRPr="00E8358C">
        <w:t>ventorier par la suite des habitations coloniales et les classer « patrimoine national », par exemple l’habitation Dion et l’habitation Lamothe dans la chaîne des Matheux en 2009.</w:t>
      </w:r>
    </w:p>
    <w:p w:rsidR="004C50DC" w:rsidRPr="00E8358C" w:rsidRDefault="004C50DC" w:rsidP="004C50DC">
      <w:pPr>
        <w:spacing w:before="120" w:after="120"/>
        <w:jc w:val="both"/>
      </w:pPr>
      <w:r w:rsidRPr="00E8358C">
        <w:t>À la lumière de ces lectures, il ne faut pas voir le tourisme sous son seul aspect commercial. Dans le cadre de la mémoire de l’esclavage, ce n’est pas l’aspect économique qui prédomine. Il s’agit davantage d’un passé à glorifier ou à combattre. Les Haïtiens peuvent dévelo</w:t>
      </w:r>
      <w:r w:rsidRPr="00E8358C">
        <w:t>p</w:t>
      </w:r>
      <w:r w:rsidRPr="00E8358C">
        <w:t>per un tourisme à partir du patrimoine mémoriel de l’esclavage à l’exemple de la commémoration de la bataille de Waterloo (18 juin 1815). Les Haïtiens peuvent faire de même pour la bataille de Verti</w:t>
      </w:r>
      <w:r w:rsidRPr="00E8358C">
        <w:t>è</w:t>
      </w:r>
      <w:r w:rsidRPr="00E8358C">
        <w:t xml:space="preserve">res ou celle de la Crête à Pierrot. </w:t>
      </w:r>
    </w:p>
    <w:p w:rsidR="004C50DC" w:rsidRPr="00E8358C" w:rsidRDefault="004C50DC" w:rsidP="004C50DC">
      <w:pPr>
        <w:spacing w:before="120" w:after="120"/>
        <w:jc w:val="both"/>
      </w:pPr>
      <w:r w:rsidRPr="00E8358C">
        <w:t>Les Français ont les moyens de reconstituer cette bataille comme un beau spectacle. Un consensus s’est établi pour rendre neutre la mémoire de la défaite de Waterloo. Elle n’est plus une honte pour les Français, jusqu’à en devenir quasiment une victoire de Napoléon. Le poème « L’expiation » de Victor Hugo en atteste : « Waterloo ! W</w:t>
      </w:r>
      <w:r w:rsidRPr="00E8358C">
        <w:t>a</w:t>
      </w:r>
      <w:r w:rsidRPr="00E8358C">
        <w:t>terloo ! Waterloo ! Morne plaine... » Il faut dire aussi que cette histo</w:t>
      </w:r>
      <w:r w:rsidRPr="00E8358C">
        <w:t>i</w:t>
      </w:r>
      <w:r w:rsidRPr="00E8358C">
        <w:t>re concerne tous les Européens : les Anglais aidés par les Allemands ont gagné, les Français ont perdu, mais ils peuvent tous apprécier la reconstitution de la bataille à sa juste valeur.</w:t>
      </w:r>
    </w:p>
    <w:p w:rsidR="004C50DC" w:rsidRPr="00E8358C" w:rsidRDefault="004C50DC" w:rsidP="004C50DC">
      <w:pPr>
        <w:spacing w:before="120" w:after="120"/>
        <w:jc w:val="both"/>
      </w:pPr>
      <w:r w:rsidRPr="00E8358C">
        <w:t>Ce n’est pas le cas pour Haïti. Les Noirs de l’Amérique Latine et des Caraïbes, les Africains et les Afro-Américains seront très fiers d’assister à une reconstitution de la</w:t>
      </w:r>
      <w:r>
        <w:t xml:space="preserve"> [411]</w:t>
      </w:r>
      <w:r w:rsidRPr="00E8358C">
        <w:t xml:space="preserve"> bataille de Vertières</w:t>
      </w:r>
      <w:r>
        <w:t> </w:t>
      </w:r>
      <w:r>
        <w:rPr>
          <w:rStyle w:val="Appelnotedebasdep"/>
        </w:rPr>
        <w:footnoteReference w:id="1017"/>
      </w:r>
      <w:r w:rsidRPr="00E8358C">
        <w:t>, mais ils peuvent ne pas avoir les moyens de se rendre en Haïti (fro</w:t>
      </w:r>
      <w:r w:rsidRPr="00E8358C">
        <w:t>n</w:t>
      </w:r>
      <w:r w:rsidRPr="00E8358C">
        <w:t>tières, coût du billet, position géographique). Sous la présidence de Paul-Eugène Magloire, une reconstitution de la bataille de Vertières a été réalisée le</w:t>
      </w:r>
      <w:r w:rsidRPr="00E8358C">
        <w:rPr>
          <w:bdr w:val="none" w:sz="0" w:space="0" w:color="auto" w:frame="1"/>
        </w:rPr>
        <w:t xml:space="preserve"> 2 janvier 1954 au Cap-Haïtien à l’occasion de la comm</w:t>
      </w:r>
      <w:r w:rsidRPr="00E8358C">
        <w:rPr>
          <w:bdr w:val="none" w:sz="0" w:space="0" w:color="auto" w:frame="1"/>
        </w:rPr>
        <w:t>é</w:t>
      </w:r>
      <w:r w:rsidRPr="00E8358C">
        <w:rPr>
          <w:bdr w:val="none" w:sz="0" w:space="0" w:color="auto" w:frame="1"/>
        </w:rPr>
        <w:t>moration de son 150</w:t>
      </w:r>
      <w:r w:rsidRPr="00E8358C">
        <w:rPr>
          <w:bdr w:val="none" w:sz="0" w:space="0" w:color="auto" w:frame="1"/>
          <w:vertAlign w:val="superscript"/>
        </w:rPr>
        <w:t>e</w:t>
      </w:r>
      <w:r w:rsidRPr="00E8358C">
        <w:rPr>
          <w:bdr w:val="none" w:sz="0" w:space="0" w:color="auto" w:frame="1"/>
        </w:rPr>
        <w:t xml:space="preserve"> anniversaire</w:t>
      </w:r>
      <w:r w:rsidRPr="00E8358C">
        <w:t>. Depuis cette date, il n’y a pas eu de projet de documentaire télévisé ou de film sur cet événement.</w:t>
      </w:r>
    </w:p>
    <w:p w:rsidR="004C50DC" w:rsidRPr="00E8358C" w:rsidRDefault="004C50DC" w:rsidP="004C50DC">
      <w:pPr>
        <w:spacing w:before="120" w:after="120"/>
        <w:jc w:val="both"/>
      </w:pPr>
      <w:r w:rsidRPr="00E8358C">
        <w:t>En outre, le développement du tourisme de mémoire en Haïti doit tenir compte de l’intérêt des communautés locales à préserver les lieux de mémoire connectés à un passé lointain qui va de l’époque amérindienne à la période nationale haïtienne, en passant par l’histoire de la Traite négrière et de l’esclavage. Cela exige de revisiter la m</w:t>
      </w:r>
      <w:r w:rsidRPr="00E8358C">
        <w:t>é</w:t>
      </w:r>
      <w:r w:rsidRPr="00E8358C">
        <w:t>moire patrimoniale de l’esclavage en suscitant un regain d’intérêt pour les sites et les pratiques culturelles, même si entre les notions d’esclavage et de liberté, Haïti a officiellement choisi la notion de l</w:t>
      </w:r>
      <w:r w:rsidRPr="00E8358C">
        <w:t>i</w:t>
      </w:r>
      <w:r w:rsidRPr="00E8358C">
        <w:t>berté, et décidé également de la mettre à l’avant-scène des discours sur la mémoire nationale.</w:t>
      </w:r>
      <w:bookmarkStart w:id="547" w:name="_Toc406489775"/>
    </w:p>
    <w:bookmarkEnd w:id="547"/>
    <w:p w:rsidR="004C50DC" w:rsidRPr="00E8358C" w:rsidRDefault="004C50DC" w:rsidP="004C50DC">
      <w:pPr>
        <w:pStyle w:val="p"/>
      </w:pPr>
      <w:r w:rsidRPr="00E8358C">
        <w:br w:type="page"/>
      </w:r>
      <w:bookmarkStart w:id="548" w:name="_Toc442280585"/>
      <w:r w:rsidRPr="00E8358C">
        <w:t>[41</w:t>
      </w:r>
      <w:r>
        <w:t>2</w:t>
      </w:r>
      <w:r w:rsidRPr="00E8358C">
        <w:t>]</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549" w:name="Memoire_chap_VIII"/>
      <w:r w:rsidRPr="00EF76C4">
        <w:rPr>
          <w:b/>
          <w:sz w:val="24"/>
        </w:rPr>
        <w:t>Mémoire de l’esclavage en Haïti.</w:t>
      </w:r>
    </w:p>
    <w:p w:rsidR="004C50DC" w:rsidRDefault="004C50DC" w:rsidP="004C50DC">
      <w:pPr>
        <w:pStyle w:val="Titreniveau1"/>
        <w:rPr>
          <w:szCs w:val="36"/>
        </w:rPr>
      </w:pPr>
      <w:r>
        <w:rPr>
          <w:szCs w:val="36"/>
        </w:rPr>
        <w:t>Chapitre VIII</w:t>
      </w:r>
    </w:p>
    <w:p w:rsidR="004C50DC" w:rsidRPr="001F21A7" w:rsidRDefault="004C50DC" w:rsidP="004C50DC">
      <w:pPr>
        <w:pStyle w:val="Titreniveau2"/>
      </w:pPr>
      <w:r>
        <w:t>Définition universelle d’une</w:t>
      </w:r>
      <w:r>
        <w:br/>
        <w:t>patrimoni</w:t>
      </w:r>
      <w:r>
        <w:t>a</w:t>
      </w:r>
      <w:r>
        <w:t>lisation des mémoires</w:t>
      </w:r>
      <w:r>
        <w:br/>
      </w:r>
      <w:r w:rsidRPr="000A1CB5">
        <w:t>de l’esclavage en Haïti</w:t>
      </w:r>
    </w:p>
    <w:bookmarkEnd w:id="549"/>
    <w:p w:rsidR="004C50DC" w:rsidRDefault="004C50DC" w:rsidP="004C50DC">
      <w:pPr>
        <w:jc w:val="both"/>
        <w:rPr>
          <w:szCs w:val="36"/>
        </w:rPr>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548"/>
    <w:p w:rsidR="004C50DC" w:rsidRPr="00E8358C" w:rsidRDefault="004C50DC" w:rsidP="004C50DC">
      <w:pPr>
        <w:spacing w:before="120" w:after="120"/>
        <w:jc w:val="both"/>
      </w:pPr>
      <w:r w:rsidRPr="00E8358C">
        <w:t>Les questions liées aux mémoires de l’esclavage intéressent a</w:t>
      </w:r>
      <w:r w:rsidRPr="00E8358C">
        <w:t>u</w:t>
      </w:r>
      <w:r w:rsidRPr="00E8358C">
        <w:t xml:space="preserve">jourd’hui non seulement les pays concernés par ce passé, mais aussi le monde entier. C’est cette question humanitaire qui a poussé l’UNESCO, en 1993, lors de sa vingt-septième session, à mettre sur pied le projet de la « Route de l’esclave », inauguré finalement en 1994 à Ouidah au Bénin. Cette initiative est plus distinctive quand les pays portant encore les empreintes visibles de cette tragédie adhèrent au projet et créent des comités nationaux de la « Route de l’esclave ». </w:t>
      </w:r>
    </w:p>
    <w:p w:rsidR="004C50DC" w:rsidRDefault="004C50DC" w:rsidP="004C50DC">
      <w:pPr>
        <w:spacing w:before="120" w:after="120"/>
        <w:jc w:val="both"/>
      </w:pPr>
      <w:r w:rsidRPr="00E8358C">
        <w:t>Dans ce chapitre, nous privilégions, dans un premier temps, une brève présentation du contexte de la mise en œuvre des projets « Route 2004 » et « Route de l’esclave » qui charrient les revendic</w:t>
      </w:r>
      <w:r w:rsidRPr="00E8358C">
        <w:t>a</w:t>
      </w:r>
      <w:r w:rsidRPr="00E8358C">
        <w:t>tions historiques et mémorielles face au « silence sur le fait histor</w:t>
      </w:r>
      <w:r w:rsidRPr="00E8358C">
        <w:t>i</w:t>
      </w:r>
      <w:r w:rsidRPr="00E8358C">
        <w:t>que » et à « l’invisibilité des victimes »</w:t>
      </w:r>
      <w:r>
        <w:t> </w:t>
      </w:r>
      <w:r w:rsidRPr="00E8358C">
        <w:rPr>
          <w:rStyle w:val="Appelnotedebasdep"/>
        </w:rPr>
        <w:footnoteReference w:id="1018"/>
      </w:r>
      <w:r w:rsidRPr="00E8358C">
        <w:t xml:space="preserve"> de l’esclavage. Dans un s</w:t>
      </w:r>
      <w:r w:rsidRPr="00E8358C">
        <w:t>e</w:t>
      </w:r>
      <w:r w:rsidRPr="00E8358C">
        <w:t>cond temps, nous analysons des réalisations du comité national ha</w:t>
      </w:r>
      <w:r w:rsidRPr="00E8358C">
        <w:t>ï</w:t>
      </w:r>
      <w:r w:rsidRPr="00E8358C">
        <w:t>tien de la « Route de l’esclave ». Nous faisons un exposé critique du projet dans le cas haïtien comme étant un modèle de terrain. Ensuite, des perspectives d’une intégration d’Haïti au centre d’un circuit r</w:t>
      </w:r>
      <w:r w:rsidRPr="00E8358C">
        <w:t>é</w:t>
      </w:r>
      <w:r w:rsidRPr="00E8358C">
        <w:t>gional caribéen de la « Route de l’esclave » sont étudiées. Le dernier point esquisse une synthèse de la contribution d’Haïti à l’histoire de l’humanité et montre l’importance de la transmission des patrim</w:t>
      </w:r>
      <w:r>
        <w:t>oines mémoriels de l’esclavage.</w:t>
      </w:r>
    </w:p>
    <w:p w:rsidR="004C50DC" w:rsidRPr="00E8358C" w:rsidRDefault="004C50DC" w:rsidP="004C50DC">
      <w:pPr>
        <w:spacing w:before="120" w:after="120"/>
        <w:jc w:val="both"/>
      </w:pPr>
    </w:p>
    <w:p w:rsidR="004C50DC" w:rsidRPr="00E8358C" w:rsidRDefault="004C50DC" w:rsidP="004C50DC">
      <w:pPr>
        <w:pStyle w:val="planche"/>
        <w:rPr>
          <w:lang w:eastAsia="en-CA"/>
        </w:rPr>
      </w:pPr>
      <w:bookmarkStart w:id="550" w:name="_Toc442280587"/>
      <w:bookmarkStart w:id="551" w:name="Memoire_chap_VIII_1"/>
      <w:r w:rsidRPr="00E8358C">
        <w:t xml:space="preserve">8.1. </w:t>
      </w:r>
      <w:r>
        <w:rPr>
          <w:lang w:eastAsia="en-CA"/>
        </w:rPr>
        <w:t>Projet « Route 2004 » :</w:t>
      </w:r>
      <w:r>
        <w:rPr>
          <w:lang w:eastAsia="en-CA"/>
        </w:rPr>
        <w:br/>
      </w:r>
      <w:r w:rsidRPr="00E8358C">
        <w:rPr>
          <w:lang w:eastAsia="en-CA"/>
        </w:rPr>
        <w:t>une initiative annonciatrice du bice</w:t>
      </w:r>
      <w:r w:rsidRPr="00E8358C">
        <w:rPr>
          <w:lang w:eastAsia="en-CA"/>
        </w:rPr>
        <w:t>n</w:t>
      </w:r>
      <w:r w:rsidRPr="00E8358C">
        <w:rPr>
          <w:lang w:eastAsia="en-CA"/>
        </w:rPr>
        <w:t>tenaire</w:t>
      </w:r>
      <w:r>
        <w:rPr>
          <w:lang w:eastAsia="en-CA"/>
        </w:rPr>
        <w:br/>
      </w:r>
      <w:r w:rsidRPr="00E8358C">
        <w:rPr>
          <w:lang w:eastAsia="en-CA"/>
        </w:rPr>
        <w:t>de l’Indépendance d’Haïti</w:t>
      </w:r>
      <w:bookmarkEnd w:id="550"/>
    </w:p>
    <w:bookmarkEnd w:id="551"/>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Lancé en 1992, l</w:t>
      </w:r>
      <w:r w:rsidRPr="00E8358C">
        <w:rPr>
          <w:iCs/>
        </w:rPr>
        <w:t xml:space="preserve">e </w:t>
      </w:r>
      <w:r w:rsidRPr="00E8358C">
        <w:t xml:space="preserve">projet </w:t>
      </w:r>
      <w:r w:rsidRPr="00E8358C">
        <w:rPr>
          <w:i/>
          <w:iCs/>
        </w:rPr>
        <w:t>« Route 2004</w:t>
      </w:r>
      <w:r w:rsidRPr="00E8358C">
        <w:rPr>
          <w:iCs/>
        </w:rPr>
        <w:t xml:space="preserve"> » : </w:t>
      </w:r>
      <w:r w:rsidRPr="00E8358C">
        <w:rPr>
          <w:rStyle w:val="Accentuation"/>
        </w:rPr>
        <w:t>Protection et valoris</w:t>
      </w:r>
      <w:r w:rsidRPr="00E8358C">
        <w:rPr>
          <w:rStyle w:val="Accentuation"/>
        </w:rPr>
        <w:t>a</w:t>
      </w:r>
      <w:r w:rsidRPr="00E8358C">
        <w:rPr>
          <w:rStyle w:val="Accentuation"/>
        </w:rPr>
        <w:t xml:space="preserve">tion des richesses historiques, culturelles et des ressources naturelles </w:t>
      </w:r>
      <w:r w:rsidRPr="00E8358C">
        <w:rPr>
          <w:rStyle w:val="Accentuation"/>
          <w:i w:val="0"/>
        </w:rPr>
        <w:t xml:space="preserve">s’inscrivait dans une démarche visant </w:t>
      </w:r>
      <w:r w:rsidRPr="00E8358C">
        <w:t xml:space="preserve">à favoriser la structuration du secteur du patrimoine en Haïti. L’objectif était « d’aider à préserver et à perpétuer l’état des sites d’intérêt naturel, historique et culturel d’Haïti, à commencer par la région de Fort-Liberté, au nord-est (en raison de sa biodiversité et de la </w:t>
      </w:r>
      <w:r>
        <w:t xml:space="preserve">[413] </w:t>
      </w:r>
      <w:r w:rsidRPr="00E8358C">
        <w:t>richesse des sites archéolog</w:t>
      </w:r>
      <w:r w:rsidRPr="00E8358C">
        <w:t>i</w:t>
      </w:r>
      <w:r w:rsidRPr="00E8358C">
        <w:t>ques et historiques) »</w:t>
      </w:r>
      <w:r>
        <w:t> </w:t>
      </w:r>
      <w:r>
        <w:rPr>
          <w:rStyle w:val="Appelnotedebasdep"/>
        </w:rPr>
        <w:footnoteReference w:id="1019"/>
      </w:r>
      <w:r w:rsidRPr="00E8358C">
        <w:t>. C’est un projet technique de coopération e</w:t>
      </w:r>
      <w:r w:rsidRPr="00E8358C">
        <w:t>n</w:t>
      </w:r>
      <w:r w:rsidRPr="00E8358C">
        <w:t>tre l’UNESCO et le ministère de la Culture</w:t>
      </w:r>
      <w:r>
        <w:t> </w:t>
      </w:r>
      <w:r>
        <w:rPr>
          <w:rStyle w:val="Appelnotedebasdep"/>
        </w:rPr>
        <w:footnoteReference w:id="1020"/>
      </w:r>
      <w:r w:rsidRPr="00E8358C">
        <w:t xml:space="preserve"> financé par le PNUD</w:t>
      </w:r>
      <w:r>
        <w:t> </w:t>
      </w:r>
      <w:r>
        <w:rPr>
          <w:rStyle w:val="Appelnotedebasdep"/>
        </w:rPr>
        <w:footnoteReference w:id="1021"/>
      </w:r>
      <w:r w:rsidRPr="00E8358C">
        <w:t xml:space="preserve"> et le gouvernement haïtien. Il priorisait trois volets : Tourisme, Enviro</w:t>
      </w:r>
      <w:r w:rsidRPr="00E8358C">
        <w:t>n</w:t>
      </w:r>
      <w:r w:rsidRPr="00E8358C">
        <w:t>nement et Culture. L’axe principal était le développ</w:t>
      </w:r>
      <w:r w:rsidRPr="00E8358C">
        <w:t>e</w:t>
      </w:r>
      <w:r w:rsidRPr="00E8358C">
        <w:t>ment du tourisme culturel. La Secrétairerie d’État du Tourisme (SET)</w:t>
      </w:r>
      <w:r>
        <w:t> </w:t>
      </w:r>
      <w:r w:rsidRPr="00E8358C">
        <w:rPr>
          <w:rStyle w:val="Appelnotedebasdep"/>
        </w:rPr>
        <w:footnoteReference w:id="1022"/>
      </w:r>
      <w:r w:rsidRPr="00E8358C">
        <w:t xml:space="preserve"> s’impliquait dans sa réalisation qui avait débuté en 1995 (Projet « HAI/95/010, Route 2004 »)</w:t>
      </w:r>
      <w:r>
        <w:t> </w:t>
      </w:r>
      <w:r>
        <w:rPr>
          <w:rStyle w:val="Appelnotedebasdep"/>
        </w:rPr>
        <w:footnoteReference w:id="1023"/>
      </w:r>
      <w:r w:rsidRPr="00E8358C">
        <w:t>. Le projet s’étalait sur seize mois. Ensuite, il a été r</w:t>
      </w:r>
      <w:r w:rsidRPr="00E8358C">
        <w:t>e</w:t>
      </w:r>
      <w:r w:rsidRPr="00E8358C">
        <w:t>conduit de janvier 1997 à mars 1998. En bref, ce projet entrait dans le cadre de la célébration, en 2004, du bicent</w:t>
      </w:r>
      <w:r w:rsidRPr="00E8358C">
        <w:t>e</w:t>
      </w:r>
      <w:r w:rsidRPr="00E8358C">
        <w:t xml:space="preserve">naire de l’Indépendance d’Haïti. Selon </w:t>
      </w:r>
      <w:r w:rsidRPr="00E8358C">
        <w:rPr>
          <w:rStyle w:val="lev"/>
          <w:b w:val="0"/>
          <w:bCs/>
        </w:rPr>
        <w:t xml:space="preserve">Hubert </w:t>
      </w:r>
      <w:r w:rsidRPr="00E8358C">
        <w:rPr>
          <w:rStyle w:val="familyname"/>
        </w:rPr>
        <w:t xml:space="preserve">Maheux </w:t>
      </w:r>
      <w:r w:rsidRPr="00E8358C">
        <w:rPr>
          <w:rStyle w:val="lev"/>
          <w:b w:val="0"/>
          <w:bCs/>
        </w:rPr>
        <w:t xml:space="preserve">et Marc </w:t>
      </w:r>
      <w:r w:rsidRPr="00E8358C">
        <w:rPr>
          <w:rStyle w:val="familyname"/>
        </w:rPr>
        <w:t>P</w:t>
      </w:r>
      <w:r w:rsidRPr="00E8358C">
        <w:rPr>
          <w:rStyle w:val="familyname"/>
        </w:rPr>
        <w:t>a</w:t>
      </w:r>
      <w:r w:rsidRPr="00E8358C">
        <w:rPr>
          <w:rStyle w:val="familyname"/>
        </w:rPr>
        <w:t>bois</w:t>
      </w:r>
      <w:r w:rsidRPr="00E8358C">
        <w:t>, ce fut l’occasion de fusionner toutes les énergies, notamment dans les domaines de la culture, du tourisme et de l’environnement</w:t>
      </w:r>
      <w:r>
        <w:t> </w:t>
      </w:r>
      <w:r>
        <w:rPr>
          <w:rStyle w:val="Appelnotedebasdep"/>
        </w:rPr>
        <w:footnoteReference w:id="1024"/>
      </w:r>
      <w:r w:rsidRPr="00E8358C">
        <w:t>.</w:t>
      </w:r>
    </w:p>
    <w:p w:rsidR="004C50DC" w:rsidRPr="00E8358C" w:rsidRDefault="004C50DC" w:rsidP="004C50DC">
      <w:pPr>
        <w:spacing w:before="120" w:after="120"/>
        <w:jc w:val="both"/>
      </w:pPr>
      <w:r w:rsidRPr="00E8358C">
        <w:t>Selon Carlo Avierl Célius, les interventions ont porté, entre autres, sur l’inventaire des sites à valoriser et leur mode de valorisation ; l’élaboration d’un cadre juridique adéquat ; et les établissements à créer, comme l’écomusée du nord d’Haïti</w:t>
      </w:r>
      <w:r>
        <w:t> </w:t>
      </w:r>
      <w:r>
        <w:rPr>
          <w:rStyle w:val="Appelnotedebasdep"/>
        </w:rPr>
        <w:footnoteReference w:id="1025"/>
      </w:r>
      <w:r w:rsidRPr="00E8358C">
        <w:t>. Une équipe internation</w:t>
      </w:r>
      <w:r w:rsidRPr="00E8358C">
        <w:t>a</w:t>
      </w:r>
      <w:r w:rsidRPr="00E8358C">
        <w:t>le et multidisciplinaire a été constituée pour l’exécution du projet. Ma</w:t>
      </w:r>
      <w:r w:rsidRPr="00E8358C">
        <w:t>l</w:t>
      </w:r>
      <w:r w:rsidRPr="00E8358C">
        <w:t>gré ses limites et ses contraintes, les premiers résultats ont été cons</w:t>
      </w:r>
      <w:r w:rsidRPr="00E8358C">
        <w:t>i</w:t>
      </w:r>
      <w:r w:rsidRPr="00E8358C">
        <w:t>dérables. Des monographies d’habitations et des inventaires de sites ont été réalisés</w:t>
      </w:r>
      <w:r>
        <w:t> </w:t>
      </w:r>
      <w:r>
        <w:rPr>
          <w:rStyle w:val="Appelnotedebasdep"/>
        </w:rPr>
        <w:footnoteReference w:id="1026"/>
      </w:r>
      <w:r w:rsidRPr="00E8358C">
        <w:t xml:space="preserve">. Giselle Hyvert a présenté les principaux axes du </w:t>
      </w:r>
      <w:r>
        <w:t xml:space="preserve">[414] </w:t>
      </w:r>
      <w:r w:rsidRPr="00E8358C">
        <w:t>projet et les travaux qui ont été accomplis dans la partie nord-est d’Haïti : « collecte de données sur la géomorphologie, l’hydrologie, la faune, la pêche, l’agriculture, la destruction des ma</w:t>
      </w:r>
      <w:r w:rsidRPr="00E8358C">
        <w:t>n</w:t>
      </w:r>
      <w:r w:rsidRPr="00E8358C">
        <w:t>groves et sur l’archéologie, l’histoire et la vie culturelle et sociale de la région de Fort-Liberté »</w:t>
      </w:r>
      <w:r>
        <w:t> </w:t>
      </w:r>
      <w:r>
        <w:rPr>
          <w:rStyle w:val="Appelnotedebasdep"/>
        </w:rPr>
        <w:footnoteReference w:id="1027"/>
      </w:r>
      <w:r w:rsidRPr="00E8358C">
        <w:t xml:space="preserve">. </w:t>
      </w:r>
    </w:p>
    <w:p w:rsidR="004C50DC" w:rsidRPr="00E8358C" w:rsidRDefault="004C50DC" w:rsidP="004C50DC">
      <w:pPr>
        <w:spacing w:before="120" w:after="120"/>
        <w:jc w:val="both"/>
      </w:pPr>
      <w:r w:rsidRPr="00E8358C">
        <w:t>Un « Atlas côtier » a été conçu. Loïc Ménanteau nous le présente co</w:t>
      </w:r>
      <w:r w:rsidRPr="00E8358C">
        <w:rPr>
          <w:lang w:eastAsia="en-CA"/>
        </w:rPr>
        <w:t>mme un document « indispensable à la compréhension et à la d</w:t>
      </w:r>
      <w:r w:rsidRPr="00E8358C">
        <w:rPr>
          <w:lang w:eastAsia="en-CA"/>
        </w:rPr>
        <w:t>é</w:t>
      </w:r>
      <w:r w:rsidRPr="00E8358C">
        <w:rPr>
          <w:lang w:eastAsia="en-CA"/>
        </w:rPr>
        <w:t>fense de l’état actuel, de la préparation de l’avenir et de la sauvegarde du passé d’une région singulière qui doit protéger un patrimoine a</w:t>
      </w:r>
      <w:r w:rsidRPr="00E8358C">
        <w:rPr>
          <w:lang w:eastAsia="en-CA"/>
        </w:rPr>
        <w:t>c</w:t>
      </w:r>
      <w:r w:rsidRPr="00E8358C">
        <w:rPr>
          <w:lang w:eastAsia="en-CA"/>
        </w:rPr>
        <w:t>quis tout au long de son évolution géographique »</w:t>
      </w:r>
      <w:r>
        <w:rPr>
          <w:lang w:eastAsia="en-CA"/>
        </w:rPr>
        <w:t> </w:t>
      </w:r>
      <w:r>
        <w:rPr>
          <w:rStyle w:val="Appelnotedebasdep"/>
          <w:lang w:eastAsia="en-CA"/>
        </w:rPr>
        <w:footnoteReference w:id="1028"/>
      </w:r>
      <w:r w:rsidRPr="00E8358C">
        <w:rPr>
          <w:lang w:eastAsia="en-CA"/>
        </w:rPr>
        <w:t xml:space="preserve">. </w:t>
      </w:r>
      <w:r w:rsidRPr="00E8358C">
        <w:t>Le projet « Route 2004 » a donné lieu aussi à une série de propositions de loi sur la conservation et la gestion du Parc national historique</w:t>
      </w:r>
      <w:r>
        <w:t> </w:t>
      </w:r>
      <w:r>
        <w:rPr>
          <w:rStyle w:val="Appelnotedebasdep"/>
        </w:rPr>
        <w:footnoteReference w:id="1029"/>
      </w:r>
      <w:r w:rsidRPr="00E8358C">
        <w:t>. Le Parc fut un terrain d’intervention et d’application de choix du projet, car sa pr</w:t>
      </w:r>
      <w:r w:rsidRPr="00E8358C">
        <w:t>é</w:t>
      </w:r>
      <w:r w:rsidRPr="00E8358C">
        <w:t>servation entraîne aussi la sauvegarde d’une tranche impo</w:t>
      </w:r>
      <w:r w:rsidRPr="00E8358C">
        <w:t>r</w:t>
      </w:r>
      <w:r w:rsidRPr="00E8358C">
        <w:t xml:space="preserve">tante de la mémoire collective haïtienne. </w:t>
      </w:r>
    </w:p>
    <w:p w:rsidR="004C50DC" w:rsidRPr="00E8358C" w:rsidRDefault="004C50DC" w:rsidP="004C50DC">
      <w:pPr>
        <w:spacing w:before="120" w:after="120"/>
        <w:jc w:val="both"/>
      </w:pPr>
      <w:r w:rsidRPr="00E8358C">
        <w:t>Dans le projet, on peut noter un manque de participation des co</w:t>
      </w:r>
      <w:r w:rsidRPr="00E8358C">
        <w:t>m</w:t>
      </w:r>
      <w:r w:rsidRPr="00E8358C">
        <w:t>munautés locales qui sont pourtant le pivot du développement durable du tourisme. La mémoire ou les mémoires qui ravivent leurs liens avec les lieux n’ont pas été prises en compte ou n’ont pas été relatées. Or l’engagement des communautés locales est un outil indispensable pour comprendre les réalités sociales et culturelles des milieux. La Secrétairerie d’État du Tourisme est bien consciente de cette réalité. Selon elle, tout « développement touristique durable devra se faire au profit des communautés locales, comme outil pour améliorer les o</w:t>
      </w:r>
      <w:r w:rsidRPr="00E8358C">
        <w:t>p</w:t>
      </w:r>
      <w:r w:rsidRPr="00E8358C">
        <w:t>portunités d’emplois et la qualité de leur vie, et permettre ainsi de contribuer aux efforts de réduction</w:t>
      </w:r>
      <w:r>
        <w:t xml:space="preserve"> [415]</w:t>
      </w:r>
      <w:r w:rsidRPr="00E8358C">
        <w:t xml:space="preserve"> de la pauvreté »</w:t>
      </w:r>
      <w:r>
        <w:t> </w:t>
      </w:r>
      <w:r w:rsidRPr="00E8358C">
        <w:rPr>
          <w:rStyle w:val="Appelnotedebasdep"/>
        </w:rPr>
        <w:footnoteReference w:id="1030"/>
      </w:r>
      <w:r w:rsidRPr="00E8358C">
        <w:t>. C’est la matérialisation des objectifs et des idées qui fait souvent défaut.</w:t>
      </w:r>
    </w:p>
    <w:p w:rsidR="004C50DC" w:rsidRDefault="004C50DC" w:rsidP="004C50DC">
      <w:pPr>
        <w:spacing w:before="120" w:after="120"/>
        <w:jc w:val="both"/>
      </w:pPr>
      <w:r w:rsidRPr="00E8358C">
        <w:t>La participation des autorités des collectivités territoriales est aussi déterminante pour assurer « l’ancrage et la pérennité du projet »</w:t>
      </w:r>
      <w:r>
        <w:t> </w:t>
      </w:r>
      <w:r w:rsidRPr="00E8358C">
        <w:rPr>
          <w:rStyle w:val="Appelnotedebasdep"/>
        </w:rPr>
        <w:footnoteReference w:id="1031"/>
      </w:r>
      <w:r w:rsidRPr="00E8358C">
        <w:t>. Ce</w:t>
      </w:r>
      <w:r w:rsidRPr="00E8358C">
        <w:t>t</w:t>
      </w:r>
      <w:r w:rsidRPr="00E8358C">
        <w:t>te participation tiendra compte du plan de développement de la zone et facilitera une offre touristique et culturelle différente qui re</w:t>
      </w:r>
      <w:r w:rsidRPr="00E8358C">
        <w:t>n</w:t>
      </w:r>
      <w:r w:rsidRPr="00E8358C">
        <w:t>forcera le volet pédagogique des sites. Les ressources mobilisées do</w:t>
      </w:r>
      <w:r w:rsidRPr="00E8358C">
        <w:t>i</w:t>
      </w:r>
      <w:r w:rsidRPr="00E8358C">
        <w:t>vent viser d’abord les habitants locaux pour qu’ils soient sensibilisés à l’idée de sauvegarder les sites, car à travers les stratégies inclusives et participatives, on rend les habitants responsables de l’action patrim</w:t>
      </w:r>
      <w:r w:rsidRPr="00E8358C">
        <w:t>o</w:t>
      </w:r>
      <w:r w:rsidRPr="00E8358C">
        <w:t>niale dans leur milieu. Toutefois, au-delà de ces réflexions critiques, il faut noter que les réalisations effectuées dans le cadre du projet « Route 2004 » ont permis de comprendre que des efforts ont été d</w:t>
      </w:r>
      <w:r w:rsidRPr="00E8358C">
        <w:t>é</w:t>
      </w:r>
      <w:r w:rsidRPr="00E8358C">
        <w:t>ployés pour valoriser le patrimoine culture</w:t>
      </w:r>
      <w:r>
        <w:t>l et historique haïtien.</w:t>
      </w:r>
    </w:p>
    <w:p w:rsidR="004C50DC" w:rsidRPr="00E8358C" w:rsidRDefault="004C50DC" w:rsidP="004C50DC">
      <w:pPr>
        <w:spacing w:before="120" w:after="120"/>
        <w:jc w:val="both"/>
      </w:pPr>
    </w:p>
    <w:p w:rsidR="004C50DC" w:rsidRPr="00E8358C" w:rsidRDefault="004C50DC" w:rsidP="004C50DC">
      <w:pPr>
        <w:pStyle w:val="planche"/>
      </w:pPr>
      <w:bookmarkStart w:id="552" w:name="_Toc442280588"/>
      <w:bookmarkStart w:id="553" w:name="Memoire_chap_VIII_2"/>
      <w:r w:rsidRPr="00E8358C">
        <w:t>8</w:t>
      </w:r>
      <w:r>
        <w:t>.2. « La Route de l’esclave » :</w:t>
      </w:r>
      <w:r>
        <w:br/>
      </w:r>
      <w:r w:rsidRPr="00E8358C">
        <w:t>contexte de création</w:t>
      </w:r>
      <w:r>
        <w:br/>
      </w:r>
      <w:r w:rsidRPr="00E8358C">
        <w:t>et revendic</w:t>
      </w:r>
      <w:r w:rsidRPr="00E8358C">
        <w:t>a</w:t>
      </w:r>
      <w:r w:rsidRPr="00E8358C">
        <w:t>tions mémorielles</w:t>
      </w:r>
      <w:bookmarkEnd w:id="552"/>
    </w:p>
    <w:bookmarkEnd w:id="553"/>
    <w:p w:rsidR="004C50DC" w:rsidRDefault="004C50DC" w:rsidP="004C50DC">
      <w:pPr>
        <w:spacing w:before="120" w:after="120"/>
        <w:jc w:val="both"/>
        <w:rPr>
          <w:rFonts w:eastAsia="Berkeley-Book"/>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pPr>
      <w:r w:rsidRPr="00E8358C">
        <w:rPr>
          <w:rFonts w:eastAsia="Berkeley-Book"/>
        </w:rPr>
        <w:t>En 1993, le monde a salué le projet international de dialogue inte</w:t>
      </w:r>
      <w:r w:rsidRPr="00E8358C">
        <w:rPr>
          <w:rFonts w:eastAsia="Berkeley-Book"/>
        </w:rPr>
        <w:t>r</w:t>
      </w:r>
      <w:r w:rsidRPr="00E8358C">
        <w:rPr>
          <w:rFonts w:eastAsia="Berkeley-Book"/>
        </w:rPr>
        <w:t>culturel et interrégional « </w:t>
      </w:r>
      <w:r w:rsidRPr="00E8358C">
        <w:rPr>
          <w:rFonts w:eastAsia="Berkeley-Book"/>
          <w:i/>
        </w:rPr>
        <w:t>R</w:t>
      </w:r>
      <w:r w:rsidRPr="00E8358C">
        <w:rPr>
          <w:i/>
          <w:iCs/>
        </w:rPr>
        <w:t xml:space="preserve">oute de l’esclave » </w:t>
      </w:r>
      <w:r w:rsidRPr="00E8358C">
        <w:rPr>
          <w:iCs/>
        </w:rPr>
        <w:t>de l</w:t>
      </w:r>
      <w:r w:rsidRPr="00E8358C">
        <w:rPr>
          <w:rFonts w:eastAsia="Berkeley-Book"/>
        </w:rPr>
        <w:t xml:space="preserve">’UNESCO </w:t>
      </w:r>
      <w:r w:rsidRPr="00E8358C">
        <w:t>sur une proposition d’Haïti et de pays africains comme le Bénin, le Sénégal et l’Angola, entre autres</w:t>
      </w:r>
      <w:r>
        <w:t> </w:t>
      </w:r>
      <w:r w:rsidRPr="00E8358C">
        <w:rPr>
          <w:rStyle w:val="Appelnotedebasdep"/>
        </w:rPr>
        <w:footnoteReference w:id="1032"/>
      </w:r>
      <w:r w:rsidRPr="00E8358C">
        <w:t xml:space="preserve">. Le livre des mémoires de </w:t>
      </w:r>
      <w:r w:rsidRPr="00E8358C">
        <w:rPr>
          <w:rFonts w:eastAsia="Berkeley-Book"/>
        </w:rPr>
        <w:t xml:space="preserve">la Traite négrière et de </w:t>
      </w:r>
      <w:r w:rsidRPr="00E8358C">
        <w:t>l’esclavage, longtemps fermé, a été rouvert. Le silence sur les faits historiques et l’invisibilité des victimes constituaient des obst</w:t>
      </w:r>
      <w:r w:rsidRPr="00E8358C">
        <w:t>a</w:t>
      </w:r>
      <w:r w:rsidRPr="00E8358C">
        <w:t>cles à la compréhension mutuelle, à la réconciliation et à la coopér</w:t>
      </w:r>
      <w:r w:rsidRPr="00E8358C">
        <w:t>a</w:t>
      </w:r>
      <w:r w:rsidRPr="00E8358C">
        <w:t>tion entre les peuples. À cet égard, le projet tient compte des</w:t>
      </w:r>
    </w:p>
    <w:p w:rsidR="004C50DC" w:rsidRPr="00E8358C" w:rsidRDefault="004C50DC" w:rsidP="004C50DC">
      <w:pPr>
        <w:spacing w:before="120" w:after="120"/>
        <w:jc w:val="both"/>
      </w:pPr>
    </w:p>
    <w:p w:rsidR="004C50DC" w:rsidRDefault="004C50DC" w:rsidP="004C50DC">
      <w:pPr>
        <w:pStyle w:val="Citation0"/>
      </w:pPr>
      <w:r w:rsidRPr="00E8358C">
        <w:t>différents domaines de compétence de l’UNESCO – éducation, sciences, communication, culture –pour faire revivre non seulement les itinéraires de l’inhumanité, mais aussi le maillage indélébile des nouvelles cultures et identités nées au carrefour de relations, certes entravées par les chaînes, mais néanmoins fécondées par les liens tissés d’un continent à l’autre e</w:t>
      </w:r>
      <w:r w:rsidRPr="00E8358C">
        <w:t>n</w:t>
      </w:r>
      <w:r w:rsidRPr="00E8358C">
        <w:t>tre les peuples et les individus</w:t>
      </w:r>
      <w:r>
        <w:t> </w:t>
      </w:r>
      <w:r>
        <w:rPr>
          <w:rStyle w:val="Appelnotedebasdep"/>
        </w:rPr>
        <w:footnoteReference w:id="1033"/>
      </w:r>
      <w:r w:rsidRPr="00E8358C">
        <w:t xml:space="preserve">. </w:t>
      </w:r>
    </w:p>
    <w:p w:rsidR="004C50DC" w:rsidRPr="00E8358C" w:rsidRDefault="004C50DC" w:rsidP="004C50DC">
      <w:pPr>
        <w:pStyle w:val="Citation0"/>
      </w:pPr>
    </w:p>
    <w:p w:rsidR="004C50DC" w:rsidRDefault="004C50DC" w:rsidP="004C50DC">
      <w:pPr>
        <w:spacing w:before="120" w:after="120"/>
        <w:jc w:val="both"/>
      </w:pPr>
      <w:r>
        <w:t>[416]</w:t>
      </w:r>
    </w:p>
    <w:p w:rsidR="004C50DC" w:rsidRPr="00E8358C" w:rsidRDefault="004C50DC" w:rsidP="004C50DC">
      <w:pPr>
        <w:spacing w:before="120" w:after="120"/>
        <w:jc w:val="both"/>
      </w:pPr>
      <w:r w:rsidRPr="00E8358C">
        <w:t>L’UNESCO entend donc inciter des recherches sur la Traite n</w:t>
      </w:r>
      <w:r w:rsidRPr="00E8358C">
        <w:t>é</w:t>
      </w:r>
      <w:r w:rsidRPr="00E8358C">
        <w:t>grière et l’esclavage qui ont affecté tous les continents, provoqué des bouleversements considérables et modelé en conséquence les sociétés actuelles. De ce fait, trois principaux objectifs orientent ses actions :</w:t>
      </w:r>
    </w:p>
    <w:p w:rsidR="004C50DC" w:rsidRDefault="004C50DC" w:rsidP="004C50DC">
      <w:pPr>
        <w:spacing w:before="120" w:after="120"/>
        <w:ind w:left="720" w:hanging="360"/>
        <w:jc w:val="both"/>
      </w:pPr>
    </w:p>
    <w:p w:rsidR="004C50DC" w:rsidRPr="00E8358C" w:rsidRDefault="004C50DC" w:rsidP="004C50DC">
      <w:pPr>
        <w:spacing w:before="120" w:after="120"/>
        <w:ind w:left="720" w:hanging="360"/>
        <w:jc w:val="both"/>
      </w:pPr>
      <w:r w:rsidRPr="00E8358C">
        <w:t>-</w:t>
      </w:r>
      <w:r>
        <w:tab/>
      </w:r>
      <w:r w:rsidRPr="00E8358C">
        <w:t>rompre le silence sur la tragédie de la Traite négrière et de l’esclavage en contribuant à une meilleure compréhension de ses causes profondes, de ses enjeux et de ses modalités d’opération par des travaux scientifiques pluridisciplinaires ;</w:t>
      </w:r>
    </w:p>
    <w:p w:rsidR="004C50DC" w:rsidRPr="00E8358C" w:rsidRDefault="004C50DC" w:rsidP="004C50DC">
      <w:pPr>
        <w:spacing w:before="120" w:after="120"/>
        <w:ind w:left="720" w:hanging="360"/>
        <w:jc w:val="both"/>
      </w:pPr>
      <w:r w:rsidRPr="00E8358C">
        <w:t>-</w:t>
      </w:r>
      <w:r>
        <w:tab/>
      </w:r>
      <w:r w:rsidRPr="00E8358C">
        <w:t>mettre en lumière, de manière objective, ses conséquences sur les sociétés modernes, notamment les transformations globales et les interactions culturelles entre les peuples que cette tragédie a pu générer ;</w:t>
      </w:r>
    </w:p>
    <w:p w:rsidR="004C50DC" w:rsidRPr="00E8358C" w:rsidRDefault="004C50DC" w:rsidP="004C50DC">
      <w:pPr>
        <w:spacing w:before="120" w:after="120"/>
        <w:ind w:left="720" w:hanging="360"/>
        <w:jc w:val="both"/>
      </w:pPr>
      <w:r w:rsidRPr="00E8358C">
        <w:t>-</w:t>
      </w:r>
      <w:r>
        <w:tab/>
      </w:r>
      <w:r w:rsidRPr="00E8358C">
        <w:t>contribuer à la culture de la paix et à la coexistence pacifique entre les peuples en favorisant notamment la réflexion sur le pluralisme culturel, la construction de nouvelles identités et c</w:t>
      </w:r>
      <w:r w:rsidRPr="00E8358C">
        <w:t>i</w:t>
      </w:r>
      <w:r w:rsidRPr="00E8358C">
        <w:t>toyennetés et sur le dialogue interculturel</w:t>
      </w:r>
      <w:r>
        <w:t> </w:t>
      </w:r>
      <w:r w:rsidRPr="00E8358C">
        <w:rPr>
          <w:rStyle w:val="Appelnotedebasdep"/>
        </w:rPr>
        <w:footnoteReference w:id="1034"/>
      </w:r>
      <w:r w:rsidRPr="00E8358C">
        <w:t>.</w:t>
      </w:r>
    </w:p>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Le projet « La Route de l’Esclave » fut lancé après consultation avec des historiens, des anthropologues, des chercheurs et des États membres avec deux grands objectifs. Le premier était d’étudier les conditions de l’esclavage, c’est-à-dire d’examiner les causes profo</w:t>
      </w:r>
      <w:r w:rsidRPr="00E8358C">
        <w:rPr>
          <w:bCs/>
        </w:rPr>
        <w:t>n</w:t>
      </w:r>
      <w:r w:rsidRPr="00E8358C">
        <w:rPr>
          <w:bCs/>
        </w:rPr>
        <w:t>des et le déroulement de l’esclavage transatlantique et transsaharien ; le second était d’analyser et de mettre en lumière les conséquences factuelles et les impacts du système esclavagiste sur les pays conce</w:t>
      </w:r>
      <w:r w:rsidRPr="00E8358C">
        <w:rPr>
          <w:bCs/>
        </w:rPr>
        <w:t>r</w:t>
      </w:r>
      <w:r w:rsidRPr="00E8358C">
        <w:rPr>
          <w:bCs/>
        </w:rPr>
        <w:t xml:space="preserve">nés et sur le monde. </w:t>
      </w:r>
    </w:p>
    <w:p w:rsidR="004C50DC" w:rsidRDefault="004C50DC" w:rsidP="004C50DC">
      <w:pPr>
        <w:spacing w:before="120" w:after="120"/>
        <w:jc w:val="both"/>
        <w:rPr>
          <w:bCs/>
        </w:rPr>
      </w:pPr>
      <w:r w:rsidRPr="00E8358C">
        <w:rPr>
          <w:bCs/>
        </w:rPr>
        <w:t>La démarche se voulait non émotionnelle, et scientifique. Un com</w:t>
      </w:r>
      <w:r w:rsidRPr="00E8358C">
        <w:rPr>
          <w:bCs/>
        </w:rPr>
        <w:t>i</w:t>
      </w:r>
      <w:r w:rsidRPr="00E8358C">
        <w:rPr>
          <w:bCs/>
        </w:rPr>
        <w:t>té scientifique international a été créé et a contribué à structurer le projet sur les questions les plus importantes. La première question est d’ordre historique. Quelle est l’origine de l’esclavage ? Quels en sont les facteurs explicatifs ? Elle analyse les faits matériels de la Traite négrière. La deuxième question est liée au contexte éthique et polit</w:t>
      </w:r>
      <w:r w:rsidRPr="00E8358C">
        <w:rPr>
          <w:bCs/>
        </w:rPr>
        <w:t>i</w:t>
      </w:r>
      <w:r w:rsidRPr="00E8358C">
        <w:rPr>
          <w:bCs/>
        </w:rPr>
        <w:t>que de l’émergence de l’esclavage transatlantique. Dans quelle société et selon quelles valeurs cet esclavage est-il né ?</w:t>
      </w:r>
    </w:p>
    <w:p w:rsidR="004C50DC" w:rsidRPr="00E8358C" w:rsidRDefault="004C50DC" w:rsidP="004C50DC">
      <w:pPr>
        <w:spacing w:before="120" w:after="120"/>
        <w:jc w:val="both"/>
        <w:rPr>
          <w:bCs/>
        </w:rPr>
      </w:pPr>
      <w:r>
        <w:rPr>
          <w:bCs/>
        </w:rPr>
        <w:t>[417]</w:t>
      </w:r>
    </w:p>
    <w:p w:rsidR="004C50DC" w:rsidRPr="00E8358C" w:rsidRDefault="004C50DC" w:rsidP="004C50DC">
      <w:pPr>
        <w:spacing w:before="120" w:after="120"/>
        <w:jc w:val="both"/>
        <w:rPr>
          <w:bCs/>
        </w:rPr>
      </w:pPr>
      <w:r w:rsidRPr="00E8358C">
        <w:rPr>
          <w:bCs/>
        </w:rPr>
        <w:t>La réunion de Copenhague</w:t>
      </w:r>
      <w:r>
        <w:rPr>
          <w:bCs/>
        </w:rPr>
        <w:t> </w:t>
      </w:r>
      <w:r w:rsidRPr="00E8358C">
        <w:rPr>
          <w:rStyle w:val="Appelnotedebasdep"/>
          <w:bCs/>
        </w:rPr>
        <w:footnoteReference w:id="1035"/>
      </w:r>
      <w:r>
        <w:rPr>
          <w:bCs/>
        </w:rPr>
        <w:t xml:space="preserve"> </w:t>
      </w:r>
      <w:r w:rsidRPr="00E8358C">
        <w:rPr>
          <w:bCs/>
        </w:rPr>
        <w:t>sur « Les archives européennes de la Traite négrière »</w:t>
      </w:r>
      <w:r>
        <w:rPr>
          <w:bCs/>
        </w:rPr>
        <w:t> </w:t>
      </w:r>
      <w:r w:rsidRPr="00E8358C">
        <w:rPr>
          <w:rStyle w:val="Appelnotedebasdep"/>
          <w:bCs/>
        </w:rPr>
        <w:footnoteReference w:id="1036"/>
      </w:r>
      <w:r w:rsidRPr="00E8358C">
        <w:rPr>
          <w:bCs/>
        </w:rPr>
        <w:t xml:space="preserve"> en 1998 a permis une démocratisation des arch</w:t>
      </w:r>
      <w:r w:rsidRPr="00E8358C">
        <w:rPr>
          <w:bCs/>
        </w:rPr>
        <w:t>i</w:t>
      </w:r>
      <w:r w:rsidRPr="00E8358C">
        <w:rPr>
          <w:bCs/>
        </w:rPr>
        <w:t>ves documentaires sur l’esclavage. Des directeurs de bibliothèques et d’archives ainsi que des historiens et des chercheurs venus d’Europe, des Antilles, d’Afrique et des Amériques à l’invitation de l’UNESCO, étaient présents. Les questions fondamentales adressées aux directeurs des centres de documentation constituaient l’axe de la rencontre : qu’est-ce que vous avez comme documents sur l’esclavage ? Est-ce que vous êtes prêts à les mettre à la disposition des chercheurs ? Les directeurs ont donné leur accord. Cet accord a été une percée impo</w:t>
      </w:r>
      <w:r w:rsidRPr="00E8358C">
        <w:rPr>
          <w:bCs/>
        </w:rPr>
        <w:t>r</w:t>
      </w:r>
      <w:r w:rsidRPr="00E8358C">
        <w:rPr>
          <w:bCs/>
        </w:rPr>
        <w:t>tante dans la réalisation du projet de la « Route de l’Esclave ». Le tr</w:t>
      </w:r>
      <w:r w:rsidRPr="00E8358C">
        <w:rPr>
          <w:bCs/>
        </w:rPr>
        <w:t>a</w:t>
      </w:r>
      <w:r w:rsidRPr="00E8358C">
        <w:rPr>
          <w:bCs/>
        </w:rPr>
        <w:t xml:space="preserve">vail de mobilisation et d’implication des acteurs concernés a été fait à la fois dans l’aire géographique d’où l’esclavage transatlantique est parti, mais aussi dans les aires géographiques qui l’ont subi comme l’Afrique, les Amériques et les Caraïbes. </w:t>
      </w:r>
    </w:p>
    <w:p w:rsidR="004C50DC" w:rsidRDefault="004C50DC" w:rsidP="004C50DC">
      <w:pPr>
        <w:spacing w:before="120" w:after="120"/>
        <w:jc w:val="both"/>
      </w:pPr>
      <w:r w:rsidRPr="00E8358C">
        <w:t>Les pays scandinaves impliqués dans la Traite négrière et l’esclavage ont également été mobilisés, notamment la Norvège qui a contribué à hauteur de trois millions de dollars au financement du pr</w:t>
      </w:r>
      <w:r w:rsidRPr="00E8358C">
        <w:t>o</w:t>
      </w:r>
      <w:r w:rsidRPr="00E8358C">
        <w:t>jet « La Route de l’Esclave »</w:t>
      </w:r>
      <w:r w:rsidRPr="00E8358C">
        <w:rPr>
          <w:rStyle w:val="Appelnotedebasdep"/>
        </w:rPr>
        <w:footnoteReference w:id="1037"/>
      </w:r>
      <w:r w:rsidRPr="00E8358C">
        <w:t xml:space="preserve">. Cette contribution avait été motivée par la découverte en 1974, au large de la Norvège, de l’épave d’un bateau négrier, le </w:t>
      </w:r>
      <w:r w:rsidRPr="00E8358C">
        <w:rPr>
          <w:i/>
        </w:rPr>
        <w:t>Fredensborg</w:t>
      </w:r>
      <w:r w:rsidRPr="00E8358C">
        <w:t>, qui avait fait naufrage en 1768. L’équipe d’archéologues norvégiens à l’origine de cette découverte était dirigée par Leif Svales en qui allait devenir aussi un membre du Comité scientifique international de la « Route de l’Esclave ». Les chercheurs avaient mis en relief cette épave et s’étaient rendu compte que ce bateau assurait le trafic triangulaire (de la Norvège en Afrique et ensuite dans les îles Vierges). Ils ont restauré ce navire et ont amené le gouvernement norvégien à assumer son rôle historique dans cette tragédie. Aujourd’hui, on peut le visiter dans le grand musée de la Marine à Oslo. Toujours dans la même veine de transmission de cette mémoire, un livre de bandes dessinées a été édité à l’intention des e</w:t>
      </w:r>
      <w:r w:rsidRPr="00E8358C">
        <w:t>n</w:t>
      </w:r>
      <w:r w:rsidRPr="00E8358C">
        <w:t>fants pour raconter l’histoire de ce navire. De plus, une délégation o</w:t>
      </w:r>
      <w:r w:rsidRPr="00E8358C">
        <w:t>f</w:t>
      </w:r>
      <w:r w:rsidRPr="00E8358C">
        <w:t>ficielle norvégienne a rencontré le président du Ghana afin de prése</w:t>
      </w:r>
      <w:r w:rsidRPr="00E8358C">
        <w:t>n</w:t>
      </w:r>
      <w:r w:rsidRPr="00E8358C">
        <w:t>ter le pardon de la Norvège pour les torts faits aux esclave</w:t>
      </w:r>
      <w:r>
        <w:t>s ghanéens.</w:t>
      </w:r>
    </w:p>
    <w:p w:rsidR="004C50DC" w:rsidRPr="00E8358C" w:rsidRDefault="004C50DC" w:rsidP="004C50DC">
      <w:pPr>
        <w:spacing w:before="120" w:after="120"/>
        <w:jc w:val="both"/>
      </w:pPr>
      <w:r>
        <w:t>[418]</w:t>
      </w:r>
    </w:p>
    <w:p w:rsidR="004C50DC" w:rsidRPr="00E8358C" w:rsidRDefault="004C50DC" w:rsidP="004C50DC">
      <w:pPr>
        <w:spacing w:before="120" w:after="120"/>
        <w:jc w:val="both"/>
        <w:rPr>
          <w:bCs/>
        </w:rPr>
      </w:pPr>
      <w:r w:rsidRPr="00E8358C">
        <w:rPr>
          <w:bCs/>
        </w:rPr>
        <w:t>Aux États-Unis, les chercheurs américains, en particulier les hist</w:t>
      </w:r>
      <w:r w:rsidRPr="00E8358C">
        <w:rPr>
          <w:bCs/>
        </w:rPr>
        <w:t>o</w:t>
      </w:r>
      <w:r w:rsidRPr="00E8358C">
        <w:rPr>
          <w:bCs/>
        </w:rPr>
        <w:t>riens, avaient déjà commencé à travailler sur les mémoires de l’esclavage chez eux. Toutefois, certains d’entre eux ont rejoint le pr</w:t>
      </w:r>
      <w:r w:rsidRPr="00E8358C">
        <w:rPr>
          <w:bCs/>
        </w:rPr>
        <w:t>o</w:t>
      </w:r>
      <w:r w:rsidRPr="00E8358C">
        <w:rPr>
          <w:bCs/>
        </w:rPr>
        <w:t>jet de la « Route de l’Esclave » et adhèrent au comité scientifique i</w:t>
      </w:r>
      <w:r w:rsidRPr="00E8358C">
        <w:rPr>
          <w:bCs/>
        </w:rPr>
        <w:t>n</w:t>
      </w:r>
      <w:r w:rsidRPr="00E8358C">
        <w:rPr>
          <w:bCs/>
        </w:rPr>
        <w:t>ternational. Au départ, le gouvernement américain a tardé à s’investir de peur que ce projet ne fasse ressurgir la question des réparations qui est déjà revendiquée par des communautés noires. Cependant, l’UNESCO avait vivement encouragé les autorités américaines à s’y impliquer</w:t>
      </w:r>
      <w:r>
        <w:rPr>
          <w:bCs/>
        </w:rPr>
        <w:t> </w:t>
      </w:r>
      <w:r w:rsidRPr="00E8358C">
        <w:rPr>
          <w:rStyle w:val="Appelnotedebasdep"/>
          <w:bCs/>
        </w:rPr>
        <w:footnoteReference w:id="1038"/>
      </w:r>
      <w:r w:rsidRPr="00E8358C">
        <w:rPr>
          <w:bCs/>
        </w:rPr>
        <w:t>. Des réticences et des lenteurs ont été aussi observées au niveau de l’État brésilien pour prendre part au projet. L’Angola, a</w:t>
      </w:r>
      <w:r w:rsidRPr="00E8358C">
        <w:rPr>
          <w:bCs/>
        </w:rPr>
        <w:t>p</w:t>
      </w:r>
      <w:r w:rsidRPr="00E8358C">
        <w:rPr>
          <w:bCs/>
        </w:rPr>
        <w:t>puyé par d’autres pays impliqués dans le projet, a finalement porté les autorités brésiliennes à se rétracter. Depuis, le Brésil participe au pr</w:t>
      </w:r>
      <w:r w:rsidRPr="00E8358C">
        <w:rPr>
          <w:bCs/>
        </w:rPr>
        <w:t>o</w:t>
      </w:r>
      <w:r w:rsidRPr="00E8358C">
        <w:rPr>
          <w:bCs/>
        </w:rPr>
        <w:t xml:space="preserve">jet ; ce pays compte parmi les États où le travail de mémoire sur la Traite négrière et l’esclavage est très pertinent.  </w:t>
      </w:r>
    </w:p>
    <w:p w:rsidR="004C50DC" w:rsidRPr="00E8358C" w:rsidRDefault="004C50DC" w:rsidP="004C50DC">
      <w:pPr>
        <w:spacing w:before="120" w:after="120"/>
        <w:jc w:val="both"/>
        <w:rPr>
          <w:bCs/>
        </w:rPr>
      </w:pPr>
      <w:r w:rsidRPr="00E8358C">
        <w:rPr>
          <w:bCs/>
        </w:rPr>
        <w:t>Selon Doudou Diène, l’esclavage transatlantique constitue le fait historique de l’humanité qui a fait l’objet du plus grand révisionni</w:t>
      </w:r>
      <w:r w:rsidRPr="00E8358C">
        <w:rPr>
          <w:bCs/>
        </w:rPr>
        <w:t>s</w:t>
      </w:r>
      <w:r w:rsidRPr="00E8358C">
        <w:rPr>
          <w:bCs/>
        </w:rPr>
        <w:t>me</w:t>
      </w:r>
      <w:r>
        <w:rPr>
          <w:bCs/>
        </w:rPr>
        <w:t> </w:t>
      </w:r>
      <w:r w:rsidRPr="00E8358C">
        <w:rPr>
          <w:rStyle w:val="Appelnotedebasdep"/>
          <w:bCs/>
        </w:rPr>
        <w:footnoteReference w:id="1039"/>
      </w:r>
      <w:r w:rsidRPr="00E8358C">
        <w:rPr>
          <w:bCs/>
        </w:rPr>
        <w:t>, le moins connu, celui dont la mémoire a été la plus effacée. De telles observations ont été à la base du lancement du projet de la « Route de l’Esclave ». Tous les pays concernés d’Afrique, des Am</w:t>
      </w:r>
      <w:r w:rsidRPr="00E8358C">
        <w:rPr>
          <w:bCs/>
        </w:rPr>
        <w:t>é</w:t>
      </w:r>
      <w:r w:rsidRPr="00E8358C">
        <w:rPr>
          <w:bCs/>
        </w:rPr>
        <w:t>riques, de la Caraïbe et d’Europe ont été invités à mettre sur pied un comité national de la « Route de l’Esclave ». La logique, c’est que le projet doit être porté à la fois par les pays concernés parce que c’est leur histoire et que c’est à eux que revient le droit de prendre la par</w:t>
      </w:r>
      <w:r w:rsidRPr="00E8358C">
        <w:rPr>
          <w:bCs/>
        </w:rPr>
        <w:t>o</w:t>
      </w:r>
      <w:r w:rsidRPr="00E8358C">
        <w:rPr>
          <w:bCs/>
        </w:rPr>
        <w:t>le, mais aussi parce que ces pays doivent le réaliser sur une base scie</w:t>
      </w:r>
      <w:r w:rsidRPr="00E8358C">
        <w:rPr>
          <w:bCs/>
        </w:rPr>
        <w:t>n</w:t>
      </w:r>
      <w:r w:rsidRPr="00E8358C">
        <w:rPr>
          <w:bCs/>
        </w:rPr>
        <w:t xml:space="preserve">tifique. </w:t>
      </w:r>
    </w:p>
    <w:p w:rsidR="004C50DC" w:rsidRPr="00E8358C" w:rsidRDefault="004C50DC" w:rsidP="004C50DC">
      <w:pPr>
        <w:spacing w:before="120" w:after="120"/>
        <w:jc w:val="both"/>
        <w:rPr>
          <w:bCs/>
        </w:rPr>
      </w:pPr>
      <w:r w:rsidRPr="00E8358C">
        <w:rPr>
          <w:bCs/>
        </w:rPr>
        <w:t>Dès le départ, la gravité et l’ampleur de l’esclavage ont été mises en lumière. C’est un crime contre l’humanité qui n’a pas fait l’objet de sanctions. Donc, l’aspect historique et factuel de l’esclavage et de la Traite des Noirs, leur déroulement, leurs conséquences sur les sociétés actuelles, ont conduit à leur reconnaissance comme crime contre l’humanité par l’UNESCO à la conférence de Durban de 2001</w:t>
      </w:r>
      <w:r>
        <w:rPr>
          <w:bCs/>
        </w:rPr>
        <w:t> </w:t>
      </w:r>
      <w:r>
        <w:rPr>
          <w:rStyle w:val="Appelnotedebasdep"/>
          <w:bCs/>
        </w:rPr>
        <w:footnoteReference w:id="1040"/>
      </w:r>
      <w:r w:rsidRPr="00E8358C">
        <w:rPr>
          <w:bCs/>
        </w:rPr>
        <w:t>. Un caractère universel est donné à</w:t>
      </w:r>
      <w:r>
        <w:rPr>
          <w:bCs/>
        </w:rPr>
        <w:t xml:space="preserve"> [419]</w:t>
      </w:r>
      <w:r w:rsidRPr="00E8358C">
        <w:rPr>
          <w:bCs/>
        </w:rPr>
        <w:t xml:space="preserve"> la « Route de l’Esclave » par ce</w:t>
      </w:r>
      <w:r w:rsidRPr="00E8358C">
        <w:rPr>
          <w:bCs/>
        </w:rPr>
        <w:t>t</w:t>
      </w:r>
      <w:r w:rsidRPr="00E8358C">
        <w:rPr>
          <w:bCs/>
        </w:rPr>
        <w:t xml:space="preserve">te déclaration. La question de l’esclavage, qui a été occultée pendant des siècles, est devenue depuis une question internationale. Elle ne concerne pas seulement les victimes d’Afrique, des Amériques et de la Caraïbe et de leurs « bourreaux » européens, mais également l’humanité tout entière.  </w:t>
      </w:r>
    </w:p>
    <w:p w:rsidR="004C50DC" w:rsidRDefault="004C50DC" w:rsidP="004C50DC">
      <w:pPr>
        <w:spacing w:before="120" w:after="120"/>
        <w:jc w:val="both"/>
      </w:pPr>
      <w:r w:rsidRPr="00E8358C">
        <w:rPr>
          <w:bCs/>
        </w:rPr>
        <w:t>Aujourd’hui, le comité scientifique international et les comités n</w:t>
      </w:r>
      <w:r w:rsidRPr="00E8358C">
        <w:rPr>
          <w:bCs/>
        </w:rPr>
        <w:t>a</w:t>
      </w:r>
      <w:r w:rsidRPr="00E8358C">
        <w:rPr>
          <w:bCs/>
        </w:rPr>
        <w:t>tionaux développent des programmes de recherche et publient des d</w:t>
      </w:r>
      <w:r w:rsidRPr="00E8358C">
        <w:rPr>
          <w:bCs/>
        </w:rPr>
        <w:t>o</w:t>
      </w:r>
      <w:r w:rsidRPr="00E8358C">
        <w:rPr>
          <w:bCs/>
        </w:rPr>
        <w:t xml:space="preserve">cuments. Ils veulent ensemble dynamiser les recherches sur l’esclavage, son histoire, ses mémoires et ses conséquences, ce qui amène </w:t>
      </w:r>
      <w:r w:rsidRPr="00E8358C">
        <w:t>Doudou Diène</w:t>
      </w:r>
      <w:r>
        <w:t> </w:t>
      </w:r>
      <w:r>
        <w:rPr>
          <w:rStyle w:val="Appelnotedebasdep"/>
        </w:rPr>
        <w:footnoteReference w:id="1041"/>
      </w:r>
      <w:r w:rsidRPr="00E8358C">
        <w:t xml:space="preserve"> à dire que : « exposer l’esclavage, c’est exp</w:t>
      </w:r>
      <w:r w:rsidRPr="00E8358C">
        <w:t>o</w:t>
      </w:r>
      <w:r w:rsidRPr="00E8358C">
        <w:t>ser un phénomène qui est marqué par deux caractéristiques, le s</w:t>
      </w:r>
      <w:r w:rsidRPr="00E8358C">
        <w:t>i</w:t>
      </w:r>
      <w:r w:rsidRPr="00E8358C">
        <w:t>lence et l’invisibilité. Le silence sur ce fait historique interpelle les musées et les hommes des musées et l’invisibilité de ses vict</w:t>
      </w:r>
      <w:r w:rsidRPr="00E8358C">
        <w:t>i</w:t>
      </w:r>
      <w:r w:rsidRPr="00E8358C">
        <w:t>mes »</w:t>
      </w:r>
      <w:r>
        <w:t> </w:t>
      </w:r>
      <w:r>
        <w:rPr>
          <w:rStyle w:val="Appelnotedebasdep"/>
        </w:rPr>
        <w:footnoteReference w:id="1042"/>
      </w:r>
      <w:r w:rsidRPr="00E8358C">
        <w:t>.</w:t>
      </w:r>
    </w:p>
    <w:p w:rsidR="004C50DC" w:rsidRPr="00E8358C" w:rsidRDefault="004C50DC" w:rsidP="004C50DC">
      <w:pPr>
        <w:spacing w:before="120" w:after="120"/>
        <w:jc w:val="both"/>
      </w:pPr>
    </w:p>
    <w:p w:rsidR="004C50DC" w:rsidRPr="00E8358C" w:rsidRDefault="004C50DC" w:rsidP="004C50DC">
      <w:pPr>
        <w:pStyle w:val="planche"/>
      </w:pPr>
      <w:bookmarkStart w:id="554" w:name="_Toc442280589"/>
      <w:bookmarkStart w:id="555" w:name="Memoire_chap_VIII_3"/>
      <w:r w:rsidRPr="00E8358C">
        <w:t>8.3. Comité national haïtien</w:t>
      </w:r>
      <w:r>
        <w:br/>
      </w:r>
      <w:r w:rsidRPr="00E8358C">
        <w:t>de « la Route de l’Esclave » :</w:t>
      </w:r>
      <w:r>
        <w:br/>
      </w:r>
      <w:r w:rsidRPr="00E8358C">
        <w:t>état des</w:t>
      </w:r>
      <w:r>
        <w:t xml:space="preserve"> </w:t>
      </w:r>
      <w:r w:rsidRPr="00E8358C">
        <w:t>lieux</w:t>
      </w:r>
      <w:bookmarkEnd w:id="554"/>
    </w:p>
    <w:bookmarkEnd w:id="555"/>
    <w:p w:rsidR="004C50DC" w:rsidRDefault="004C50DC" w:rsidP="004C50DC">
      <w:pPr>
        <w:spacing w:before="120" w:after="120"/>
        <w:jc w:val="both"/>
        <w:rPr>
          <w:bCs/>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bCs/>
        </w:rPr>
      </w:pPr>
      <w:r w:rsidRPr="00E8358C">
        <w:rPr>
          <w:bCs/>
        </w:rPr>
        <w:t>Dès le départ, à l’UNESCO, il avait été convenu que le pays qui a</w:t>
      </w:r>
      <w:r w:rsidRPr="00E8358C">
        <w:rPr>
          <w:bCs/>
        </w:rPr>
        <w:t>l</w:t>
      </w:r>
      <w:r w:rsidRPr="00E8358C">
        <w:rPr>
          <w:bCs/>
        </w:rPr>
        <w:t>lait jouer un rôle central dans ce programme serait Haïti, car c’est le pays où les luttes contre l’esclavage transatlantique ont pris les formes les plus radicales avec la révolte de Saint-Domingue de 1791 qui avait secoué le système esclavagiste, et la guerre de l’Indépendance qui avait conduit à la création de la première République noire en 1804. C’est l’un des premiers pays à avoir mis sur pied un comité national appuyé par l’UNESCO en 1994. Ce comité était soutenu politiqu</w:t>
      </w:r>
      <w:r w:rsidRPr="00E8358C">
        <w:rPr>
          <w:bCs/>
        </w:rPr>
        <w:t>e</w:t>
      </w:r>
      <w:r w:rsidRPr="00E8358C">
        <w:rPr>
          <w:bCs/>
        </w:rPr>
        <w:t xml:space="preserve">ment par le gouvernement haïtien. Il regroupait des chercheurs comme Laënnec Hurbon, </w:t>
      </w:r>
      <w:r w:rsidRPr="00792DC7">
        <w:t xml:space="preserve">Jacky Lumarque, </w:t>
      </w:r>
      <w:r w:rsidRPr="00E8358C">
        <w:rPr>
          <w:bCs/>
        </w:rPr>
        <w:t>Michel Hector et Yanick Lahens, entre autres, qui se battaient depuis des années pour inciter les Ha</w:t>
      </w:r>
      <w:r w:rsidRPr="00E8358C">
        <w:rPr>
          <w:bCs/>
        </w:rPr>
        <w:t>ï</w:t>
      </w:r>
      <w:r w:rsidRPr="00E8358C">
        <w:rPr>
          <w:bCs/>
        </w:rPr>
        <w:t xml:space="preserve">tiens à assumer leurs mémoires de l’esclavage. </w:t>
      </w:r>
    </w:p>
    <w:p w:rsidR="004C50DC" w:rsidRPr="00E8358C" w:rsidRDefault="004C50DC" w:rsidP="004C50DC">
      <w:pPr>
        <w:spacing w:before="120" w:after="120"/>
        <w:jc w:val="both"/>
      </w:pPr>
      <w:r w:rsidRPr="00E8358C">
        <w:rPr>
          <w:bCs/>
        </w:rPr>
        <w:t>Des réunions ont été réalisées en Haïti pour lancer le projet en 1994. Certaines recherches et activités ont été encouragées, outre des publications sur le sujet</w:t>
      </w:r>
      <w:r>
        <w:rPr>
          <w:bCs/>
        </w:rPr>
        <w:t> </w:t>
      </w:r>
      <w:r>
        <w:rPr>
          <w:rStyle w:val="Appelnotedebasdep"/>
          <w:bCs/>
        </w:rPr>
        <w:footnoteReference w:id="1043"/>
      </w:r>
      <w:r w:rsidRPr="00E8358C">
        <w:rPr>
          <w:bCs/>
        </w:rPr>
        <w:t xml:space="preserve">. </w:t>
      </w:r>
      <w:r w:rsidRPr="00E8358C">
        <w:t>Par exemple, une</w:t>
      </w:r>
      <w:r>
        <w:t xml:space="preserve"> [420]</w:t>
      </w:r>
      <w:r w:rsidRPr="00E8358C">
        <w:t xml:space="preserve"> table ronde sur l’insurrection de Saint-Domingue de 1791 avait été organisée, du 8 au 10 décembre 1997. Selon Laënnec Hurbon, il fallait attirer l’attention du public sur le fait que la France allait célébrer, en 1998, le 150</w:t>
      </w:r>
      <w:r w:rsidRPr="00E8358C">
        <w:rPr>
          <w:vertAlign w:val="superscript"/>
        </w:rPr>
        <w:t>e</w:t>
      </w:r>
      <w:r w:rsidRPr="00E8358C">
        <w:t xml:space="preserve"> a</w:t>
      </w:r>
      <w:r w:rsidRPr="00E8358C">
        <w:t>n</w:t>
      </w:r>
      <w:r w:rsidRPr="00E8358C">
        <w:t>niversaire de l’abolition de l’esclavage dans les colonies françaises, alors qu’Haïti avait été, « sans conteste, le détonateur de la longue chaîne des abolitions qui allaient se succéder jusqu’en 1888, année de la dernière abolition au Brésil »</w:t>
      </w:r>
      <w:r>
        <w:t> </w:t>
      </w:r>
      <w:r>
        <w:rPr>
          <w:rStyle w:val="Appelnotedebasdep"/>
        </w:rPr>
        <w:footnoteReference w:id="1044"/>
      </w:r>
      <w:r w:rsidRPr="00E8358C">
        <w:t>. Cette rencontre fut l’occasion pour les chercheurs de faire entendre leur voix. Ce fut l’une des pr</w:t>
      </w:r>
      <w:r w:rsidRPr="00E8358C">
        <w:t>e</w:t>
      </w:r>
      <w:r w:rsidRPr="00E8358C">
        <w:t>mières activités du comité national haïtien de la « Route de l’Esclave », comme l’a fait remarquer Laënnec Hurbon, et elle a</w:t>
      </w:r>
    </w:p>
    <w:p w:rsidR="004C50DC" w:rsidRDefault="004C50DC" w:rsidP="004C50DC">
      <w:pPr>
        <w:pStyle w:val="Citation0"/>
      </w:pPr>
    </w:p>
    <w:p w:rsidR="004C50DC" w:rsidRDefault="004C50DC" w:rsidP="004C50DC">
      <w:pPr>
        <w:pStyle w:val="Citation0"/>
      </w:pPr>
      <w:r w:rsidRPr="00E8358C">
        <w:t>permis d’approfondir et de clarifier un certain nombre de questions centr</w:t>
      </w:r>
      <w:r w:rsidRPr="00E8358C">
        <w:t>a</w:t>
      </w:r>
      <w:r w:rsidRPr="00E8358C">
        <w:t>les sur l’esclavage et son abolition, dont notamment celles qui portent sur les idéaux fondateurs de l’insurrection, sur les préparatifs et ses antéc</w:t>
      </w:r>
      <w:r w:rsidRPr="00E8358C">
        <w:t>é</w:t>
      </w:r>
      <w:r w:rsidRPr="00E8358C">
        <w:t>dents, son organisation, ses leaders et son aire d’expansion à Saint-Domingue et dans les colonies environnantes</w:t>
      </w:r>
      <w:r>
        <w:t> </w:t>
      </w:r>
      <w:r>
        <w:rPr>
          <w:rStyle w:val="Appelnotedebasdep"/>
        </w:rPr>
        <w:footnoteReference w:id="1045"/>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Les participants à cette table ronde sont unanimes à reconnaître qu’ils sont « encore loin de pouvoir dépouiller et analyser tous les d</w:t>
      </w:r>
      <w:r w:rsidRPr="00E8358C">
        <w:t>o</w:t>
      </w:r>
      <w:r w:rsidRPr="00E8358C">
        <w:t>cuments cachés et inexplorés dans les archives de l’Afrique, de l’Europe et des Amériques sur le phénomène de la traite et de l’esclavage »</w:t>
      </w:r>
      <w:r>
        <w:t> </w:t>
      </w:r>
      <w:r w:rsidRPr="00E8358C">
        <w:rPr>
          <w:rStyle w:val="Appelnotedebasdep"/>
        </w:rPr>
        <w:footnoteReference w:id="1046"/>
      </w:r>
      <w:r w:rsidRPr="00E8358C">
        <w:t>. L’idée de la création d’un musée de l’esclavage en Haïti a été débattue. Le président René Préval avait donné son accord et avait promis l’appui indéfectible de son gouvernement. Ce musée de l’esclavage devait être inauguré dans le cadre des activités de 2004 qui marquaient le bicentenaire de l’Indépendance d’Haïti ; deux ét</w:t>
      </w:r>
      <w:r w:rsidRPr="00E8358C">
        <w:t>u</w:t>
      </w:r>
      <w:r w:rsidRPr="00E8358C">
        <w:t>des de préfaisabilité avaient déjà été réalisées en 1998 et 1999 avec le soutien de l’UNESCO. Cependant, les bouleversements politiques qu’a connus Haïti, ainsi que l’indifférence des gouvernements entre 2000 et 2010, n’ont pas permis la relance du projet</w:t>
      </w:r>
      <w:r>
        <w:t> </w:t>
      </w:r>
      <w:r>
        <w:rPr>
          <w:rStyle w:val="Appelnotedebasdep"/>
        </w:rPr>
        <w:footnoteReference w:id="1047"/>
      </w:r>
      <w:r w:rsidRPr="00E8358C">
        <w:t xml:space="preserve"> et ont lon</w:t>
      </w:r>
      <w:r w:rsidRPr="00E8358C">
        <w:t>g</w:t>
      </w:r>
      <w:r w:rsidRPr="00E8358C">
        <w:t>temps marginalisé la question. Par ces activités, Haïti tendait à mettre en l</w:t>
      </w:r>
      <w:r w:rsidRPr="00E8358C">
        <w:t>u</w:t>
      </w:r>
      <w:r w:rsidRPr="00E8358C">
        <w:t>mière le</w:t>
      </w:r>
      <w:r>
        <w:t xml:space="preserve"> [421]</w:t>
      </w:r>
      <w:r w:rsidRPr="00E8358C">
        <w:t xml:space="preserve"> fait historique de l’esclavage. Les membres du Comité national haïtien ont pu montrer que si l’esclavage a été aboli sur le plan historique, cette abolition n’a pas été seulement décrétée, mais qu’elle était le résultat de la résistance et de longues luttes m</w:t>
      </w:r>
      <w:r w:rsidRPr="00E8358C">
        <w:t>e</w:t>
      </w:r>
      <w:r w:rsidRPr="00E8358C">
        <w:t xml:space="preserve">nées par les esclaves à Saint-Domingue. En ce sens, des recherches au niveau des universités haïtiennes ont été envisagées.  </w:t>
      </w:r>
    </w:p>
    <w:p w:rsidR="004C50DC" w:rsidRPr="00E8358C" w:rsidRDefault="004C50DC" w:rsidP="004C50DC">
      <w:pPr>
        <w:spacing w:before="120" w:after="120"/>
        <w:jc w:val="both"/>
      </w:pPr>
      <w:r w:rsidRPr="00E8358C">
        <w:t>Le Comité national haïtien de la « Route de l’Esclave », en accord avec la Bibliothèque haïtienne des Pères du Saint-Esprit et les Arch</w:t>
      </w:r>
      <w:r w:rsidRPr="00E8358C">
        <w:t>i</w:t>
      </w:r>
      <w:r w:rsidRPr="00E8358C">
        <w:t>ves nationales, a soumis à l’UNESCO le projet de restaurer, préserver, archiver et diffuser les fonds documentaires des institutions haïtiennes dépositaires de documents du XVIII</w:t>
      </w:r>
      <w:r w:rsidRPr="00E8358C">
        <w:rPr>
          <w:vertAlign w:val="superscript"/>
        </w:rPr>
        <w:t>e</w:t>
      </w:r>
      <w:r w:rsidRPr="00E8358C">
        <w:t xml:space="preserve"> siècle, de fonds d’archives sur l’histoire de l’esclavage et sur les habitations coloniales, notamment sucrières. Cette proposition devait compter parmi les activités prévues pour commémorer le bicentenaire de l’Indépendance haïtienne en 2004. Du 10 au 12 décembre 2009, un colloque international sur le thème « Les religions afro-américaines et la mémoire de l’esclavage » s’est tenu à Port-au-Prince, dans l’intention de réfléchir au rôle de ces religions dans la construction de la mémoire de l’esclavage outre-Atlantique et à leur place dans la problématique de la diversité cult</w:t>
      </w:r>
      <w:r w:rsidRPr="00E8358C">
        <w:t>u</w:t>
      </w:r>
      <w:r w:rsidRPr="00E8358C">
        <w:t>relle</w:t>
      </w:r>
      <w:r>
        <w:t> </w:t>
      </w:r>
      <w:r w:rsidRPr="00E8358C">
        <w:rPr>
          <w:rStyle w:val="Appelnotedebasdep"/>
        </w:rPr>
        <w:footnoteReference w:id="1048"/>
      </w:r>
      <w:r w:rsidRPr="00E8358C">
        <w:t xml:space="preserve">.  </w:t>
      </w:r>
    </w:p>
    <w:p w:rsidR="004C50DC" w:rsidRPr="00E8358C" w:rsidRDefault="004C50DC" w:rsidP="004C50DC">
      <w:pPr>
        <w:spacing w:before="120" w:after="120"/>
        <w:jc w:val="both"/>
      </w:pPr>
      <w:r w:rsidRPr="00E8358C">
        <w:t>Laënnec Hurbon a retracé au colloque marquant les 20 ans</w:t>
      </w:r>
      <w:r>
        <w:t> </w:t>
      </w:r>
      <w:r w:rsidRPr="00E8358C">
        <w:rPr>
          <w:rStyle w:val="Appelnotedebasdep"/>
        </w:rPr>
        <w:footnoteReference w:id="1049"/>
      </w:r>
      <w:r w:rsidRPr="00E8358C">
        <w:t xml:space="preserve"> du pr</w:t>
      </w:r>
      <w:r w:rsidRPr="00E8358C">
        <w:t>o</w:t>
      </w:r>
      <w:r w:rsidRPr="00E8358C">
        <w:t xml:space="preserve">jet de la « Route de l’Esclave » les diverses activités réalisées par le comité national haïtien depuis 1997. Plusieurs publications ont été signalées, entre autres la réédition du </w:t>
      </w:r>
      <w:r w:rsidRPr="00E8358C">
        <w:rPr>
          <w:i/>
        </w:rPr>
        <w:t>Dictionnaire historique de la Révolution haïtienne, 1789-1804</w:t>
      </w:r>
      <w:r>
        <w:t> </w:t>
      </w:r>
      <w:r w:rsidRPr="00E8358C">
        <w:rPr>
          <w:rStyle w:val="Appelnotedebasdep"/>
        </w:rPr>
        <w:footnoteReference w:id="1050"/>
      </w:r>
      <w:r w:rsidRPr="00E8358C">
        <w:t xml:space="preserve"> en 2014, et la publication en 2009 du livre </w:t>
      </w:r>
      <w:r w:rsidRPr="00E8358C">
        <w:rPr>
          <w:i/>
        </w:rPr>
        <w:t>Genèse de l’État Haïtien, 1804-1859</w:t>
      </w:r>
      <w:r w:rsidRPr="00E8358C">
        <w:t>, sous la direction de M</w:t>
      </w:r>
      <w:r w:rsidRPr="00E8358C">
        <w:t>i</w:t>
      </w:r>
      <w:r w:rsidRPr="00E8358C">
        <w:t>chel Hector et Laënnec Hurbon</w:t>
      </w:r>
      <w:r>
        <w:t> </w:t>
      </w:r>
      <w:r>
        <w:rPr>
          <w:rStyle w:val="Appelnotedebasdep"/>
        </w:rPr>
        <w:footnoteReference w:id="1051"/>
      </w:r>
      <w:r w:rsidRPr="00E8358C">
        <w:t xml:space="preserve">. Les actes du colloque tenu en 1998 ont été également publiés sous le titre </w:t>
      </w:r>
      <w:r w:rsidRPr="00E8358C">
        <w:rPr>
          <w:i/>
        </w:rPr>
        <w:t>L’insurrection générale des e</w:t>
      </w:r>
      <w:r w:rsidRPr="00E8358C">
        <w:rPr>
          <w:i/>
        </w:rPr>
        <w:t>s</w:t>
      </w:r>
      <w:r w:rsidRPr="00E8358C">
        <w:rPr>
          <w:i/>
        </w:rPr>
        <w:t>claves de Saint-Domingue le 23 août 1791</w:t>
      </w:r>
      <w:r w:rsidRPr="00E8358C">
        <w:t>. Cette publication était d</w:t>
      </w:r>
      <w:r w:rsidRPr="00E8358C">
        <w:t>i</w:t>
      </w:r>
      <w:r w:rsidRPr="00E8358C">
        <w:t>rigée par Laënnec Hurbon</w:t>
      </w:r>
      <w:r>
        <w:t> </w:t>
      </w:r>
      <w:r>
        <w:rPr>
          <w:rStyle w:val="Appelnotedebasdep"/>
        </w:rPr>
        <w:footnoteReference w:id="1052"/>
      </w:r>
      <w:r w:rsidRPr="00E8358C">
        <w:t>. À ces publications, il faut ajo</w:t>
      </w:r>
      <w:r w:rsidRPr="00E8358C">
        <w:t>u</w:t>
      </w:r>
      <w:r w:rsidRPr="00E8358C">
        <w:t xml:space="preserve">ter l’ouvrage de </w:t>
      </w:r>
      <w:r>
        <w:t xml:space="preserve">[422] </w:t>
      </w:r>
      <w:r w:rsidRPr="00E8358C">
        <w:t xml:space="preserve">Michel Philippe Lerebours, </w:t>
      </w:r>
      <w:r w:rsidRPr="00E8358C">
        <w:rPr>
          <w:i/>
        </w:rPr>
        <w:t>Les habitations sucri</w:t>
      </w:r>
      <w:r w:rsidRPr="00E8358C">
        <w:rPr>
          <w:i/>
        </w:rPr>
        <w:t>è</w:t>
      </w:r>
      <w:r w:rsidRPr="00E8358C">
        <w:rPr>
          <w:i/>
        </w:rPr>
        <w:t>res coloniales</w:t>
      </w:r>
      <w:r w:rsidRPr="00E8358C">
        <w:t>, paru en 1999</w:t>
      </w:r>
      <w:r>
        <w:t> </w:t>
      </w:r>
      <w:r>
        <w:rPr>
          <w:rStyle w:val="Appelnotedebasdep"/>
        </w:rPr>
        <w:footnoteReference w:id="1053"/>
      </w:r>
      <w:r w:rsidRPr="00E8358C">
        <w:t>, qui se présente comme une v</w:t>
      </w:r>
      <w:r w:rsidRPr="00E8358C">
        <w:t>o</w:t>
      </w:r>
      <w:r w:rsidRPr="00E8358C">
        <w:t>lonté de l’auteur de faire l’inventaire des vestiges des habitations c</w:t>
      </w:r>
      <w:r w:rsidRPr="00E8358C">
        <w:t>o</w:t>
      </w:r>
      <w:r w:rsidRPr="00E8358C">
        <w:t>loniales en Haïti et de les inscrire dans un circuit historique de rem</w:t>
      </w:r>
      <w:r w:rsidRPr="00E8358C">
        <w:t>é</w:t>
      </w:r>
      <w:r w:rsidRPr="00E8358C">
        <w:t xml:space="preserve">moration du passé colonial. </w:t>
      </w:r>
    </w:p>
    <w:p w:rsidR="004C50DC" w:rsidRPr="00E8358C" w:rsidRDefault="004C50DC" w:rsidP="004C50DC">
      <w:pPr>
        <w:spacing w:before="120" w:after="120"/>
        <w:jc w:val="both"/>
      </w:pPr>
      <w:r w:rsidRPr="00E8358C">
        <w:t>Après le séisme du 12 janvier 2010, le comité a été sensibilisé au « repérage et à la réparation des monuments et des sites dévastés par le séisme »</w:t>
      </w:r>
      <w:r>
        <w:t> </w:t>
      </w:r>
      <w:r>
        <w:rPr>
          <w:rStyle w:val="Appelnotedebasdep"/>
        </w:rPr>
        <w:footnoteReference w:id="1054"/>
      </w:r>
      <w:r w:rsidRPr="00E8358C">
        <w:t xml:space="preserve"> en rapport avec le passé colonial. Cette préoccupation grandissante est aussi exprimée par divers secteurs du pays qui, deux ans plus tard, vont adhérer à la constitution d’un nouveau comité scientifique multisectoriel haïtien. Les secteurs engagés se montraient aussi inquiets pour la protection de certains sites historiques et mém</w:t>
      </w:r>
      <w:r w:rsidRPr="00E8358C">
        <w:t>o</w:t>
      </w:r>
      <w:r w:rsidRPr="00E8358C">
        <w:t>riels envahis par la population réfugiée sous des tentes de fortune</w:t>
      </w:r>
      <w:r>
        <w:t> </w:t>
      </w:r>
      <w:r w:rsidRPr="00E8358C">
        <w:rPr>
          <w:rStyle w:val="Appelnotedebasdep"/>
        </w:rPr>
        <w:footnoteReference w:id="1055"/>
      </w:r>
      <w:r w:rsidRPr="00E8358C">
        <w:t xml:space="preserve">. </w:t>
      </w:r>
      <w:r w:rsidRPr="00E8358C">
        <w:rPr>
          <w:bCs/>
        </w:rPr>
        <w:t xml:space="preserve">Ainsi, le 12 décembre </w:t>
      </w:r>
      <w:r w:rsidRPr="00E8358C">
        <w:t>2012, la reconstitution du Comité scientifique haïtien du projet « Route de l’Esclave »</w:t>
      </w:r>
      <w:r>
        <w:t> </w:t>
      </w:r>
      <w:r>
        <w:rPr>
          <w:rStyle w:val="Appelnotedebasdep"/>
        </w:rPr>
        <w:footnoteReference w:id="1056"/>
      </w:r>
      <w:r w:rsidRPr="00E8358C">
        <w:t xml:space="preserve"> a permis de relancer </w:t>
      </w:r>
      <w:r w:rsidRPr="00E8358C">
        <w:rPr>
          <w:bCs/>
        </w:rPr>
        <w:t>les re</w:t>
      </w:r>
      <w:r w:rsidRPr="00E8358C">
        <w:rPr>
          <w:bCs/>
        </w:rPr>
        <w:t>n</w:t>
      </w:r>
      <w:r w:rsidRPr="00E8358C">
        <w:rPr>
          <w:bCs/>
        </w:rPr>
        <w:t>contres et les discussions autour du projet de construction du m</w:t>
      </w:r>
      <w:r w:rsidRPr="00E8358C">
        <w:rPr>
          <w:bCs/>
        </w:rPr>
        <w:t>u</w:t>
      </w:r>
      <w:r w:rsidRPr="00E8358C">
        <w:rPr>
          <w:bCs/>
        </w:rPr>
        <w:t xml:space="preserve">sée de l’esclavage </w:t>
      </w:r>
      <w:r w:rsidRPr="00E8358C">
        <w:t>à vocation internationale</w:t>
      </w:r>
      <w:r w:rsidRPr="00E8358C">
        <w:rPr>
          <w:bCs/>
        </w:rPr>
        <w:t>.</w:t>
      </w:r>
      <w:r w:rsidRPr="00E8358C">
        <w:t xml:space="preserve"> Plusieurs institutions, dont l’Université d’État d’Haïti, l’ICOM (Conseil international des m</w:t>
      </w:r>
      <w:r w:rsidRPr="00E8358C">
        <w:t>u</w:t>
      </w:r>
      <w:r w:rsidRPr="00E8358C">
        <w:t>sées), la Société haïtienne d’histoire et de géographie, les Archives nationales, le Musée Ogier-Fombrun et le Musée d’art haïtien du co</w:t>
      </w:r>
      <w:r w:rsidRPr="00E8358C">
        <w:t>l</w:t>
      </w:r>
      <w:r w:rsidRPr="00E8358C">
        <w:t>lège Saint-Pierre y prennent part</w:t>
      </w:r>
      <w:r>
        <w:t> </w:t>
      </w:r>
      <w:r>
        <w:rPr>
          <w:rStyle w:val="Appelnotedebasdep"/>
        </w:rPr>
        <w:footnoteReference w:id="1057"/>
      </w:r>
      <w:r w:rsidRPr="00E8358C">
        <w:t xml:space="preserve">. </w:t>
      </w:r>
    </w:p>
    <w:p w:rsidR="004C50DC" w:rsidRPr="00E8358C" w:rsidRDefault="004C50DC" w:rsidP="004C50DC">
      <w:pPr>
        <w:spacing w:before="120" w:after="120"/>
        <w:jc w:val="both"/>
      </w:pPr>
      <w:r w:rsidRPr="00E8358C">
        <w:t>Le nouveau comité scientifique se donne principalement pour o</w:t>
      </w:r>
      <w:r w:rsidRPr="00E8358C">
        <w:t>b</w:t>
      </w:r>
      <w:r w:rsidRPr="00E8358C">
        <w:t>jectifs</w:t>
      </w:r>
      <w:r>
        <w:t> </w:t>
      </w:r>
      <w:r w:rsidRPr="00E8358C">
        <w:rPr>
          <w:rStyle w:val="Appelnotedebasdep"/>
        </w:rPr>
        <w:footnoteReference w:id="1058"/>
      </w:r>
      <w:r w:rsidRPr="00E8358C">
        <w:t>, dans un premier temps, de développer un partenariat avec des institutions nationales et internationales, notamment avec le M</w:t>
      </w:r>
      <w:r w:rsidRPr="00E8358C">
        <w:t>é</w:t>
      </w:r>
      <w:r w:rsidRPr="00E8358C">
        <w:t>morial de Nantes. Cette coopération devait aboutir à</w:t>
      </w:r>
      <w:r>
        <w:t xml:space="preserve"> [423]</w:t>
      </w:r>
      <w:r w:rsidRPr="00E8358C">
        <w:t xml:space="preserve"> l’organisation d’un colloque mondial sur le patrimoine de l’esclavage en Haïti en 2014</w:t>
      </w:r>
      <w:r>
        <w:t> </w:t>
      </w:r>
      <w:r w:rsidRPr="00E8358C">
        <w:rPr>
          <w:rStyle w:val="Appelnotedebasdep"/>
        </w:rPr>
        <w:footnoteReference w:id="1059"/>
      </w:r>
      <w:r w:rsidRPr="00E8358C">
        <w:t xml:space="preserve">. Deuxièmement, il veut promouvoir en Haïti la création du « Musée de l’Esclavage » dont l’avant-projet a été conçu et défini par le comité national. </w:t>
      </w:r>
      <w:r w:rsidRPr="00E8358C">
        <w:rPr>
          <w:bCs/>
        </w:rPr>
        <w:t>Laënnec Hurbon a rappelé aux me</w:t>
      </w:r>
      <w:r w:rsidRPr="00E8358C">
        <w:rPr>
          <w:bCs/>
        </w:rPr>
        <w:t>m</w:t>
      </w:r>
      <w:r w:rsidRPr="00E8358C">
        <w:rPr>
          <w:bCs/>
        </w:rPr>
        <w:t xml:space="preserve">bres du comité scientifique haïtien l’importance de la construction du </w:t>
      </w:r>
      <w:r w:rsidRPr="00E8358C">
        <w:t>premier Musée moderne de l’esclavage</w:t>
      </w:r>
      <w:r w:rsidRPr="00E8358C">
        <w:rPr>
          <w:bCs/>
        </w:rPr>
        <w:t xml:space="preserve"> en Haïti comme le souha</w:t>
      </w:r>
      <w:r w:rsidRPr="00E8358C">
        <w:rPr>
          <w:bCs/>
        </w:rPr>
        <w:t>i</w:t>
      </w:r>
      <w:r w:rsidRPr="00E8358C">
        <w:rPr>
          <w:bCs/>
        </w:rPr>
        <w:t xml:space="preserve">taient </w:t>
      </w:r>
      <w:r w:rsidRPr="00E8358C">
        <w:t>vivement les membres du comité scientifique international, étant donné l’importance des sites de résistance (habitations sucrières, forts, p</w:t>
      </w:r>
      <w:r w:rsidRPr="00E8358C">
        <w:t>a</w:t>
      </w:r>
      <w:r w:rsidRPr="00E8358C">
        <w:t>lais, citadelle, etc.) et d’expression des luttes pour la liberté</w:t>
      </w:r>
      <w:r>
        <w:t> </w:t>
      </w:r>
      <w:r w:rsidRPr="00E8358C">
        <w:rPr>
          <w:rStyle w:val="Appelnotedebasdep"/>
        </w:rPr>
        <w:footnoteReference w:id="1060"/>
      </w:r>
      <w:r w:rsidRPr="00E8358C">
        <w:t>. Ce m</w:t>
      </w:r>
      <w:r w:rsidRPr="00E8358C">
        <w:t>u</w:t>
      </w:r>
      <w:r w:rsidRPr="00E8358C">
        <w:t>sée devra aussi faciliter le « vivre ensemble » entre les peuples ma</w:t>
      </w:r>
      <w:r w:rsidRPr="00E8358C">
        <w:t>r</w:t>
      </w:r>
      <w:r w:rsidRPr="00E8358C">
        <w:t xml:space="preserve">qués par l’esclavage dans la perspective d’une mémoire commune. Aujourd’hui, </w:t>
      </w:r>
      <w:r w:rsidRPr="00E8358C">
        <w:rPr>
          <w:bCs/>
        </w:rPr>
        <w:t>« le comité national est très avancé dans le dossier. La relance du projet est très forte »</w:t>
      </w:r>
      <w:r>
        <w:rPr>
          <w:bCs/>
        </w:rPr>
        <w:t> </w:t>
      </w:r>
      <w:r>
        <w:rPr>
          <w:rStyle w:val="Appelnotedebasdep"/>
          <w:bCs/>
        </w:rPr>
        <w:footnoteReference w:id="1061"/>
      </w:r>
      <w:r w:rsidRPr="00E8358C">
        <w:rPr>
          <w:bCs/>
        </w:rPr>
        <w:t xml:space="preserve"> a souligné Laënnec Hurbon. </w:t>
      </w:r>
      <w:r w:rsidRPr="00E8358C">
        <w:t>Le m</w:t>
      </w:r>
      <w:r w:rsidRPr="00E8358C">
        <w:t>u</w:t>
      </w:r>
      <w:r w:rsidRPr="00E8358C">
        <w:t>sée doit inclure « des circuits de mémoire liés à la Tra</w:t>
      </w:r>
      <w:r w:rsidRPr="00E8358C">
        <w:t>i</w:t>
      </w:r>
      <w:r w:rsidRPr="00E8358C">
        <w:t>te et à l’esclavage »</w:t>
      </w:r>
      <w:r>
        <w:t> </w:t>
      </w:r>
      <w:r w:rsidRPr="00E8358C">
        <w:rPr>
          <w:rStyle w:val="Appelnotedebasdep"/>
        </w:rPr>
        <w:footnoteReference w:id="1062"/>
      </w:r>
      <w:r w:rsidRPr="00E8358C">
        <w:t xml:space="preserve"> à travers le pays. </w:t>
      </w:r>
    </w:p>
    <w:p w:rsidR="004C50DC" w:rsidRPr="00E8358C" w:rsidRDefault="004C50DC" w:rsidP="004C50DC">
      <w:pPr>
        <w:spacing w:before="120" w:after="120"/>
        <w:jc w:val="both"/>
      </w:pPr>
      <w:r w:rsidRPr="00E8358C">
        <w:t>Plusieurs sites ont été identifiés pour construire le musée, nota</w:t>
      </w:r>
      <w:r w:rsidRPr="00E8358C">
        <w:t>m</w:t>
      </w:r>
      <w:r w:rsidRPr="00E8358C">
        <w:t>ment le site du Bois-Caïman à Morne Rouge près du Cap-Haïtien. Ce site a été délimité et déclaré d’utilité publique. Un avant-projet d’aménagement muséographique et de mise en valeur des vestiges a été dessiné. Le site de la Ravine à couleuvre dans le Haut-Artibonite a également été identifié. L’espace du Palais de la Belle Rivière (Palais des 365 Portes) à la Petite Rivière de l’Artibonite a été aussi désigné pour ses valeurs historiques et mémorielles</w:t>
      </w:r>
      <w:r>
        <w:t> </w:t>
      </w:r>
      <w:r w:rsidRPr="00E8358C">
        <w:rPr>
          <w:rStyle w:val="Appelnotedebasdep"/>
        </w:rPr>
        <w:footnoteReference w:id="1063"/>
      </w:r>
      <w:r w:rsidRPr="00E8358C">
        <w:t>. En effet, ce lieu de m</w:t>
      </w:r>
      <w:r w:rsidRPr="00E8358C">
        <w:t>é</w:t>
      </w:r>
      <w:r w:rsidRPr="00E8358C">
        <w:t>moire, suivant les propos de Gérard Fombrun, fondateur du Musée Ogier-Fombrun à Moulin-sur-mer,  rapportés par Laënnec Hurbon, peut mettre en lumière en même temps la problématique de l’esclavage et le souvenir glorieux des guerres de l’Indépendance d’Haïti.</w:t>
      </w:r>
    </w:p>
    <w:p w:rsidR="004C50DC" w:rsidRDefault="004C50DC" w:rsidP="004C50DC">
      <w:pPr>
        <w:pStyle w:val="Citation0"/>
      </w:pPr>
    </w:p>
    <w:p w:rsidR="004C50DC" w:rsidRDefault="004C50DC" w:rsidP="004C50DC">
      <w:pPr>
        <w:pStyle w:val="Citation0"/>
      </w:pPr>
      <w:r w:rsidRPr="00E8358C">
        <w:t>Une promenade fortuite ayant conduit nos pas à travers ces villages et bourgades où plane encore l’âme de nos aïeux, je me suis trouvé face à la bâtisse, délabrée, mais imposante, du Palais aux Trois Cent Soixante-Cinq Portes, l’un des rares témoignages encore palpables de l’esprit constru</w:t>
      </w:r>
      <w:r w:rsidRPr="00E8358C">
        <w:t>c</w:t>
      </w:r>
      <w:r w:rsidRPr="00E8358C">
        <w:t>teur du Grand Bâtisseur que fut le Roi Henri. Érigée au sommet d’une co</w:t>
      </w:r>
      <w:r w:rsidRPr="00E8358C">
        <w:t>l</w:t>
      </w:r>
      <w:r w:rsidRPr="00E8358C">
        <w:t>line de la ville baptisée du nom suggestif « Petite Rivière de l’Artibonite », [cette bâtisse] domine la vaste plaine où se</w:t>
      </w:r>
      <w:r w:rsidRPr="00E8358C">
        <w:t>r</w:t>
      </w:r>
      <w:r w:rsidRPr="00E8358C">
        <w:t>pente à longueur d’année</w:t>
      </w:r>
      <w:r>
        <w:t xml:space="preserve"> [424]</w:t>
      </w:r>
      <w:r w:rsidRPr="00E8358C">
        <w:t xml:space="preserve"> la rivière dont elle porte le nom […] Nul autre lieu ne saurait être plus éloquent pour mettre en évidence tant la problématique de l’esclavage que le souvenir glorieux des guerres de l’Indépendance nationale. Ainsi a ge</w:t>
      </w:r>
      <w:r w:rsidRPr="00E8358C">
        <w:t>r</w:t>
      </w:r>
      <w:r w:rsidRPr="00E8358C">
        <w:t>mé l’idée de faire de ce vieux palais, relique authentique de ces temps h</w:t>
      </w:r>
      <w:r w:rsidRPr="00E8358C">
        <w:t>é</w:t>
      </w:r>
      <w:r w:rsidRPr="00E8358C">
        <w:t>roïques, un lieu de mémoire où aboutirait la Route de l’Esclave. Je vois se dessiner cet écomusée qui relierait le vieux palais aux ruines proches du Fort de la Crête-à-Pierrot…»</w:t>
      </w:r>
      <w:r>
        <w:t> </w:t>
      </w:r>
      <w:r w:rsidRPr="00E8358C">
        <w:rPr>
          <w:rStyle w:val="Appelnotedebasdep"/>
          <w:szCs w:val="22"/>
        </w:rPr>
        <w:footnoteReference w:id="1064"/>
      </w:r>
    </w:p>
    <w:p w:rsidR="004C50DC" w:rsidRPr="00E8358C" w:rsidRDefault="004C50DC" w:rsidP="004C50DC">
      <w:pPr>
        <w:pStyle w:val="Citation0"/>
      </w:pPr>
    </w:p>
    <w:p w:rsidR="004C50DC" w:rsidRPr="00E8358C" w:rsidRDefault="004C50DC" w:rsidP="004C50DC">
      <w:pPr>
        <w:spacing w:before="120" w:after="120"/>
        <w:jc w:val="both"/>
      </w:pPr>
      <w:r w:rsidRPr="00E8358C">
        <w:rPr>
          <w:bCs/>
        </w:rPr>
        <w:t xml:space="preserve">Le public haïtien attend la construction de ce musée. Il estime qu’Haïti est en retard par rapport aux autres pays des Caraïbes concernant les réalisations de projets concrets dans le cadre de la « Route de l’Esclave ». Dans cette perspective, </w:t>
      </w:r>
      <w:r w:rsidRPr="00E8358C">
        <w:t>Michelin s’interroge sur les avancées du comité national haïtien. Il évoque comme princ</w:t>
      </w:r>
      <w:r w:rsidRPr="00E8358C">
        <w:t>i</w:t>
      </w:r>
      <w:r w:rsidRPr="00E8358C">
        <w:t xml:space="preserve">pal frein à la réalisation du projet l’occultation d’une part importante des mémoires, notamment de celle qui soutient les ignominies subies dans les plantations au seul bénéfice de la mémoire héroïsée construite sur la Révolution haïtienne. Le manque d’intérêt de l’État haïtien pour la mémoire de l’esclavage, quoiqu’il soit artisan du projet, est à noter également. </w:t>
      </w:r>
    </w:p>
    <w:p w:rsidR="004C50DC" w:rsidRDefault="004C50DC" w:rsidP="004C50DC">
      <w:pPr>
        <w:pStyle w:val="Citation0"/>
      </w:pPr>
    </w:p>
    <w:p w:rsidR="004C50DC" w:rsidRPr="00E8358C" w:rsidRDefault="004C50DC" w:rsidP="004C50DC">
      <w:pPr>
        <w:pStyle w:val="Citation0"/>
      </w:pPr>
      <w:r w:rsidRPr="00E8358C">
        <w:t>Le comité national haïtien de la Route de l’esclave fonctionne difficil</w:t>
      </w:r>
      <w:r w:rsidRPr="00E8358C">
        <w:t>e</w:t>
      </w:r>
      <w:r w:rsidRPr="00E8358C">
        <w:t>ment. Comment peut-on construire un musée de l’esclavage si l’État ne manifeste pas de l’intérêt et ne s’implique pas dans le pr</w:t>
      </w:r>
      <w:r w:rsidRPr="00E8358C">
        <w:t>o</w:t>
      </w:r>
      <w:r w:rsidRPr="00E8358C">
        <w:t>jet ? Comment peut-on faire un bon musée si notre idée de l’esclavage, c’est d’occulter une partie importante de cette mémoire et mettre en exergue seulement la mémoire héroïque ?</w:t>
      </w:r>
    </w:p>
    <w:p w:rsidR="004C50DC" w:rsidRPr="00E8358C" w:rsidRDefault="004C50DC" w:rsidP="004C50DC">
      <w:pPr>
        <w:pStyle w:val="Citation0c"/>
      </w:pPr>
      <w:r w:rsidRPr="00E8358C">
        <w:t>(Michelin, entrevue, Port-au-Prince, 26 février 2015)</w:t>
      </w:r>
    </w:p>
    <w:p w:rsidR="004C50DC" w:rsidRDefault="004C50DC" w:rsidP="004C50DC">
      <w:pPr>
        <w:spacing w:before="120" w:after="120"/>
        <w:jc w:val="both"/>
        <w:rPr>
          <w:bCs/>
        </w:rPr>
      </w:pPr>
    </w:p>
    <w:p w:rsidR="004C50DC" w:rsidRPr="00E8358C" w:rsidRDefault="004C50DC" w:rsidP="004C50DC">
      <w:pPr>
        <w:spacing w:before="120" w:after="120"/>
        <w:jc w:val="both"/>
      </w:pPr>
      <w:r w:rsidRPr="00E8358C">
        <w:rPr>
          <w:bCs/>
        </w:rPr>
        <w:t xml:space="preserve">Entre-temps, des activités, entres autres les séries de </w:t>
      </w:r>
      <w:r w:rsidRPr="00E8358C">
        <w:t>conférences publiques sur les traces des mémoires de l’esclavage dans la société haïtienne, se poursuivent dans des centres universitaires de l’État ha</w:t>
      </w:r>
      <w:r w:rsidRPr="00E8358C">
        <w:t>ï</w:t>
      </w:r>
      <w:r w:rsidRPr="00E8358C">
        <w:t>tien. La création d’une association de propriétaires d’habitations s</w:t>
      </w:r>
      <w:r w:rsidRPr="00E8358C">
        <w:t>u</w:t>
      </w:r>
      <w:r w:rsidRPr="00E8358C">
        <w:t>crières est encouragée et la possibilité de créer des comités régionaux haïtiens de la « Route de l’Esclave » est aussi en perspective en vue de rendre plus inclusif le projet</w:t>
      </w:r>
      <w:r>
        <w:t> </w:t>
      </w:r>
      <w:r>
        <w:rPr>
          <w:rStyle w:val="Appelnotedebasdep"/>
        </w:rPr>
        <w:footnoteReference w:id="1065"/>
      </w:r>
      <w:r w:rsidRPr="00E8358C">
        <w:t>.</w:t>
      </w:r>
    </w:p>
    <w:p w:rsidR="004C50DC" w:rsidRDefault="004C50DC" w:rsidP="004C50DC">
      <w:pPr>
        <w:spacing w:before="120" w:after="120"/>
        <w:jc w:val="both"/>
      </w:pPr>
      <w:bookmarkStart w:id="556" w:name="_Toc442280590"/>
    </w:p>
    <w:p w:rsidR="004C50DC" w:rsidRPr="00E8358C" w:rsidRDefault="004C50DC" w:rsidP="004C50DC">
      <w:pPr>
        <w:pStyle w:val="a"/>
      </w:pPr>
      <w:r w:rsidRPr="00E8358C">
        <w:t>8.3.1. Analyse critique du projet de « la Route de l’Esclave »</w:t>
      </w:r>
      <w:r>
        <w:br/>
      </w:r>
      <w:r w:rsidRPr="00E8358C">
        <w:t>de l’UNESCO et de son application en Haïti</w:t>
      </w:r>
      <w:bookmarkEnd w:id="556"/>
    </w:p>
    <w:p w:rsidR="004C50DC" w:rsidRDefault="004C50DC" w:rsidP="004C50DC">
      <w:pPr>
        <w:spacing w:before="120" w:after="120"/>
        <w:jc w:val="both"/>
      </w:pPr>
    </w:p>
    <w:p w:rsidR="004C50DC" w:rsidRPr="00E8358C" w:rsidRDefault="004C50DC" w:rsidP="004C50DC">
      <w:pPr>
        <w:spacing w:before="120" w:after="120"/>
        <w:jc w:val="both"/>
      </w:pPr>
      <w:r w:rsidRPr="00E8358C">
        <w:t>L’examen d</w:t>
      </w:r>
      <w:r w:rsidRPr="00E8358C">
        <w:rPr>
          <w:lang w:eastAsia="en-CA"/>
        </w:rPr>
        <w:t>es causes, des modalités et des conséquences de l’esclavage transatlantique et de la Traite négrière devrait aider à comprendre différents événements historiques en lien avec ce triste passé en Afrique, en Europe, dans les Amériques et dans les Caraïbes. L</w:t>
      </w:r>
      <w:r w:rsidRPr="00E8358C">
        <w:t xml:space="preserve">es </w:t>
      </w:r>
      <w:r>
        <w:t xml:space="preserve">[425] </w:t>
      </w:r>
      <w:r w:rsidRPr="00E8358C">
        <w:t>actions entreprises dans le cadre du projet de « la Route de l’Esclave » ont joué un rôle significatif dans la reconnaissance, par les Nations Unies, en 2001, de la Traite négrière et de l’esclavage comme crime contre l’humanité. L</w:t>
      </w:r>
      <w:r w:rsidRPr="00E8358C">
        <w:rPr>
          <w:bCs/>
        </w:rPr>
        <w:t>a base idéologique de la domination escl</w:t>
      </w:r>
      <w:r w:rsidRPr="00E8358C">
        <w:rPr>
          <w:bCs/>
        </w:rPr>
        <w:t>a</w:t>
      </w:r>
      <w:r w:rsidRPr="00E8358C">
        <w:rPr>
          <w:bCs/>
        </w:rPr>
        <w:t>vagiste, pendant longtemps, voulait faire comprendre aux descendants d’esclaves qu’ils étaient victimes des Africains qui les avaient vendus, que leurs ancêtres avaient accepté ce qui s’est passé. Ce fut une m</w:t>
      </w:r>
      <w:r w:rsidRPr="00E8358C">
        <w:rPr>
          <w:bCs/>
        </w:rPr>
        <w:t>a</w:t>
      </w:r>
      <w:r w:rsidRPr="00E8358C">
        <w:rPr>
          <w:bCs/>
        </w:rPr>
        <w:t xml:space="preserve">nière de gommer la résistance des esclaves. Le projet a aidé à lutter contre cette idéologie. </w:t>
      </w:r>
      <w:r w:rsidRPr="00E8358C">
        <w:t>Toutefois, le projet dans l’ensemble laisse a</w:t>
      </w:r>
      <w:r w:rsidRPr="00E8358C">
        <w:t>p</w:t>
      </w:r>
      <w:r w:rsidRPr="00E8358C">
        <w:t>paraître certains points qui méritent d’être améliorés.</w:t>
      </w:r>
    </w:p>
    <w:p w:rsidR="004C50DC" w:rsidRPr="00E8358C" w:rsidRDefault="004C50DC" w:rsidP="004C50DC">
      <w:pPr>
        <w:spacing w:before="120" w:after="120"/>
        <w:jc w:val="both"/>
      </w:pPr>
      <w:r w:rsidRPr="00E8358C">
        <w:t>Notre première critique porte sur le fait que l’accent est mis surtout sur la coexistence pacifique entre les peuples, oubliant du même coup le peuple qui devrait se réconcilier avec lui-même. Le point de départ de toute acceptation et de compréhension de l’Autre doit être avant tout un effort qui part de l’intérieur. En Haïti, le comité national du projet de la « Route de l’Esclave</w:t>
      </w:r>
      <w:r w:rsidRPr="00E8358C">
        <w:rPr>
          <w:i/>
        </w:rPr>
        <w:t> </w:t>
      </w:r>
      <w:r w:rsidRPr="00E8358C">
        <w:t>» s’est mobilisé autour des objectifs fixés par l’UNESCO et de la mise en œuvre d’autres travaux visant à créer un musée de l’esclavage et à définir des plans de restauration de quelques sites historiques, mais jusqu’à ce jour, ces intentions restent au stade de la volonté de certains intellectuels et ne se matérialisent pas encore. Les comités constitués jusqu’à aujourd’hui n’ont pas re</w:t>
      </w:r>
      <w:r w:rsidRPr="00E8358C">
        <w:t>m</w:t>
      </w:r>
      <w:r w:rsidRPr="00E8358C">
        <w:t>pli les missions pour lesquelles ils avaient été mis en place. La r</w:t>
      </w:r>
      <w:r w:rsidRPr="00E8358C">
        <w:t>é</w:t>
      </w:r>
      <w:r w:rsidRPr="00E8358C">
        <w:t xml:space="preserve">conciliation du peuple haïtien avec lui-même n’a pas été vue comme un pilier central dans leurs démarches. </w:t>
      </w:r>
    </w:p>
    <w:p w:rsidR="004C50DC" w:rsidRPr="00E8358C" w:rsidRDefault="004C50DC" w:rsidP="004C50DC">
      <w:pPr>
        <w:spacing w:before="120" w:after="120"/>
        <w:jc w:val="both"/>
      </w:pPr>
      <w:r w:rsidRPr="00E8358C">
        <w:t>L’UNESCO, à travers ce projet, veut en fait inventorier, préserver et raconter l’histoire des lieux de mémoire liés à l’esclavage, non se</w:t>
      </w:r>
      <w:r w:rsidRPr="00E8358C">
        <w:t>u</w:t>
      </w:r>
      <w:r w:rsidRPr="00E8358C">
        <w:t>lement dans un but de sensibilisation et d’éducation, mais aussi dans une perspective économique, de mise en place d’un tourisme culturel. Il s’agit de lieux aussi bien culturels que naturels qui peuvent être i</w:t>
      </w:r>
      <w:r w:rsidRPr="00E8358C">
        <w:t>n</w:t>
      </w:r>
      <w:r w:rsidRPr="00E8358C">
        <w:t>tégrés dans un patrimoine touristique</w:t>
      </w:r>
      <w:r>
        <w:t> </w:t>
      </w:r>
      <w:r w:rsidRPr="00E8358C">
        <w:rPr>
          <w:rStyle w:val="Appelnotedebasdep"/>
        </w:rPr>
        <w:footnoteReference w:id="1066"/>
      </w:r>
      <w:r w:rsidRPr="00E8358C">
        <w:t>. Dans la même veine, le c</w:t>
      </w:r>
      <w:r w:rsidRPr="00E8358C">
        <w:t>o</w:t>
      </w:r>
      <w:r w:rsidRPr="00E8358C">
        <w:t>mité national haïtien a voulu en 2004 imprimer au projet une comp</w:t>
      </w:r>
      <w:r w:rsidRPr="00E8358C">
        <w:t>o</w:t>
      </w:r>
      <w:r w:rsidRPr="00E8358C">
        <w:t>sante de tourisme culturel en organisant des visites sur les habitations s</w:t>
      </w:r>
      <w:r w:rsidRPr="00E8358C">
        <w:t>u</w:t>
      </w:r>
      <w:r w:rsidRPr="00E8358C">
        <w:t>crières, surtout dans la zone métropolitaine de Port-au-Prince qui avait déjà</w:t>
      </w:r>
      <w:r>
        <w:t xml:space="preserve"> [426]</w:t>
      </w:r>
      <w:r w:rsidRPr="00E8358C">
        <w:t xml:space="preserve"> fait « l’objet de publications dès 1980 »</w:t>
      </w:r>
      <w:r>
        <w:t> </w:t>
      </w:r>
      <w:r>
        <w:rPr>
          <w:rStyle w:val="Appelnotedebasdep"/>
        </w:rPr>
        <w:footnoteReference w:id="1067"/>
      </w:r>
      <w:r w:rsidRPr="00E8358C">
        <w:t>. Est-ce un moyen d’éviter l’invisibilité des lieux, des pratiques culturelles et des mémo</w:t>
      </w:r>
      <w:r w:rsidRPr="00E8358C">
        <w:t>i</w:t>
      </w:r>
      <w:r w:rsidRPr="00E8358C">
        <w:t>res en rapport avec le passé colonial ? Comment faire pour que les sites ne soient encore plus dégradés par le tourisme ? Ces que</w:t>
      </w:r>
      <w:r w:rsidRPr="00E8358C">
        <w:t>s</w:t>
      </w:r>
      <w:r w:rsidRPr="00E8358C">
        <w:t>tions n’ont pas trouvé de réponse dans les documents du comité nati</w:t>
      </w:r>
      <w:r w:rsidRPr="00E8358C">
        <w:t>o</w:t>
      </w:r>
      <w:r w:rsidRPr="00E8358C">
        <w:t xml:space="preserve">nal haïtien. </w:t>
      </w:r>
    </w:p>
    <w:p w:rsidR="004C50DC" w:rsidRPr="00E8358C" w:rsidRDefault="004C50DC" w:rsidP="004C50DC">
      <w:pPr>
        <w:spacing w:before="120" w:after="120"/>
        <w:jc w:val="both"/>
      </w:pPr>
      <w:r w:rsidRPr="00E8358C">
        <w:t>En réalité, on peut comprendre que c’est l’aspect économique du projet « la Route de l’Esclave » qui a été mis de l’avant. Les notions éthiques qui sous-tendent la présentation et la mise en patrimoine des mémoires de l’esclavage et de la Traite négrière ne sont pas compar</w:t>
      </w:r>
      <w:r w:rsidRPr="00E8358C">
        <w:t>a</w:t>
      </w:r>
      <w:r w:rsidRPr="00E8358C">
        <w:t>bles aux intérêts économiques actuels. Les mesures pour prévenir la dégradation des sites, pour responsabiliser les touristes et leur faire adopter un comportement citoyen, et pour assurer la sauvegarde des lieux de mémoire de l’esclavage n’ont pas été définies. Le comport</w:t>
      </w:r>
      <w:r w:rsidRPr="00E8358C">
        <w:t>e</w:t>
      </w:r>
      <w:r w:rsidRPr="00E8358C">
        <w:t>ment inapproprié de certains visiteurs à la Citadelle Henri Christophe est une preuve de la menace de destruction de ce patrimoine. Alors, tourisme culturel pour quelle clientèle touristique ? Quelle place a</w:t>
      </w:r>
      <w:r w:rsidRPr="00E8358C">
        <w:t>c</w:t>
      </w:r>
      <w:r w:rsidRPr="00E8358C">
        <w:t>corde-t-on aux acteurs locaux dans ce projet ? Quelle est la place du traumatisme de la mémoire douloureuse de l’esclavage dans cette in</w:t>
      </w:r>
      <w:r w:rsidRPr="00E8358C">
        <w:t>i</w:t>
      </w:r>
      <w:r w:rsidRPr="00E8358C">
        <w:t xml:space="preserve">tiative ?  </w:t>
      </w:r>
    </w:p>
    <w:p w:rsidR="004C50DC" w:rsidRPr="00E8358C" w:rsidRDefault="004C50DC" w:rsidP="004C50DC">
      <w:pPr>
        <w:spacing w:before="120" w:after="120"/>
        <w:jc w:val="both"/>
      </w:pPr>
      <w:r w:rsidRPr="00E8358C">
        <w:t>Parallèlement, les avis sur les diverses formes d’expression des mémoires de l’esclavage en Haïti sont partagés et nécessitent que des recherches soient réalisées pour qu’un réel consensus puisse émerger. Les sites historiques ont fait l’objet d’appropriation par les habitants sous diverses formes (lieu de culte, lieu festif) et sont devenus une partie intégrante de leur espace de vie indispensable à la compréhe</w:t>
      </w:r>
      <w:r w:rsidRPr="00E8358C">
        <w:t>n</w:t>
      </w:r>
      <w:r w:rsidRPr="00E8358C">
        <w:t xml:space="preserve">sion des points d’ancrage des mémoires qui doivent les guider aussi sur la « Route de l’Esclave ». La patrimonialisation des mémoires de l’esclavage en Haïti ne saurait être une œuvre politique ou le produit d’une élite intellectuelle seulement. On perçoit que les populations locales sont les grandes absentes de ce projet. </w:t>
      </w:r>
    </w:p>
    <w:p w:rsidR="004C50DC" w:rsidRPr="00E8358C" w:rsidRDefault="004C50DC" w:rsidP="004C50DC">
      <w:pPr>
        <w:spacing w:before="120" w:after="120"/>
        <w:jc w:val="both"/>
      </w:pPr>
      <w:r w:rsidRPr="00E8358C">
        <w:t>Les communautés peuvent développer des rapports mémoriels di</w:t>
      </w:r>
      <w:r w:rsidRPr="00E8358C">
        <w:t>f</w:t>
      </w:r>
      <w:r w:rsidRPr="00E8358C">
        <w:t>férents avec les lieux de mémoire de l’esclavage, d’autant plus que les descendants des hommes de couleur et le reste de la population ha</w:t>
      </w:r>
      <w:r w:rsidRPr="00E8358C">
        <w:t>ï</w:t>
      </w:r>
      <w:r w:rsidRPr="00E8358C">
        <w:t xml:space="preserve">tienne éprouvent encore une certaine difficulté à se comprendre. </w:t>
      </w:r>
      <w:r>
        <w:t xml:space="preserve">[427] </w:t>
      </w:r>
      <w:r w:rsidRPr="00E8358C">
        <w:t>Ces tensions ne sont pas tout à fait atténuées, car l’unité symbolique contre le système esclavagiste proposée par Jean-Jacques Dessalines, lors de la création du drapeau et renforcée par la légende nationale « L’union fait la force », ou la devise « liberté, égalité, fraternité », n’a pas été matérialisée et suivie au lendemain même de l’Indépendance d’Haïti. Cet aspect est aussi important à considérer dans la matérial</w:t>
      </w:r>
      <w:r w:rsidRPr="00E8358C">
        <w:t>i</w:t>
      </w:r>
      <w:r w:rsidRPr="00E8358C">
        <w:t xml:space="preserve">sation d’un projet de tourisme culturel ayant pour base la mémoire de l’esclavage. </w:t>
      </w:r>
    </w:p>
    <w:p w:rsidR="004C50DC" w:rsidRPr="00E8358C" w:rsidRDefault="004C50DC" w:rsidP="004C50DC">
      <w:pPr>
        <w:spacing w:before="120" w:after="120"/>
        <w:jc w:val="both"/>
      </w:pPr>
      <w:r w:rsidRPr="00E8358C">
        <w:t>Le refoulement et le silence des acteurs doivent être pris en compte aussi, faute de quoi, au lieu de contribuer au « vivre ensemble », on risquerait de fractionner davantage la population. Les mémoires de l’esclavage en Haïti sont liées aux sentiments de fierté, d’effacement, d’exclusion, d’exploitation, d’oubli, de restitution, d’accusation, de culpabilité, de souffrance, de honte, et se transmettent de génération en génération, tandis que l’État met toujours en valeur une histoire descriptive de la Traite et de l’esclavage qui habite encore un passé héroïque</w:t>
      </w:r>
      <w:r>
        <w:t> </w:t>
      </w:r>
      <w:r>
        <w:rPr>
          <w:rStyle w:val="Appelnotedebasdep"/>
        </w:rPr>
        <w:footnoteReference w:id="1068"/>
      </w:r>
      <w:r w:rsidRPr="00E8358C">
        <w:t>. La volonté de mettre en valeur principalement les fortific</w:t>
      </w:r>
      <w:r w:rsidRPr="00E8358C">
        <w:t>a</w:t>
      </w:r>
      <w:r w:rsidRPr="00E8358C">
        <w:t>tions est une preuve de ce choix. L’UNESCO, le gouvernement ha</w:t>
      </w:r>
      <w:r w:rsidRPr="00E8358C">
        <w:t>ï</w:t>
      </w:r>
      <w:r w:rsidRPr="00E8358C">
        <w:t>tien et le comité national ne risqueraient-ils pas de confiner dava</w:t>
      </w:r>
      <w:r w:rsidRPr="00E8358C">
        <w:t>n</w:t>
      </w:r>
      <w:r w:rsidRPr="00E8358C">
        <w:t>tage l’Haïtien dans un passé épique ? Ce faisant, ils oublient que les forts peuvent aussi transporter des charges de souffrances du peuple haïtien dans le présent, comme nous l’avons démontré au chapitre cinq. Les mémoires de l’esclavage sont pratiquement aujourd’hui un « traumatisme collectif » qui peut être étudié comme un patrimo</w:t>
      </w:r>
      <w:r w:rsidRPr="00E8358C">
        <w:t>i</w:t>
      </w:r>
      <w:r w:rsidRPr="00E8358C">
        <w:t>ne</w:t>
      </w:r>
      <w:r>
        <w:t> </w:t>
      </w:r>
      <w:r>
        <w:rPr>
          <w:rStyle w:val="Appelnotedebasdep"/>
        </w:rPr>
        <w:footnoteReference w:id="1069"/>
      </w:r>
      <w:r w:rsidRPr="00E8358C">
        <w:t>. Donc, une mémoire imposée tout comme un trop-plein de m</w:t>
      </w:r>
      <w:r w:rsidRPr="00E8358C">
        <w:t>é</w:t>
      </w:r>
      <w:r w:rsidRPr="00E8358C">
        <w:t>moires peut tuer la mémoire. On risque de passer de la mémoire de l’esclavage à une sorte d’esclavage de la mémoire.</w:t>
      </w:r>
    </w:p>
    <w:p w:rsidR="004C50DC" w:rsidRPr="00E8358C" w:rsidRDefault="004C50DC" w:rsidP="004C50DC">
      <w:pPr>
        <w:spacing w:before="120" w:after="120"/>
        <w:jc w:val="both"/>
      </w:pPr>
      <w:r w:rsidRPr="00E8358C">
        <w:t>Sensibiliser et éduquer qui ? Pourquoi et comment ? L</w:t>
      </w:r>
      <w:r w:rsidRPr="003768AB">
        <w:t>a diffusion de la connaissance sur l’esclavage en Haïti doit passer par la form</w:t>
      </w:r>
      <w:r w:rsidRPr="003768AB">
        <w:t>a</w:t>
      </w:r>
      <w:r w:rsidRPr="003768AB">
        <w:t xml:space="preserve">tion de formateurs locaux aptes à élever le niveau général d’éducation. Parallèlement, les membres du comité scientifique haïtien </w:t>
      </w:r>
      <w:r>
        <w:t xml:space="preserve">[428] </w:t>
      </w:r>
      <w:r w:rsidRPr="003768AB">
        <w:t>do</w:t>
      </w:r>
      <w:r w:rsidRPr="003768AB">
        <w:t>i</w:t>
      </w:r>
      <w:r w:rsidRPr="003768AB">
        <w:t>vent utiliser les nouvelles technologies de l’information pour tran</w:t>
      </w:r>
      <w:r w:rsidRPr="003768AB">
        <w:t>s</w:t>
      </w:r>
      <w:r w:rsidRPr="003768AB">
        <w:t>mettre des connaissances sur Haïti, en France et partout ailleurs dans le monde, de manière à élever aussi le niveau de connaissance des v</w:t>
      </w:r>
      <w:r w:rsidRPr="003768AB">
        <w:t>i</w:t>
      </w:r>
      <w:r w:rsidRPr="003768AB">
        <w:t>siteurs potentiels. C’est une dimension qui nous paraît absente du pr</w:t>
      </w:r>
      <w:r w:rsidRPr="003768AB">
        <w:t>o</w:t>
      </w:r>
      <w:r w:rsidRPr="003768AB">
        <w:t xml:space="preserve">jet de l’UNESCO et de celui du Comité national haïtien de la « Route de l’Esclave ». </w:t>
      </w:r>
    </w:p>
    <w:p w:rsidR="004C50DC" w:rsidRPr="00E8358C" w:rsidRDefault="004C50DC" w:rsidP="004C50DC">
      <w:pPr>
        <w:spacing w:before="120" w:after="120"/>
        <w:jc w:val="both"/>
      </w:pPr>
      <w:r w:rsidRPr="00E8358C">
        <w:t>Enfin, le projet de l’UNESCO paraît peu se soucier des réparations matérielles. C’est au peuple jadis victime qu’il revient de les réclamer. La question de la dette de l’indépendance (90 millions de francs-or versés de 1825 à 1883) est une particularité pour Haïti et nourrit enc</w:t>
      </w:r>
      <w:r w:rsidRPr="00E8358C">
        <w:t>o</w:t>
      </w:r>
      <w:r w:rsidRPr="00E8358C">
        <w:t>re les débats. Plus d’un pense et exige que cet argent soit restitué à Haïti</w:t>
      </w:r>
      <w:r>
        <w:t> </w:t>
      </w:r>
      <w:r w:rsidRPr="00E8358C">
        <w:rPr>
          <w:rStyle w:val="Appelnotedebasdep"/>
        </w:rPr>
        <w:footnoteReference w:id="1070"/>
      </w:r>
      <w:r w:rsidRPr="00E8358C">
        <w:t>. Cette dette a eu des conséquences considérables sur le dév</w:t>
      </w:r>
      <w:r w:rsidRPr="00E8358C">
        <w:t>e</w:t>
      </w:r>
      <w:r w:rsidRPr="00E8358C">
        <w:t>loppement du pays qui a été contraint au début de se tourner vers les banquiers français Laffite et Rothschild pour payer la première annu</w:t>
      </w:r>
      <w:r w:rsidRPr="00E8358C">
        <w:t>i</w:t>
      </w:r>
      <w:r w:rsidRPr="00E8358C">
        <w:t>té de 30 millions de francs-or</w:t>
      </w:r>
      <w:r>
        <w:t> </w:t>
      </w:r>
      <w:r>
        <w:rPr>
          <w:rStyle w:val="Appelnotedebasdep"/>
        </w:rPr>
        <w:footnoteReference w:id="1071"/>
      </w:r>
      <w:r w:rsidRPr="00E8358C">
        <w:t xml:space="preserve">. </w:t>
      </w:r>
    </w:p>
    <w:p w:rsidR="004C50DC" w:rsidRDefault="004C50DC" w:rsidP="004C50DC">
      <w:pPr>
        <w:spacing w:before="120" w:after="120"/>
        <w:jc w:val="both"/>
      </w:pPr>
      <w:r w:rsidRPr="00E8358C">
        <w:t>L</w:t>
      </w:r>
      <w:r w:rsidRPr="00792DC7">
        <w:t>’ex-président haïtien Jean-Bertrand Aristide avait introduit la question de la restitution de la dette de l’Indépendance au gouvern</w:t>
      </w:r>
      <w:r w:rsidRPr="00792DC7">
        <w:t>e</w:t>
      </w:r>
      <w:r w:rsidRPr="00792DC7">
        <w:t>ment français le 7 avril 2003, à l’occasion de l’anniversaire de la mort de Toussaint Louverture. Il avait estimé la dette à 21 milliards de do</w:t>
      </w:r>
      <w:r w:rsidRPr="00792DC7">
        <w:t>l</w:t>
      </w:r>
      <w:r w:rsidRPr="00792DC7">
        <w:t xml:space="preserve">lars. </w:t>
      </w:r>
      <w:r w:rsidRPr="00E8358C">
        <w:t>Suite à cette demande, une commission ayant à sa tête Régis D</w:t>
      </w:r>
      <w:r w:rsidRPr="00E8358C">
        <w:t>e</w:t>
      </w:r>
      <w:r w:rsidRPr="00E8358C">
        <w:t>bray a été formée par le gouvernement français durant la même année pour étudier et évaluer le bien-fondé d’une telle démarche, notamment son caractère légal. Outre Régis Debray, plusieurs historiens, dont ce</w:t>
      </w:r>
      <w:r w:rsidRPr="00E8358C">
        <w:t>r</w:t>
      </w:r>
      <w:r w:rsidRPr="00E8358C">
        <w:t>tains spécialistes de l’esclavage, de la Révolution haïtienne, de la R</w:t>
      </w:r>
      <w:r w:rsidRPr="00E8358C">
        <w:t>é</w:t>
      </w:r>
      <w:r w:rsidRPr="00E8358C">
        <w:t>volution française et des Antilles françaises,</w:t>
      </w:r>
      <w:r w:rsidRPr="00792DC7">
        <w:t xml:space="preserve"> comme Véronique Alb</w:t>
      </w:r>
      <w:r w:rsidRPr="00792DC7">
        <w:t>a</w:t>
      </w:r>
      <w:r w:rsidRPr="00792DC7">
        <w:t>nel, Florence Alexis, François Blancpain, Yvon Chotard, Myriam Co</w:t>
      </w:r>
      <w:r w:rsidRPr="00792DC7">
        <w:t>t</w:t>
      </w:r>
      <w:r w:rsidRPr="00792DC7">
        <w:t>tias, Jacky Dahomay, Gilles Danroc, Marcel Dorigny, Serge Robert, Philippe Selz é</w:t>
      </w:r>
      <w:r w:rsidRPr="00E8358C">
        <w:t>taient également membres de cette commission, sans oublier l’anthropologue Gérard Barthélemy</w:t>
      </w:r>
      <w:r>
        <w:t> </w:t>
      </w:r>
      <w:r>
        <w:rPr>
          <w:rStyle w:val="Appelnotedebasdep"/>
        </w:rPr>
        <w:footnoteReference w:id="1072"/>
      </w:r>
      <w:r>
        <w:t>.</w:t>
      </w:r>
    </w:p>
    <w:p w:rsidR="004C50DC" w:rsidRPr="00E8358C" w:rsidRDefault="004C50DC" w:rsidP="004C50DC">
      <w:pPr>
        <w:spacing w:before="120" w:after="120"/>
        <w:jc w:val="both"/>
      </w:pPr>
      <w:r>
        <w:t>[429]</w:t>
      </w:r>
    </w:p>
    <w:p w:rsidR="004C50DC" w:rsidRPr="00E8358C" w:rsidRDefault="004C50DC" w:rsidP="004C50DC">
      <w:pPr>
        <w:spacing w:before="120" w:after="120"/>
        <w:jc w:val="both"/>
      </w:pPr>
      <w:r w:rsidRPr="00E8358C">
        <w:t>Dans son rapport de mission soumis en 2004 à Dominique de Vi</w:t>
      </w:r>
      <w:r w:rsidRPr="00E8358C">
        <w:t>l</w:t>
      </w:r>
      <w:r w:rsidRPr="00E8358C">
        <w:t>lepin, tout en conservant son côté révolutionnaire, Debray s’est opp</w:t>
      </w:r>
      <w:r w:rsidRPr="00E8358C">
        <w:t>o</w:t>
      </w:r>
      <w:r w:rsidRPr="00E8358C">
        <w:t xml:space="preserve">sé à la demande du président Aristide. </w:t>
      </w:r>
    </w:p>
    <w:p w:rsidR="004C50DC" w:rsidRDefault="004C50DC" w:rsidP="004C50DC">
      <w:pPr>
        <w:pStyle w:val="Citation0"/>
      </w:pPr>
    </w:p>
    <w:p w:rsidR="004C50DC" w:rsidRDefault="004C50DC" w:rsidP="004C50DC">
      <w:pPr>
        <w:pStyle w:val="Citation0"/>
      </w:pPr>
      <w:r w:rsidRPr="00E8358C">
        <w:t>Il est certes à nos yeux scandaleux que Haïti ait dû en quelque sorte ach</w:t>
      </w:r>
      <w:r w:rsidRPr="00E8358C">
        <w:t>e</w:t>
      </w:r>
      <w:r w:rsidRPr="00E8358C">
        <w:t>ter en francs-or sa reconnaissance internationale après avoir conquis son indépendance au prix du sang, mais faut-il rappeler que le droit à l’autodétermination des peuples n’existait pas en 1838 ? Pas plus que la notion de crime contre l’humanité, née au lendemain de la Deuxième Guerre mondiale</w:t>
      </w:r>
      <w:r>
        <w:t> </w:t>
      </w:r>
      <w:r>
        <w:rPr>
          <w:rStyle w:val="Appelnotedebasdep"/>
        </w:rPr>
        <w:footnoteReference w:id="1073"/>
      </w:r>
      <w:r>
        <w:t>.</w:t>
      </w:r>
    </w:p>
    <w:p w:rsidR="004C50DC" w:rsidRPr="00E8358C" w:rsidRDefault="004C50DC" w:rsidP="004C50DC">
      <w:pPr>
        <w:pStyle w:val="Citation0"/>
      </w:pPr>
    </w:p>
    <w:p w:rsidR="004C50DC" w:rsidRPr="00E8358C" w:rsidRDefault="004C50DC" w:rsidP="004C50DC">
      <w:pPr>
        <w:spacing w:before="120" w:after="120"/>
        <w:jc w:val="both"/>
      </w:pPr>
      <w:r w:rsidRPr="00E8358C">
        <w:t>Pour l’auteur, le droit en vigueur à l’époque n’imposait pas cette obligation. Le rapport Debray constitue le document sur lequel se base la France pour « clore » le débat de son côté. Debray soutient d’autre part que :</w:t>
      </w:r>
    </w:p>
    <w:p w:rsidR="004C50DC" w:rsidRDefault="004C50DC" w:rsidP="004C50DC">
      <w:pPr>
        <w:pStyle w:val="Citation0"/>
      </w:pPr>
    </w:p>
    <w:p w:rsidR="004C50DC" w:rsidRDefault="004C50DC" w:rsidP="004C50DC">
      <w:pPr>
        <w:pStyle w:val="Citation0"/>
      </w:pPr>
      <w:r w:rsidRPr="00E8358C">
        <w:t xml:space="preserve">L’histoire n’est pas manichéenne, ce sont les présidents haïtiens Boyer et Pétion qui ont proposé cela. Il y avait un blocus d’Haïti, une non-reconnaissance de sa souveraineté et ils ont dit : </w:t>
      </w:r>
      <w:r w:rsidRPr="00E8358C">
        <w:rPr>
          <w:i/>
        </w:rPr>
        <w:t>bon, il faut qu’on paie</w:t>
      </w:r>
      <w:r w:rsidRPr="00E8358C">
        <w:t>. C’était l’idée que quand un esclave s’enfuit, le propriétaire est spolié… donc il faut l’indemniser. Cela nous semble fou, mais ce sont les cadres mentaux de l’époque. Ce paiement est évidemment mon</w:t>
      </w:r>
      <w:r w:rsidRPr="00E8358C">
        <w:t>s</w:t>
      </w:r>
      <w:r w:rsidRPr="00E8358C">
        <w:t>trueux. Et voilà pourquoi l’oubli a été aussi puissant</w:t>
      </w:r>
      <w:r>
        <w:t> </w:t>
      </w:r>
      <w:r>
        <w:rPr>
          <w:rStyle w:val="Appelnotedebasdep"/>
        </w:rPr>
        <w:footnoteReference w:id="1074"/>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L’amnésie est tout d’un coup devenue une bonne pathologie pour l’histoire. Le rapport Debray a été discuté en Haïti, avec des échos dans la presse. Face à la persistance du mépris de la France, des écr</w:t>
      </w:r>
      <w:r w:rsidRPr="00E8358C">
        <w:t>i</w:t>
      </w:r>
      <w:r w:rsidRPr="00E8358C">
        <w:t>vains contemporains haïtiens ont dû élever la voix. Un tel discours se retrouve chez Jean Casimir qui constate que l’esprit rassembleur de la cérémonie du Bois-Caïman a été bafoué.</w:t>
      </w:r>
    </w:p>
    <w:p w:rsidR="004C50DC" w:rsidRDefault="004C50DC" w:rsidP="004C50DC">
      <w:pPr>
        <w:pStyle w:val="Citation0"/>
      </w:pPr>
    </w:p>
    <w:p w:rsidR="004C50DC" w:rsidRDefault="004C50DC" w:rsidP="004C50DC">
      <w:pPr>
        <w:pStyle w:val="Citation0"/>
      </w:pPr>
      <w:r w:rsidRPr="00E8358C">
        <w:t>Jusque de nos jours, pèse encore sur le pays le poids de l’acceptation du nègre comme travailleur colonial, à l’encontre de la philosophie des luttes révolutionnaires qui se déroulent de 1790 à 1804. La reconnaissance de la dette de l’Indépendance est non seul</w:t>
      </w:r>
      <w:r w:rsidRPr="00E8358C">
        <w:t>e</w:t>
      </w:r>
      <w:r w:rsidRPr="00E8358C">
        <w:t>ment une reconnaissance du droit de la France sur Saint-Domingue et ses esclaves, mais avant tout une reco</w:t>
      </w:r>
      <w:r w:rsidRPr="00E8358C">
        <w:t>n</w:t>
      </w:r>
      <w:r w:rsidRPr="00E8358C">
        <w:t>naissance de l’infériorité du nègre et de son devoir de servir les « blancs » et les « plus blancs » de peau ou d’esprit. Le pays a fini par payer la dette de l’Indépendance, la dette financière. Néanmoins, ses élites ont encore une dette morale à payer, non à la France, mais aux insurgés d’août 1790, car toutes elles concèdent, deux cent ans durant, l’infériorité de la popul</w:t>
      </w:r>
      <w:r w:rsidRPr="00E8358C">
        <w:t>a</w:t>
      </w:r>
      <w:r w:rsidRPr="00E8358C">
        <w:t xml:space="preserve">tion haïtienne et de ses </w:t>
      </w:r>
      <w:r>
        <w:t xml:space="preserve">[430] </w:t>
      </w:r>
      <w:r w:rsidRPr="00E8358C">
        <w:t>œuvres</w:t>
      </w:r>
      <w:r>
        <w:t> </w:t>
      </w:r>
      <w:r>
        <w:rPr>
          <w:rStyle w:val="Appelnotedebasdep"/>
        </w:rPr>
        <w:footnoteReference w:id="1075"/>
      </w:r>
      <w:r w:rsidRPr="00E8358C">
        <w:t>.</w:t>
      </w:r>
    </w:p>
    <w:p w:rsidR="004C50DC" w:rsidRPr="00E8358C" w:rsidRDefault="004C50DC" w:rsidP="004C50DC">
      <w:pPr>
        <w:pStyle w:val="Citation0"/>
      </w:pPr>
    </w:p>
    <w:p w:rsidR="004C50DC" w:rsidRPr="00E8358C" w:rsidRDefault="004C50DC" w:rsidP="004C50DC">
      <w:pPr>
        <w:spacing w:before="120" w:after="120"/>
        <w:jc w:val="both"/>
      </w:pPr>
      <w:r w:rsidRPr="00E8358C">
        <w:t>Répondant à notre question « le débat sur la dette de l’Indépendance peut-il être intégré aux mémoires de l’esclavage en Haïti ? » Vénite estime qu’il ne faut pas l’aborder comme une action isolée du système colonialiste. Pour la comprendre, il faut la comparer à la dette de plus d’un siècle d’exploitation à outrance des esclaves. Aujourd’hui, les Haïtiens doivent exiger le paiement des forces de travail de leurs aïeux dans les plantations qui ont fait toute la richesse de la France et la joindre à la restitution de la dette payée en reco</w:t>
      </w:r>
      <w:r w:rsidRPr="00E8358C">
        <w:t>n</w:t>
      </w:r>
      <w:r w:rsidRPr="00E8358C">
        <w:t>naissance de l’indépendance et en dédommagement des colons fra</w:t>
      </w:r>
      <w:r w:rsidRPr="00E8358C">
        <w:t>n</w:t>
      </w:r>
      <w:r w:rsidRPr="00E8358C">
        <w:t>çais.</w:t>
      </w:r>
    </w:p>
    <w:p w:rsidR="004C50DC" w:rsidRDefault="004C50DC" w:rsidP="004C50DC">
      <w:pPr>
        <w:pStyle w:val="Citation0"/>
      </w:pPr>
    </w:p>
    <w:p w:rsidR="004C50DC" w:rsidRPr="00E8358C" w:rsidRDefault="004C50DC" w:rsidP="004C50DC">
      <w:pPr>
        <w:pStyle w:val="Citation0"/>
      </w:pPr>
      <w:r w:rsidRPr="00E8358C">
        <w:t>Oui, parce que l’esclavage a permis aux colons de s’enrichir en s’accaparant des terres appartenant à d’autres et en faisant travailler gratu</w:t>
      </w:r>
      <w:r w:rsidRPr="00E8358C">
        <w:t>i</w:t>
      </w:r>
      <w:r w:rsidRPr="00E8358C">
        <w:t>tement pendant plus d’un siècle et demi des centaines de milliers d’hommes, de femmes et d’enfants – au nom d’un système. En chi</w:t>
      </w:r>
      <w:r w:rsidRPr="00E8358C">
        <w:t>f</w:t>
      </w:r>
      <w:r w:rsidRPr="00E8358C">
        <w:t>frant de manière objective la valeur de ce travail, on obtiendrait pr</w:t>
      </w:r>
      <w:r w:rsidRPr="00E8358C">
        <w:t>o</w:t>
      </w:r>
      <w:r w:rsidRPr="00E8358C">
        <w:t>bablement plus que le passif de la dette dressée en France eût calculé comme d</w:t>
      </w:r>
      <w:r w:rsidRPr="00E8358C">
        <w:t>é</w:t>
      </w:r>
      <w:r w:rsidRPr="00E8358C">
        <w:t>dommagement aux colons français.</w:t>
      </w:r>
    </w:p>
    <w:p w:rsidR="004C50DC" w:rsidRDefault="004C50DC" w:rsidP="004C50DC">
      <w:pPr>
        <w:pStyle w:val="Citation0c"/>
      </w:pPr>
      <w:r w:rsidRPr="00E8358C">
        <w:t>(Vénite, entrevue, 12 avril 2014)</w:t>
      </w:r>
    </w:p>
    <w:p w:rsidR="004C50DC" w:rsidRPr="00E8358C" w:rsidRDefault="004C50DC" w:rsidP="004C50DC">
      <w:pPr>
        <w:spacing w:before="120" w:after="120"/>
        <w:jc w:val="both"/>
        <w:rPr>
          <w:szCs w:val="22"/>
        </w:rPr>
      </w:pPr>
    </w:p>
    <w:p w:rsidR="004C50DC" w:rsidRPr="00E8358C" w:rsidRDefault="004C50DC" w:rsidP="004C50DC">
      <w:pPr>
        <w:spacing w:before="120" w:after="120"/>
        <w:jc w:val="both"/>
        <w:rPr>
          <w:bCs/>
          <w:lang w:eastAsia="en-CA"/>
        </w:rPr>
      </w:pPr>
      <w:r w:rsidRPr="00E8358C">
        <w:t xml:space="preserve">La visite du président français François Hollande en Haïti le 12 mai 2015 a ravivé les débats. L’écrivain haïtien </w:t>
      </w:r>
      <w:r w:rsidRPr="00E8358C">
        <w:rPr>
          <w:bCs/>
          <w:lang w:eastAsia="en-CA"/>
        </w:rPr>
        <w:t>Lyonel Trouillot en a profité pour exprimer ses impressions et expliquer que la France ado</w:t>
      </w:r>
      <w:r w:rsidRPr="00E8358C">
        <w:rPr>
          <w:bCs/>
          <w:lang w:eastAsia="en-CA"/>
        </w:rPr>
        <w:t>p</w:t>
      </w:r>
      <w:r w:rsidRPr="00E8358C">
        <w:rPr>
          <w:bCs/>
          <w:lang w:eastAsia="en-CA"/>
        </w:rPr>
        <w:t>te une posture qui cherche à nier Jean-Jacques Dessalines pour avoir été le premier chef de la nouvelle nation indépendante d’Haïti et chef de file de la Révolution haïtienne, tandis qu’elle encense Toussaint Louverture. En clair, cette attitude vise à opposer la figure de Tou</w:t>
      </w:r>
      <w:r w:rsidRPr="00E8358C">
        <w:rPr>
          <w:bCs/>
          <w:lang w:eastAsia="en-CA"/>
        </w:rPr>
        <w:t>s</w:t>
      </w:r>
      <w:r w:rsidRPr="00E8358C">
        <w:rPr>
          <w:bCs/>
          <w:lang w:eastAsia="en-CA"/>
        </w:rPr>
        <w:t>saint à celle de Dessalines. Cet acte, même inconscient, dénote un s</w:t>
      </w:r>
      <w:r w:rsidRPr="00E8358C">
        <w:rPr>
          <w:bCs/>
          <w:lang w:eastAsia="en-CA"/>
        </w:rPr>
        <w:t>i</w:t>
      </w:r>
      <w:r w:rsidRPr="00E8358C">
        <w:rPr>
          <w:bCs/>
          <w:lang w:eastAsia="en-CA"/>
        </w:rPr>
        <w:t xml:space="preserve">gne de regret qui alimente la position d’ancienne métropole de la France. </w:t>
      </w:r>
    </w:p>
    <w:p w:rsidR="004C50DC" w:rsidRDefault="004C50DC" w:rsidP="004C50DC">
      <w:pPr>
        <w:pStyle w:val="Citation0"/>
        <w:rPr>
          <w:lang w:eastAsia="en-CA"/>
        </w:rPr>
      </w:pPr>
    </w:p>
    <w:p w:rsidR="004C50DC" w:rsidRDefault="004C50DC" w:rsidP="004C50DC">
      <w:pPr>
        <w:pStyle w:val="Citation0"/>
        <w:rPr>
          <w:lang w:eastAsia="en-CA"/>
        </w:rPr>
      </w:pPr>
      <w:r w:rsidRPr="00E8358C">
        <w:rPr>
          <w:lang w:eastAsia="en-CA"/>
        </w:rPr>
        <w:t>Le traitement de la figure de Jean-Jacques Dessalines, fondateur de l’État haïtien, dans l’historiographie française, marqué par le silence ou l’injure, témoigne de cette difficulté de comprendre Haïti. La France a joué Tou</w:t>
      </w:r>
      <w:r w:rsidRPr="00E8358C">
        <w:rPr>
          <w:lang w:eastAsia="en-CA"/>
        </w:rPr>
        <w:t>s</w:t>
      </w:r>
      <w:r w:rsidRPr="00E8358C">
        <w:rPr>
          <w:lang w:eastAsia="en-CA"/>
        </w:rPr>
        <w:t>saint Louverture contre Dessalines. L’un est devenu, longtemps après sa mort, un général français et martyr de la liberté. Une figure acceptable, inscrite au panthéon. L’autre n’est toujours pas reconnu pour ce qu’il fut, l’un des premiers dirigeants politiques de l’Amérique postcoloniale et le symbole de la rupture avec l’inacceptable. Nier Dessalines ou le banaliser, c’est nier et banaliser la naissance d’Haïti à elle-même</w:t>
      </w:r>
      <w:r>
        <w:rPr>
          <w:lang w:eastAsia="en-CA"/>
        </w:rPr>
        <w:t> </w:t>
      </w:r>
      <w:r>
        <w:rPr>
          <w:rStyle w:val="Appelnotedebasdep"/>
          <w:lang w:eastAsia="en-CA"/>
        </w:rPr>
        <w:footnoteReference w:id="1076"/>
      </w:r>
      <w:r w:rsidRPr="00E8358C">
        <w:rPr>
          <w:lang w:eastAsia="en-CA"/>
        </w:rPr>
        <w:t xml:space="preserve">. </w:t>
      </w:r>
    </w:p>
    <w:p w:rsidR="004C50DC" w:rsidRDefault="004C50DC" w:rsidP="004C50DC">
      <w:pPr>
        <w:pStyle w:val="Citation0"/>
        <w:rPr>
          <w:lang w:eastAsia="en-CA"/>
        </w:rPr>
      </w:pPr>
    </w:p>
    <w:p w:rsidR="004C50DC" w:rsidRPr="00E8358C" w:rsidRDefault="004C50DC" w:rsidP="004C50DC">
      <w:pPr>
        <w:spacing w:before="120" w:after="120"/>
        <w:jc w:val="both"/>
        <w:rPr>
          <w:szCs w:val="22"/>
          <w:lang w:eastAsia="en-CA"/>
        </w:rPr>
      </w:pPr>
      <w:r>
        <w:rPr>
          <w:szCs w:val="22"/>
          <w:lang w:eastAsia="en-CA"/>
        </w:rPr>
        <w:t>[431]</w:t>
      </w:r>
    </w:p>
    <w:p w:rsidR="004C50DC" w:rsidRPr="00E8358C" w:rsidRDefault="004C50DC" w:rsidP="004C50DC">
      <w:pPr>
        <w:spacing w:before="120" w:after="120"/>
        <w:jc w:val="both"/>
        <w:rPr>
          <w:strike/>
        </w:rPr>
      </w:pPr>
      <w:r w:rsidRPr="00E8358C">
        <w:t>Cette posture n’améliore pas l’opinion qu’ont les masses popula</w:t>
      </w:r>
      <w:r w:rsidRPr="00E8358C">
        <w:t>i</w:t>
      </w:r>
      <w:r w:rsidRPr="00E8358C">
        <w:t>res de la France. Lyonel Trouillot soutient qu’« il y a en Haïti deux visions de la France, celle des élites et celle des masses populaires. C’est sur celle des masses populaires qu’il faudra agir pour qu’elles voient enfin en la France une amie »</w:t>
      </w:r>
      <w:r w:rsidRPr="00E8358C">
        <w:rPr>
          <w:rStyle w:val="Appelnotedebasdep"/>
        </w:rPr>
        <w:footnoteReference w:id="1077"/>
      </w:r>
      <w:r w:rsidRPr="00E8358C">
        <w:t>. Au-delà du nationalisme et de l’émotion, les réflexions de Lyonel Trouillot parviennent à con</w:t>
      </w:r>
      <w:r w:rsidRPr="00E8358C">
        <w:t>s</w:t>
      </w:r>
      <w:r w:rsidRPr="00E8358C">
        <w:t>truire une objectivité. Jusqu’à ce jour, en Haïti, peu de recherches</w:t>
      </w:r>
      <w:r>
        <w:t> </w:t>
      </w:r>
      <w:r>
        <w:rPr>
          <w:rStyle w:val="Appelnotedebasdep"/>
        </w:rPr>
        <w:footnoteReference w:id="1078"/>
      </w:r>
      <w:r w:rsidRPr="00E8358C">
        <w:t xml:space="preserve"> ont été encouragées sur la problématique des mémoires de l’esclavage. Les universités haïtiennes ne peuvent lancer de progra</w:t>
      </w:r>
      <w:r w:rsidRPr="00E8358C">
        <w:t>m</w:t>
      </w:r>
      <w:r w:rsidRPr="00E8358C">
        <w:t>mes de recherches sur cette question en raison des maigres ressources dont elles disp</w:t>
      </w:r>
      <w:r w:rsidRPr="00E8358C">
        <w:t>o</w:t>
      </w:r>
      <w:r w:rsidRPr="00E8358C">
        <w:t xml:space="preserve">sent. </w:t>
      </w:r>
    </w:p>
    <w:p w:rsidR="004C50DC" w:rsidRPr="00E8358C" w:rsidRDefault="004C50DC" w:rsidP="004C50DC">
      <w:pPr>
        <w:spacing w:before="120" w:after="120"/>
        <w:jc w:val="both"/>
      </w:pPr>
      <w:r w:rsidRPr="00E8358C">
        <w:t>L’appellation « Route de l’Esclave » s’inscrit trop dans la foulée de la désignation des paysages culturels des programmes de l’UNESCO. Cette logique de catégorisation du patrimoine mondial n’est pas tout à fait adaptée aux mémoires de l’esclavage. Elle est en contradiction avec l’objectif de l’UNESCO qui est de favoriser la d</w:t>
      </w:r>
      <w:r w:rsidRPr="00E8358C">
        <w:t>i</w:t>
      </w:r>
      <w:r w:rsidRPr="00E8358C">
        <w:t>versité culturelle dans le monde. Étant donné que c’est une organis</w:t>
      </w:r>
      <w:r w:rsidRPr="00E8358C">
        <w:t>a</w:t>
      </w:r>
      <w:r w:rsidRPr="00E8358C">
        <w:t>tion internationale qui établit des normes et des protocoles qui sont appliqués à tout le monde, il paraissait difficile peut-être de sortir de ce cadre normatif. Selon l’UNESCO, le concept de « Route » illustre ce mouvement d’échanges entre peuples et cultures</w:t>
      </w:r>
      <w:r>
        <w:t> </w:t>
      </w:r>
      <w:r>
        <w:rPr>
          <w:rStyle w:val="Appelnotedebasdep"/>
        </w:rPr>
        <w:footnoteReference w:id="1079"/>
      </w:r>
      <w:r w:rsidRPr="00E8358C">
        <w:t>. Cette désign</w:t>
      </w:r>
      <w:r w:rsidRPr="00E8358C">
        <w:t>a</w:t>
      </w:r>
      <w:r w:rsidRPr="00E8358C">
        <w:t>tion de « Route » pour certains programmes est une approche assez normative qui, en fin de compte, contribue à tout normaliser, mais ne favorise pas vraiment la diversité culturelle. Les peuples devraient être en mesure de désigner eux-mêmes l’appellation de leur programme en lien avec le passé colonial et esclavagiste, même s’ils sont appuyés par l’UNESCO. Cette notion de</w:t>
      </w:r>
      <w:r>
        <w:t xml:space="preserve"> [432]</w:t>
      </w:r>
      <w:r w:rsidRPr="00E8358C">
        <w:t xml:space="preserve"> « Route » ne convient pas à toutes les situations, comme celle de l’esclavage. Les esclaves, capt</w:t>
      </w:r>
      <w:r w:rsidRPr="00E8358C">
        <w:t>u</w:t>
      </w:r>
      <w:r w:rsidRPr="00E8358C">
        <w:t>rés en Afrique, jetés et enchaînés dans les cales des négriers, n’avaient aucune connaissance de leur itinéraire et ne pouvaient pas mémoriser une route. D’ailleurs, c’était un voyage pratiquement sans retour, leur déplacement n’était pas volontaire. Peut-on parler ainsi d’échanges dans le cadre de la Traite négrière ? On peut comprendre aujourd’hui qu’il peut y avoir des échanges d’informations et de méthodes de r</w:t>
      </w:r>
      <w:r w:rsidRPr="00E8358C">
        <w:t>e</w:t>
      </w:r>
      <w:r w:rsidRPr="00E8358C">
        <w:t>cherches sur les mémoires et les expériences de l’esclavage. Tout</w:t>
      </w:r>
      <w:r w:rsidRPr="00E8358C">
        <w:t>e</w:t>
      </w:r>
      <w:r w:rsidRPr="00E8358C">
        <w:t xml:space="preserve">fois, dans le contexte de l’esclavage en tant que tragédie humaine, la dénomination « route » est inappropriée, ne serait-ce que pour faire la lumière sur le fait historique.  </w:t>
      </w:r>
    </w:p>
    <w:p w:rsidR="004C50DC" w:rsidRDefault="004C50DC" w:rsidP="004C50DC">
      <w:pPr>
        <w:spacing w:before="120" w:after="120"/>
        <w:jc w:val="both"/>
      </w:pPr>
      <w:bookmarkStart w:id="557" w:name="_Toc442280591"/>
    </w:p>
    <w:p w:rsidR="004C50DC" w:rsidRPr="00E8358C" w:rsidRDefault="004C50DC" w:rsidP="004C50DC">
      <w:pPr>
        <w:pStyle w:val="a"/>
      </w:pPr>
      <w:r w:rsidRPr="00E8358C">
        <w:t xml:space="preserve">8.3.2. Route de l’esclave </w:t>
      </w:r>
      <w:r>
        <w:br/>
      </w:r>
      <w:r w:rsidRPr="00E8358C">
        <w:t>pour un « vivre ensemble » entre Haïtiens</w:t>
      </w:r>
      <w:bookmarkEnd w:id="557"/>
    </w:p>
    <w:p w:rsidR="004C50DC" w:rsidRDefault="004C50DC" w:rsidP="004C50DC">
      <w:pPr>
        <w:spacing w:before="120" w:after="120"/>
        <w:jc w:val="both"/>
        <w:rPr>
          <w:bCs/>
        </w:rPr>
      </w:pPr>
    </w:p>
    <w:p w:rsidR="004C50DC" w:rsidRDefault="004C50DC" w:rsidP="004C50DC">
      <w:pPr>
        <w:spacing w:before="120" w:after="120"/>
        <w:jc w:val="both"/>
        <w:rPr>
          <w:bCs/>
        </w:rPr>
      </w:pPr>
      <w:r w:rsidRPr="00E8358C">
        <w:rPr>
          <w:bCs/>
        </w:rPr>
        <w:t xml:space="preserve">Considérant les principaux objectifs du projet de la « Route de l’Esclave », il y a lieu de nous questionner sur sa contribution à un « vivre ensemble » en Haïti. Certainement, on peut déceler des points pouvant contribuer à ce vivre ensemble. Cependant, la compréhension entre les citoyens doit être basée </w:t>
      </w:r>
      <w:r>
        <w:rPr>
          <w:bCs/>
        </w:rPr>
        <w:t>sur trois éléments importants :</w:t>
      </w:r>
    </w:p>
    <w:p w:rsidR="004C50DC" w:rsidRPr="00E8358C" w:rsidRDefault="004C50DC" w:rsidP="004C50DC">
      <w:pPr>
        <w:spacing w:before="120" w:after="120"/>
        <w:jc w:val="both"/>
        <w:rPr>
          <w:bCs/>
        </w:rPr>
      </w:pPr>
    </w:p>
    <w:p w:rsidR="004C50DC" w:rsidRPr="00E8358C" w:rsidRDefault="004C50DC" w:rsidP="004C50DC">
      <w:pPr>
        <w:spacing w:before="120" w:after="120"/>
        <w:ind w:left="720" w:hanging="360"/>
        <w:jc w:val="both"/>
        <w:rPr>
          <w:bCs/>
        </w:rPr>
      </w:pPr>
      <w:r>
        <w:rPr>
          <w:bCs/>
        </w:rPr>
        <w:t>1.</w:t>
      </w:r>
      <w:r>
        <w:rPr>
          <w:bCs/>
        </w:rPr>
        <w:tab/>
      </w:r>
      <w:r w:rsidRPr="00E8358C">
        <w:rPr>
          <w:bCs/>
          <w:u w:val="single"/>
        </w:rPr>
        <w:t>La lumière sur le fait historique</w:t>
      </w:r>
      <w:r w:rsidRPr="00E8358C">
        <w:rPr>
          <w:bCs/>
        </w:rPr>
        <w:t>. Les citoyens voulant construire le « vivre ensemble » doivent s’interroger sur leur passé et leur histo</w:t>
      </w:r>
      <w:r w:rsidRPr="00E8358C">
        <w:rPr>
          <w:bCs/>
        </w:rPr>
        <w:t>i</w:t>
      </w:r>
      <w:r w:rsidRPr="00E8358C">
        <w:rPr>
          <w:bCs/>
        </w:rPr>
        <w:t>re communs, les mettre à jour et les assumer.</w:t>
      </w:r>
    </w:p>
    <w:p w:rsidR="004C50DC" w:rsidRPr="00E8358C" w:rsidRDefault="004C50DC" w:rsidP="004C50DC">
      <w:pPr>
        <w:spacing w:before="120" w:after="120"/>
        <w:ind w:left="720" w:hanging="360"/>
        <w:jc w:val="both"/>
        <w:rPr>
          <w:bCs/>
        </w:rPr>
      </w:pPr>
      <w:r>
        <w:rPr>
          <w:bCs/>
        </w:rPr>
        <w:t>2.</w:t>
      </w:r>
      <w:r>
        <w:rPr>
          <w:bCs/>
        </w:rPr>
        <w:tab/>
      </w:r>
      <w:r w:rsidRPr="00E8358C">
        <w:rPr>
          <w:bCs/>
          <w:u w:val="single"/>
        </w:rPr>
        <w:t>La prise en charge des conséquences</w:t>
      </w:r>
      <w:r w:rsidRPr="00E8358C">
        <w:rPr>
          <w:bCs/>
        </w:rPr>
        <w:t>. L’État, les élites et l’ensemble de la population haïtienne doivent assumer les conséque</w:t>
      </w:r>
      <w:r w:rsidRPr="00E8358C">
        <w:rPr>
          <w:bCs/>
        </w:rPr>
        <w:t>n</w:t>
      </w:r>
      <w:r w:rsidRPr="00E8358C">
        <w:rPr>
          <w:bCs/>
        </w:rPr>
        <w:t>ces actuelles de l’esclavage. Ils doivent les assumer non seulement sur l’aspect du travail de mémoire, mais aussi sur la correction des inégalités, des discriminations, des préj</w:t>
      </w:r>
      <w:r w:rsidRPr="00E8358C">
        <w:rPr>
          <w:bCs/>
        </w:rPr>
        <w:t>u</w:t>
      </w:r>
      <w:r w:rsidRPr="00E8358C">
        <w:rPr>
          <w:bCs/>
        </w:rPr>
        <w:t xml:space="preserve">gés issus du passé colonial. </w:t>
      </w:r>
    </w:p>
    <w:p w:rsidR="004C50DC" w:rsidRPr="00E8358C" w:rsidRDefault="004C50DC" w:rsidP="004C50DC">
      <w:pPr>
        <w:spacing w:before="120" w:after="120"/>
        <w:ind w:left="720" w:hanging="360"/>
        <w:jc w:val="both"/>
        <w:rPr>
          <w:bCs/>
        </w:rPr>
      </w:pPr>
      <w:r>
        <w:rPr>
          <w:bCs/>
        </w:rPr>
        <w:t>3.</w:t>
      </w:r>
      <w:r>
        <w:rPr>
          <w:bCs/>
        </w:rPr>
        <w:tab/>
      </w:r>
      <w:r w:rsidRPr="00E8358C">
        <w:rPr>
          <w:bCs/>
          <w:u w:val="single"/>
        </w:rPr>
        <w:t>L’appropriation des lieux et des mémoires par les communa</w:t>
      </w:r>
      <w:r w:rsidRPr="00E8358C">
        <w:rPr>
          <w:bCs/>
          <w:u w:val="single"/>
        </w:rPr>
        <w:t>u</w:t>
      </w:r>
      <w:r w:rsidRPr="00E8358C">
        <w:rPr>
          <w:bCs/>
          <w:u w:val="single"/>
        </w:rPr>
        <w:t>tés</w:t>
      </w:r>
      <w:r w:rsidRPr="00E8358C">
        <w:rPr>
          <w:bCs/>
        </w:rPr>
        <w:t>. Les communautés doivent se mobiliser pour que les lieux de mémoire, comme les habitations coloniales et les fortific</w:t>
      </w:r>
      <w:r w:rsidRPr="00E8358C">
        <w:rPr>
          <w:bCs/>
        </w:rPr>
        <w:t>a</w:t>
      </w:r>
      <w:r w:rsidRPr="00E8358C">
        <w:rPr>
          <w:bCs/>
        </w:rPr>
        <w:t>tions, ainsi que les pratiques culturelles d’Haïti telles que la musique, les danses, le vodou et les pratiques culinaires en lien avec le passé esclavagiste, soient valorisés et sauvegardés. Le Comité national de la « Route de l’Esclave » doit travailler avec les citoyens et les encourager en ce sens.</w:t>
      </w:r>
    </w:p>
    <w:p w:rsidR="004C50DC" w:rsidRDefault="004C50DC" w:rsidP="004C50DC">
      <w:pPr>
        <w:spacing w:before="120" w:after="120"/>
        <w:jc w:val="both"/>
      </w:pPr>
    </w:p>
    <w:p w:rsidR="004C50DC" w:rsidRDefault="004C50DC" w:rsidP="004C50DC">
      <w:pPr>
        <w:spacing w:before="120" w:after="120"/>
        <w:jc w:val="both"/>
      </w:pPr>
      <w:r>
        <w:t>[433]</w:t>
      </w:r>
    </w:p>
    <w:p w:rsidR="004C50DC" w:rsidRDefault="004C50DC" w:rsidP="004C50DC">
      <w:pPr>
        <w:spacing w:before="120" w:after="120"/>
        <w:jc w:val="both"/>
      </w:pPr>
      <w:r w:rsidRPr="00E8358C">
        <w:t>Enfin, aucun projet patrimonial d’envergure n’aura d’impact s’il n’est accompagné d’une démarche globale de développement durable. Réalisé dans l’absolu, il ne durera pas. Il faut, aujourd’hui, une « Route de l’Esclave » réellement participative et inclusive vis-à-vis de la population.</w:t>
      </w:r>
    </w:p>
    <w:p w:rsidR="004C50DC" w:rsidRPr="00E8358C" w:rsidRDefault="004C50DC" w:rsidP="004C50DC">
      <w:pPr>
        <w:spacing w:before="120" w:after="120"/>
        <w:jc w:val="both"/>
      </w:pPr>
    </w:p>
    <w:p w:rsidR="004C50DC" w:rsidRPr="00E8358C" w:rsidRDefault="004C50DC" w:rsidP="004C50DC">
      <w:pPr>
        <w:pStyle w:val="planche"/>
      </w:pPr>
      <w:bookmarkStart w:id="558" w:name="_Toc442280592"/>
      <w:bookmarkStart w:id="559" w:name="Memoire_chap_VIII_4"/>
      <w:r w:rsidRPr="00E8358C">
        <w:t>8.4. Haïti au cœu</w:t>
      </w:r>
      <w:r>
        <w:t>r des mémoires de l’esclavage :</w:t>
      </w:r>
      <w:r>
        <w:br/>
      </w:r>
      <w:r w:rsidRPr="00E8358C">
        <w:t>con</w:t>
      </w:r>
      <w:r w:rsidRPr="00E8358C">
        <w:t>s</w:t>
      </w:r>
      <w:r w:rsidRPr="00E8358C">
        <w:t>truction identitaire et reconquête</w:t>
      </w:r>
      <w:r>
        <w:br/>
      </w:r>
      <w:r w:rsidRPr="00E8358C">
        <w:t>d’une humanité par la culture</w:t>
      </w:r>
      <w:bookmarkEnd w:id="558"/>
    </w:p>
    <w:bookmarkEnd w:id="559"/>
    <w:p w:rsidR="004C50DC" w:rsidRDefault="004C50DC" w:rsidP="004C50DC">
      <w:pPr>
        <w:spacing w:before="120" w:after="120"/>
        <w:jc w:val="both"/>
        <w:rPr>
          <w:bCs/>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bCs/>
        </w:rPr>
      </w:pPr>
      <w:r w:rsidRPr="00E8358C">
        <w:rPr>
          <w:bCs/>
        </w:rPr>
        <w:t xml:space="preserve">L’un des moyens idéologiques utilisés, c’est de dépeindre, </w:t>
      </w:r>
      <w:r w:rsidRPr="00E8358C">
        <w:rPr>
          <w:bCs/>
          <w:i/>
        </w:rPr>
        <w:t>prima facie,</w:t>
      </w:r>
      <w:r w:rsidRPr="00E8358C">
        <w:rPr>
          <w:bCs/>
        </w:rPr>
        <w:t xml:space="preserve"> que les Noirs étaient réduits en esclavage parce qu’ils étaient inférieurs ethniquement et culturellement. Pendant des siècles, il y eut une volonté de gommer la résistance des esclaves et de véhiculer à travers les livres une démarche historique laissant croire que les escl</w:t>
      </w:r>
      <w:r w:rsidRPr="00E8358C">
        <w:rPr>
          <w:bCs/>
        </w:rPr>
        <w:t>a</w:t>
      </w:r>
      <w:r w:rsidRPr="00E8358C">
        <w:rPr>
          <w:bCs/>
        </w:rPr>
        <w:t>ves étaient des gens soumis, qu’ils avaient accepté passivement leur sort. Pourtant, les esclaves ont toujours résisté depuis le début de l’esclavage transatlantique et jusqu’aux abolitions. Donc, mettre en lumière cette résistance, c’est mettre en relief l’humanité des esclaves qui n’ont pas accepté leur soumission et l’ont constamment comba</w:t>
      </w:r>
      <w:r w:rsidRPr="00E8358C">
        <w:rPr>
          <w:bCs/>
        </w:rPr>
        <w:t>t</w:t>
      </w:r>
      <w:r w:rsidRPr="00E8358C">
        <w:rPr>
          <w:bCs/>
        </w:rPr>
        <w:t xml:space="preserve">tue. L’épisode emblématique de l’abolition qui a marqué le monde entier est la guerre de l’Indépendance haïtienne. Cette guerre a eu un effet catalyseur dans tous les pays où l’esclavage a été pratiqué pour inciter les esclavagistes à accepter l’abolition générale. </w:t>
      </w:r>
    </w:p>
    <w:p w:rsidR="004C50DC" w:rsidRPr="00E8358C" w:rsidRDefault="004C50DC" w:rsidP="004C50DC">
      <w:pPr>
        <w:spacing w:before="120" w:after="120"/>
        <w:jc w:val="both"/>
      </w:pPr>
      <w:r w:rsidRPr="00E8358C">
        <w:rPr>
          <w:bCs/>
        </w:rPr>
        <w:t>La résistance culturelle a été aussi déterminante dans les luttes contre le système esclavagiste. Cette résistance, selon Doudou Di</w:t>
      </w:r>
      <w:r w:rsidRPr="00E8358C">
        <w:rPr>
          <w:bCs/>
        </w:rPr>
        <w:t>è</w:t>
      </w:r>
      <w:r w:rsidRPr="00E8358C">
        <w:rPr>
          <w:bCs/>
        </w:rPr>
        <w:t>ne</w:t>
      </w:r>
      <w:r>
        <w:rPr>
          <w:bCs/>
        </w:rPr>
        <w:t> </w:t>
      </w:r>
      <w:r w:rsidRPr="00E8358C">
        <w:rPr>
          <w:rStyle w:val="Appelnotedebasdep"/>
          <w:bCs/>
        </w:rPr>
        <w:footnoteReference w:id="1080"/>
      </w:r>
      <w:r w:rsidRPr="00E8358C">
        <w:rPr>
          <w:bCs/>
        </w:rPr>
        <w:t>, s’était constituée dès que les esclaves eurent commencé à ident</w:t>
      </w:r>
      <w:r w:rsidRPr="00E8358C">
        <w:rPr>
          <w:bCs/>
        </w:rPr>
        <w:t>i</w:t>
      </w:r>
      <w:r w:rsidRPr="00E8358C">
        <w:rPr>
          <w:bCs/>
        </w:rPr>
        <w:t>fier la faiblesse des maîtres qui ne voyaient en eux que des êtres inf</w:t>
      </w:r>
      <w:r w:rsidRPr="00E8358C">
        <w:rPr>
          <w:bCs/>
        </w:rPr>
        <w:t>é</w:t>
      </w:r>
      <w:r w:rsidRPr="00E8358C">
        <w:rPr>
          <w:bCs/>
        </w:rPr>
        <w:t>rieurs et des outils de travail inconscients de leur souffrance. Les c</w:t>
      </w:r>
      <w:r w:rsidRPr="00E8358C">
        <w:rPr>
          <w:bCs/>
        </w:rPr>
        <w:t>o</w:t>
      </w:r>
      <w:r w:rsidRPr="00E8358C">
        <w:rPr>
          <w:bCs/>
        </w:rPr>
        <w:t>lons se trompaient, car les esclaves étaient conscients de leur situation. D</w:t>
      </w:r>
      <w:r w:rsidRPr="00E8358C">
        <w:rPr>
          <w:bCs/>
        </w:rPr>
        <w:t>u</w:t>
      </w:r>
      <w:r w:rsidRPr="00E8358C">
        <w:rPr>
          <w:bCs/>
        </w:rPr>
        <w:t xml:space="preserve">rant la période esclavagiste, ils observaient les maîtres pour voir ce qu’ils aimaient et ce qu’ils n’aimaient pas. Ils avaient utilisé leur force intérieure, c’est-à-dire tous les éléments de leur culture qui avaient été méprisés, négligés par les maîtres, car ces derniers s’imaginaient que les </w:t>
      </w:r>
      <w:r>
        <w:rPr>
          <w:bCs/>
        </w:rPr>
        <w:t xml:space="preserve">[434] </w:t>
      </w:r>
      <w:r w:rsidRPr="00E8358C">
        <w:rPr>
          <w:bCs/>
        </w:rPr>
        <w:t>esclaves ne pouvaient pas penser, qu’ils étaient dépourvus de sensibilité, de culture et de mémoire. Pourtant, chaque jour, les escl</w:t>
      </w:r>
      <w:r w:rsidRPr="00E8358C">
        <w:rPr>
          <w:bCs/>
        </w:rPr>
        <w:t>a</w:t>
      </w:r>
      <w:r w:rsidRPr="00E8358C">
        <w:rPr>
          <w:bCs/>
        </w:rPr>
        <w:t>ves faisaient appel à leurs dieux, à leurs rites, à leurs mythes, à leur spiritualité pour subvertir les normes culturelles et cultuelles esclav</w:t>
      </w:r>
      <w:r w:rsidRPr="00E8358C">
        <w:rPr>
          <w:bCs/>
        </w:rPr>
        <w:t>a</w:t>
      </w:r>
      <w:r w:rsidRPr="00E8358C">
        <w:rPr>
          <w:bCs/>
        </w:rPr>
        <w:t>gistes qui leur étaient imposées</w:t>
      </w:r>
      <w:r>
        <w:rPr>
          <w:bCs/>
        </w:rPr>
        <w:t> </w:t>
      </w:r>
      <w:r w:rsidRPr="00E8358C">
        <w:rPr>
          <w:rStyle w:val="Appelnotedebasdep"/>
          <w:bCs/>
        </w:rPr>
        <w:footnoteReference w:id="1081"/>
      </w:r>
      <w:r w:rsidRPr="00E8358C">
        <w:rPr>
          <w:bCs/>
        </w:rPr>
        <w:t>. Ils avaient intégré les divinités chr</w:t>
      </w:r>
      <w:r w:rsidRPr="00E8358C">
        <w:rPr>
          <w:bCs/>
        </w:rPr>
        <w:t>é</w:t>
      </w:r>
      <w:r w:rsidRPr="00E8358C">
        <w:rPr>
          <w:bCs/>
        </w:rPr>
        <w:t>tiennes dans leur panthéon spirituel et créé un syncrétisme v</w:t>
      </w:r>
      <w:r w:rsidRPr="00E8358C">
        <w:rPr>
          <w:bCs/>
        </w:rPr>
        <w:t>o</w:t>
      </w:r>
      <w:r w:rsidRPr="00E8358C">
        <w:rPr>
          <w:bCs/>
        </w:rPr>
        <w:t>dou/catholique : « </w:t>
      </w:r>
      <w:r w:rsidRPr="00E8358C">
        <w:t xml:space="preserve">Haïti, s’est organisée et réalisée sur la base du </w:t>
      </w:r>
      <w:r w:rsidRPr="00E8358C">
        <w:rPr>
          <w:i/>
        </w:rPr>
        <w:t>poto mitan</w:t>
      </w:r>
      <w:r w:rsidRPr="00E8358C">
        <w:t xml:space="preserve"> invisible de la résistance culturelle et spirituelle, et notamment du Vaudou »</w:t>
      </w:r>
      <w:r>
        <w:t> </w:t>
      </w:r>
      <w:r w:rsidRPr="00E8358C">
        <w:rPr>
          <w:rStyle w:val="Appelnotedebasdep"/>
        </w:rPr>
        <w:footnoteReference w:id="1082"/>
      </w:r>
      <w:r w:rsidRPr="00E8358C">
        <w:t>.</w:t>
      </w:r>
    </w:p>
    <w:p w:rsidR="004C50DC" w:rsidRPr="00E8358C" w:rsidRDefault="004C50DC" w:rsidP="004C50DC">
      <w:pPr>
        <w:spacing w:before="120" w:after="120"/>
        <w:jc w:val="both"/>
      </w:pPr>
      <w:r w:rsidRPr="00E8358C">
        <w:t>Un autre exemple de résistance fondamentale est celui de l’appropriation par les esclaves domestiques des manières de faire des Blancs. Les Blancs étaient critiqués dans l’imitation de leur style de vie et de classe. Les esclaves remettaient en question la vie sociale des maîtres. Ces derniers n’aimaient pas se voir à travers l’image projetée par l’esclave. Girod de Chantrans explique que l’interdiction faite aux esclaves de se marier dans la colonie de Saint-Domingue avait été ju</w:t>
      </w:r>
      <w:r w:rsidRPr="00E8358C">
        <w:t>s</w:t>
      </w:r>
      <w:r w:rsidRPr="00E8358C">
        <w:t>tifiée par les maîtres qui craignaient « que l’esclave prétende, par l’état de mariage, s’assimiler aux Blancs, dont il doit respecter tous les usages sans jamais oser les imiter »</w:t>
      </w:r>
      <w:r>
        <w:t> </w:t>
      </w:r>
      <w:r>
        <w:rPr>
          <w:rStyle w:val="Appelnotedebasdep"/>
        </w:rPr>
        <w:footnoteReference w:id="1083"/>
      </w:r>
      <w:r w:rsidRPr="00E8358C">
        <w:t xml:space="preserve">. </w:t>
      </w:r>
    </w:p>
    <w:p w:rsidR="004C50DC" w:rsidRDefault="004C50DC" w:rsidP="004C50DC">
      <w:pPr>
        <w:spacing w:before="120" w:after="120"/>
        <w:jc w:val="both"/>
        <w:rPr>
          <w:bCs/>
        </w:rPr>
      </w:pPr>
      <w:r w:rsidRPr="00E8358C">
        <w:rPr>
          <w:bCs/>
        </w:rPr>
        <w:t xml:space="preserve">À travers la musique, les esclaves résistaient aussi. Les esclaves, du fait qu’ils étaient isolés dans les plantations, organisaient le </w:t>
      </w:r>
      <w:r w:rsidRPr="00E8358C">
        <w:rPr>
          <w:bCs/>
          <w:i/>
        </w:rPr>
        <w:t>rara</w:t>
      </w:r>
      <w:r w:rsidRPr="00E8358C">
        <w:rPr>
          <w:bCs/>
        </w:rPr>
        <w:t xml:space="preserve"> pour se divertir et se rencontrer annuellement. Ils échangeaient des informations sur leur situation et préparaient les révoltes. Ces re</w:t>
      </w:r>
      <w:r w:rsidRPr="00E8358C">
        <w:rPr>
          <w:bCs/>
        </w:rPr>
        <w:t>n</w:t>
      </w:r>
      <w:r w:rsidRPr="00E8358C">
        <w:rPr>
          <w:bCs/>
        </w:rPr>
        <w:t>contres avaient, en quelque sorte, favorisé la réalisation de la cérém</w:t>
      </w:r>
      <w:r w:rsidRPr="00E8358C">
        <w:rPr>
          <w:bCs/>
        </w:rPr>
        <w:t>o</w:t>
      </w:r>
      <w:r w:rsidRPr="00E8358C">
        <w:rPr>
          <w:bCs/>
        </w:rPr>
        <w:t>nie du Bois-Caïman. Donc, en chantant et en dansant leur situation quotidienne dans les plantations, les esclaves subvertissaient la dom</w:t>
      </w:r>
      <w:r w:rsidRPr="00E8358C">
        <w:rPr>
          <w:bCs/>
        </w:rPr>
        <w:t>i</w:t>
      </w:r>
      <w:r w:rsidRPr="00E8358C">
        <w:rPr>
          <w:bCs/>
        </w:rPr>
        <w:t xml:space="preserve">nation coloniale dominguoise, tandis que les maîtres n’y voyaient que des scènes de défoulement de barbares. Ainsi, les esclaves avaient subverti le sens colonial de l’esthétique sans que les maîtres aient pu le remarquer. Aujourd’hui, le carnaval, à côté du </w:t>
      </w:r>
      <w:r w:rsidRPr="00E8358C">
        <w:rPr>
          <w:bCs/>
          <w:i/>
        </w:rPr>
        <w:t>rara</w:t>
      </w:r>
      <w:r w:rsidRPr="00E8358C">
        <w:rPr>
          <w:bCs/>
        </w:rPr>
        <w:t xml:space="preserve"> traditionnel, devient aussi une occasion pour les Haïtiens de mettre en scène leurs frustrations, leu</w:t>
      </w:r>
      <w:r>
        <w:rPr>
          <w:bCs/>
        </w:rPr>
        <w:t>r joie et leurs revendications.</w:t>
      </w:r>
    </w:p>
    <w:p w:rsidR="004C50DC" w:rsidRPr="00E8358C" w:rsidRDefault="004C50DC" w:rsidP="004C50DC">
      <w:pPr>
        <w:spacing w:before="120" w:after="120"/>
        <w:jc w:val="both"/>
      </w:pPr>
      <w:r>
        <w:rPr>
          <w:bCs/>
        </w:rPr>
        <w:t>[435]</w:t>
      </w:r>
    </w:p>
    <w:p w:rsidR="004C50DC" w:rsidRPr="00E8358C" w:rsidRDefault="004C50DC" w:rsidP="004C50DC">
      <w:pPr>
        <w:spacing w:before="120" w:after="120"/>
        <w:jc w:val="both"/>
        <w:rPr>
          <w:bCs/>
        </w:rPr>
      </w:pPr>
      <w:r w:rsidRPr="00E8358C">
        <w:rPr>
          <w:bCs/>
        </w:rPr>
        <w:t>Avec l’aide de la musique, de la danse, de leur culte vodou et de la langue créole, les esclaves avaient organisé la révolte à Saint-Domingue en exploitant la faiblesse des esclavagistes aveuglés par leurs préjugés. Dialectiquement, les expressions culturelles servaient de ciment pour unir les esclaves et créer une universalité qui était un lieu de rencontre, une construction collective. Aujourd’hui, des fo</w:t>
      </w:r>
      <w:r w:rsidRPr="00E8358C">
        <w:rPr>
          <w:bCs/>
        </w:rPr>
        <w:t>r</w:t>
      </w:r>
      <w:r w:rsidRPr="00E8358C">
        <w:rPr>
          <w:bCs/>
        </w:rPr>
        <w:t xml:space="preserve">mes d’expressions artistiques (le jazz, le reggae, la capoeira, le blues, la contredanse, la musique racine haïtienne, le </w:t>
      </w:r>
      <w:r w:rsidRPr="00E8358C">
        <w:rPr>
          <w:bCs/>
          <w:i/>
        </w:rPr>
        <w:t>rara</w:t>
      </w:r>
      <w:r w:rsidRPr="00E8358C">
        <w:rPr>
          <w:bCs/>
        </w:rPr>
        <w:t>, la peinture na</w:t>
      </w:r>
      <w:r w:rsidRPr="00E8358C">
        <w:rPr>
          <w:bCs/>
        </w:rPr>
        <w:t>ï</w:t>
      </w:r>
      <w:r w:rsidRPr="00E8358C">
        <w:rPr>
          <w:bCs/>
        </w:rPr>
        <w:t>ve…) nées dans l’aire esclavagiste des Amériques et des Caraïbes d</w:t>
      </w:r>
      <w:r w:rsidRPr="00E8358C">
        <w:rPr>
          <w:bCs/>
        </w:rPr>
        <w:t>e</w:t>
      </w:r>
      <w:r w:rsidRPr="00E8358C">
        <w:rPr>
          <w:bCs/>
        </w:rPr>
        <w:t xml:space="preserve">viennent très populaires au niveau mondial. Les formes d’expression comme le vodou, le </w:t>
      </w:r>
      <w:r w:rsidRPr="00E8358C">
        <w:rPr>
          <w:bCs/>
          <w:i/>
        </w:rPr>
        <w:t>rara</w:t>
      </w:r>
      <w:r w:rsidRPr="00E8358C">
        <w:rPr>
          <w:bCs/>
        </w:rPr>
        <w:t xml:space="preserve">, la peinture naïve en Haïti ont une vitalité qui se concentre beaucoup plus sur l’éthique que sur l’esthétique – c’est-à-dire qu’elles sont au service d’une éthique de résistance, de libération et de revendication. </w:t>
      </w:r>
    </w:p>
    <w:p w:rsidR="004C50DC" w:rsidRDefault="004C50DC" w:rsidP="004C50DC">
      <w:pPr>
        <w:spacing w:before="120" w:after="120"/>
        <w:jc w:val="both"/>
      </w:pPr>
      <w:bookmarkStart w:id="560" w:name="_Toc442280593"/>
    </w:p>
    <w:p w:rsidR="004C50DC" w:rsidRPr="00E8358C" w:rsidRDefault="004C50DC" w:rsidP="004C50DC">
      <w:pPr>
        <w:pStyle w:val="a"/>
      </w:pPr>
      <w:r w:rsidRPr="00E8358C">
        <w:t xml:space="preserve">8.4.1. Importance d’une transmission de la valeur universelle </w:t>
      </w:r>
      <w:r>
        <w:br/>
      </w:r>
      <w:r w:rsidRPr="00E8358C">
        <w:t>de la mémoire des luttes contre l’esclavage à travers Haïti</w:t>
      </w:r>
      <w:bookmarkEnd w:id="560"/>
    </w:p>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Pendant longtemps, à travers le monde, les élites dirigeantes ont voulu idéologiquement effacer les dimensions négatives de l’esclavage et empêcher qu’on les enseigne. Ils ont neutralisé les lieux de mémoire (les marchés d’esclaves, les forts, les habitations coloni</w:t>
      </w:r>
      <w:r w:rsidRPr="00E8358C">
        <w:rPr>
          <w:bCs/>
        </w:rPr>
        <w:t>a</w:t>
      </w:r>
      <w:r w:rsidRPr="00E8358C">
        <w:rPr>
          <w:bCs/>
        </w:rPr>
        <w:t>les) et occulté les mémoires qui les alimentent. En même temps, les populations ont conservé ces mémoires à travers la musique, les e</w:t>
      </w:r>
      <w:r w:rsidRPr="00E8358C">
        <w:rPr>
          <w:bCs/>
        </w:rPr>
        <w:t>x</w:t>
      </w:r>
      <w:r w:rsidRPr="00E8358C">
        <w:rPr>
          <w:bCs/>
        </w:rPr>
        <w:t xml:space="preserve">pressions artistiques, les pratiques culinaires, les contes et la tradition orale en général. Après les Indépendances, les luttes politiques contre la domination interne n’ont pas permis de transmission réelle de ces éléments mémoriels. Certes, la situation a un peu évolué. Les travaux des chercheurs et le projet de la « Route de l’Esclave » de l’UNESCO ont largement contribué à ce progrès. </w:t>
      </w:r>
    </w:p>
    <w:p w:rsidR="004C50DC" w:rsidRDefault="004C50DC" w:rsidP="004C50DC">
      <w:pPr>
        <w:spacing w:before="120" w:after="120"/>
        <w:jc w:val="both"/>
        <w:rPr>
          <w:bdr w:val="none" w:sz="0" w:space="0" w:color="auto" w:frame="1"/>
        </w:rPr>
      </w:pPr>
      <w:r w:rsidRPr="00E8358C">
        <w:rPr>
          <w:bCs/>
        </w:rPr>
        <w:t>L</w:t>
      </w:r>
      <w:r w:rsidRPr="00E8358C">
        <w:t>’esprit universel de la liberté a toujours guidé les Haïtiens même après leur indépendance. Ils avaient contribué à la libération de no</w:t>
      </w:r>
      <w:r w:rsidRPr="00E8358C">
        <w:t>m</w:t>
      </w:r>
      <w:r w:rsidRPr="00E8358C">
        <w:t xml:space="preserve">bre de pays. </w:t>
      </w:r>
      <w:r w:rsidRPr="00E8358C">
        <w:rPr>
          <w:bdr w:val="none" w:sz="0" w:space="0" w:color="auto" w:frame="1"/>
        </w:rPr>
        <w:t>Dans cette perspective, le professeur Leslie François M</w:t>
      </w:r>
      <w:r w:rsidRPr="00E8358C">
        <w:rPr>
          <w:bdr w:val="none" w:sz="0" w:space="0" w:color="auto" w:frame="1"/>
        </w:rPr>
        <w:t>a</w:t>
      </w:r>
      <w:r w:rsidRPr="00E8358C">
        <w:rPr>
          <w:bdr w:val="none" w:sz="0" w:space="0" w:color="auto" w:frame="1"/>
        </w:rPr>
        <w:t>nigat a exposé, avec un grand luxe, la portée et la contribution d’Haïti à la libération des pays d’Amérique latine, d’Europe, d’Afrique et de la zone afro-asiatique. L’historien mentionne le cas du Venezuela comme exemple phare pour l’Amérique latine.</w:t>
      </w:r>
    </w:p>
    <w:p w:rsidR="004C50DC" w:rsidRPr="00E8358C" w:rsidRDefault="004C50DC" w:rsidP="004C50DC">
      <w:pPr>
        <w:spacing w:before="120" w:after="120"/>
        <w:jc w:val="both"/>
        <w:rPr>
          <w:bdr w:val="none" w:sz="0" w:space="0" w:color="auto" w:frame="1"/>
        </w:rPr>
      </w:pPr>
      <w:r>
        <w:rPr>
          <w:bdr w:val="none" w:sz="0" w:space="0" w:color="auto" w:frame="1"/>
        </w:rPr>
        <w:t>[436]</w:t>
      </w:r>
    </w:p>
    <w:p w:rsidR="004C50DC" w:rsidRDefault="004C50DC" w:rsidP="004C50DC">
      <w:pPr>
        <w:pStyle w:val="Citation0"/>
        <w:rPr>
          <w:bdr w:val="none" w:sz="0" w:space="0" w:color="auto" w:frame="1"/>
        </w:rPr>
      </w:pPr>
    </w:p>
    <w:p w:rsidR="004C50DC" w:rsidRPr="00E8358C" w:rsidRDefault="004C50DC" w:rsidP="004C50DC">
      <w:pPr>
        <w:pStyle w:val="Citation0"/>
        <w:rPr>
          <w:bdr w:val="none" w:sz="0" w:space="0" w:color="auto" w:frame="1"/>
        </w:rPr>
      </w:pPr>
      <w:r w:rsidRPr="00E8358C">
        <w:rPr>
          <w:bdr w:val="none" w:sz="0" w:space="0" w:color="auto" w:frame="1"/>
        </w:rPr>
        <w:t xml:space="preserve">Le fondateur de l’Indépendance haïtienne Dessalines fait aider l’expédition militaire de Francisco de Miranda, le précurseur de l’indépendance latino-américaine en 1810, expédition qui part de la ville haïtienne de Jacmel au large de laquelle Miranda, à bord de son navire-amiral le </w:t>
      </w:r>
      <w:r w:rsidRPr="00E8358C">
        <w:rPr>
          <w:i/>
          <w:bdr w:val="none" w:sz="0" w:space="0" w:color="auto" w:frame="1"/>
        </w:rPr>
        <w:t>Léandre</w:t>
      </w:r>
      <w:r w:rsidRPr="00E8358C">
        <w:rPr>
          <w:bdr w:val="none" w:sz="0" w:space="0" w:color="auto" w:frame="1"/>
        </w:rPr>
        <w:t xml:space="preserve"> crée le drapeau vénézuélien […]. L’épisode est fameux d’un Dessalines faisant transmettre à Miranda le vibrant et lapidaire mot d’ordre de la guerre à outrance (« Coupez les têtes, incendiez les ma</w:t>
      </w:r>
      <w:r w:rsidRPr="00E8358C">
        <w:rPr>
          <w:bdr w:val="none" w:sz="0" w:space="0" w:color="auto" w:frame="1"/>
        </w:rPr>
        <w:t>i</w:t>
      </w:r>
      <w:r w:rsidRPr="00E8358C">
        <w:rPr>
          <w:bdr w:val="none" w:sz="0" w:space="0" w:color="auto" w:frame="1"/>
        </w:rPr>
        <w:t xml:space="preserve">sons »).  </w:t>
      </w:r>
    </w:p>
    <w:p w:rsidR="004C50DC" w:rsidRDefault="004C50DC" w:rsidP="004C50DC">
      <w:pPr>
        <w:pStyle w:val="Citation0"/>
      </w:pPr>
      <w:r w:rsidRPr="00E8358C">
        <w:t>Les propos de Bolivar Libertador à Pétion témoignent de cette « reconnaissance éternelle ». « Un jour, l’Amérique vous nommera son l</w:t>
      </w:r>
      <w:r w:rsidRPr="00E8358C">
        <w:t>i</w:t>
      </w:r>
      <w:r w:rsidRPr="00E8358C">
        <w:t>bérateur » (29 janvier 1816). « Monsieur le Président, je suis a</w:t>
      </w:r>
      <w:r w:rsidRPr="00E8358C">
        <w:t>c</w:t>
      </w:r>
      <w:r w:rsidRPr="00E8358C">
        <w:t>cablé du poids de vos bienfaits…Je ne sais si je dois vous nommer comme l’auteur de notre liberté » (8 et 26 février 1816), « Haïti ne sera pas isolée au m</w:t>
      </w:r>
      <w:r w:rsidRPr="00E8358C">
        <w:t>i</w:t>
      </w:r>
      <w:r w:rsidRPr="00E8358C">
        <w:t>lieu de ses frères. On retrouvera la libéralité des principes d’Haïti dans tous les pays du Nouveau Monde ». Une dernière citation encore plus i</w:t>
      </w:r>
      <w:r w:rsidRPr="00E8358C">
        <w:t>l</w:t>
      </w:r>
      <w:r w:rsidRPr="00E8358C">
        <w:t>lustrative : « Si les faveurs attachent les hommes, ne doutez pas, général, que mes compatriotes et moi aimerons toujours le peuple haïtien et les d</w:t>
      </w:r>
      <w:r w:rsidRPr="00E8358C">
        <w:t>i</w:t>
      </w:r>
      <w:r w:rsidRPr="00E8358C">
        <w:t>gnes chefs qui le rendent he</w:t>
      </w:r>
      <w:r w:rsidRPr="00E8358C">
        <w:t>u</w:t>
      </w:r>
      <w:r w:rsidRPr="00E8358C">
        <w:t>reux » (le 4 décembre 1816, lettre de Bolivar au général haïtien M</w:t>
      </w:r>
      <w:r w:rsidRPr="00E8358C">
        <w:t>a</w:t>
      </w:r>
      <w:r w:rsidRPr="00E8358C">
        <w:t>rion</w:t>
      </w:r>
      <w:r>
        <w:t> </w:t>
      </w:r>
      <w:r>
        <w:rPr>
          <w:rStyle w:val="Appelnotedebasdep"/>
        </w:rPr>
        <w:footnoteReference w:id="1084"/>
      </w:r>
      <w:r w:rsidRPr="00E8358C">
        <w:t>.</w:t>
      </w:r>
    </w:p>
    <w:p w:rsidR="004C50DC" w:rsidRPr="00E8358C" w:rsidRDefault="004C50DC" w:rsidP="004C50DC">
      <w:pPr>
        <w:pStyle w:val="Citation0"/>
      </w:pPr>
    </w:p>
    <w:p w:rsidR="004C50DC" w:rsidRPr="00E8358C" w:rsidRDefault="004C50DC" w:rsidP="004C50DC">
      <w:pPr>
        <w:spacing w:before="120" w:after="120"/>
        <w:jc w:val="both"/>
        <w:rPr>
          <w:bdr w:val="none" w:sz="0" w:space="0" w:color="auto" w:frame="1"/>
        </w:rPr>
      </w:pPr>
      <w:r w:rsidRPr="00E8358C">
        <w:rPr>
          <w:bdr w:val="none" w:sz="0" w:space="0" w:color="auto" w:frame="1"/>
        </w:rPr>
        <w:t>Les écrits des historiens et des écrivains haïtiens traitent de la po</w:t>
      </w:r>
      <w:r w:rsidRPr="00E8358C">
        <w:rPr>
          <w:bdr w:val="none" w:sz="0" w:space="0" w:color="auto" w:frame="1"/>
        </w:rPr>
        <w:t>r</w:t>
      </w:r>
      <w:r w:rsidRPr="00E8358C">
        <w:rPr>
          <w:bdr w:val="none" w:sz="0" w:space="0" w:color="auto" w:frame="1"/>
        </w:rPr>
        <w:t>tée universelle de la Révolution haïtienne. Ils la décrivent comme une volonté des héros de l’Indépendance d’étendre cette liberté à toutes les colonies des Amériques. La Révolution haïtienne n’était pas bien vue par les puissances colonisatrices, car elle risquait de renverser tout un système esclavagiste bien huilé qui garantissait le maintien des explo</w:t>
      </w:r>
      <w:r w:rsidRPr="00E8358C">
        <w:rPr>
          <w:bdr w:val="none" w:sz="0" w:space="0" w:color="auto" w:frame="1"/>
        </w:rPr>
        <w:t>i</w:t>
      </w:r>
      <w:r w:rsidRPr="00E8358C">
        <w:rPr>
          <w:bdr w:val="none" w:sz="0" w:space="0" w:color="auto" w:frame="1"/>
        </w:rPr>
        <w:t>tations et l’accumulation des richesses au détriment des esclaves. Dans cette perspective, Michel Hector se pose une question fond</w:t>
      </w:r>
      <w:r w:rsidRPr="00E8358C">
        <w:rPr>
          <w:bdr w:val="none" w:sz="0" w:space="0" w:color="auto" w:frame="1"/>
        </w:rPr>
        <w:t>a</w:t>
      </w:r>
      <w:r w:rsidRPr="00E8358C">
        <w:rPr>
          <w:bdr w:val="none" w:sz="0" w:space="0" w:color="auto" w:frame="1"/>
        </w:rPr>
        <w:t>mentale qui ouvre la voie à des réflexions sur la portée universelle du mouvement révolutionnaire haïtien.</w:t>
      </w:r>
    </w:p>
    <w:p w:rsidR="004C50DC" w:rsidRDefault="004C50DC" w:rsidP="004C50DC">
      <w:pPr>
        <w:pStyle w:val="Citation0"/>
        <w:rPr>
          <w:bdr w:val="none" w:sz="0" w:space="0" w:color="auto" w:frame="1"/>
        </w:rPr>
      </w:pPr>
    </w:p>
    <w:p w:rsidR="004C50DC" w:rsidRDefault="004C50DC" w:rsidP="004C50DC">
      <w:pPr>
        <w:pStyle w:val="Citation0"/>
        <w:rPr>
          <w:bdr w:val="none" w:sz="0" w:space="0" w:color="auto" w:frame="1"/>
        </w:rPr>
      </w:pPr>
      <w:r w:rsidRPr="00E8358C">
        <w:rPr>
          <w:bdr w:val="none" w:sz="0" w:space="0" w:color="auto" w:frame="1"/>
        </w:rPr>
        <w:t>Quelle est la portée de ce mouvement révolutionnaire si radical ? La Rév</w:t>
      </w:r>
      <w:r w:rsidRPr="00E8358C">
        <w:rPr>
          <w:bdr w:val="none" w:sz="0" w:space="0" w:color="auto" w:frame="1"/>
        </w:rPr>
        <w:t>o</w:t>
      </w:r>
      <w:r w:rsidRPr="00E8358C">
        <w:rPr>
          <w:bdr w:val="none" w:sz="0" w:space="0" w:color="auto" w:frame="1"/>
        </w:rPr>
        <w:t>lution haïtienne va déclencher des manifestations de symp</w:t>
      </w:r>
      <w:r w:rsidRPr="00E8358C">
        <w:rPr>
          <w:bdr w:val="none" w:sz="0" w:space="0" w:color="auto" w:frame="1"/>
        </w:rPr>
        <w:t>a</w:t>
      </w:r>
      <w:r w:rsidRPr="00E8358C">
        <w:rPr>
          <w:bdr w:val="none" w:sz="0" w:space="0" w:color="auto" w:frame="1"/>
        </w:rPr>
        <w:t>thie, d’appui et de rejet. Elle représente en même temps une source inspiratrice de rébe</w:t>
      </w:r>
      <w:r w:rsidRPr="00E8358C">
        <w:rPr>
          <w:bdr w:val="none" w:sz="0" w:space="0" w:color="auto" w:frame="1"/>
        </w:rPr>
        <w:t>l</w:t>
      </w:r>
      <w:r w:rsidRPr="00E8358C">
        <w:rPr>
          <w:bdr w:val="none" w:sz="0" w:space="0" w:color="auto" w:frame="1"/>
        </w:rPr>
        <w:t>lion pour les opprimés et de peur chronique pour les propriétaires d’esclaves. L’histoire de son rayonnement doit être vue en trois moments : sa résonance à l’époque révolutionnaire entre 1791 et 1806 ; la solidarité active déployée par le nouvel État après 1804 ; la persistance de la prése</w:t>
      </w:r>
      <w:r w:rsidRPr="00E8358C">
        <w:rPr>
          <w:bdr w:val="none" w:sz="0" w:space="0" w:color="auto" w:frame="1"/>
        </w:rPr>
        <w:t>n</w:t>
      </w:r>
      <w:r w:rsidRPr="00E8358C">
        <w:rPr>
          <w:bdr w:val="none" w:sz="0" w:space="0" w:color="auto" w:frame="1"/>
        </w:rPr>
        <w:t>ce de la Révolution haïtienne au XX</w:t>
      </w:r>
      <w:r w:rsidRPr="00E8358C">
        <w:rPr>
          <w:bdr w:val="none" w:sz="0" w:space="0" w:color="auto" w:frame="1"/>
          <w:vertAlign w:val="superscript"/>
        </w:rPr>
        <w:t>e</w:t>
      </w:r>
      <w:r w:rsidRPr="00E8358C">
        <w:rPr>
          <w:bdr w:val="none" w:sz="0" w:space="0" w:color="auto" w:frame="1"/>
        </w:rPr>
        <w:t xml:space="preserve"> siècle, comme référence privilégiée pour tous ceux qui luttent contre le colonialisme et contre le racisme</w:t>
      </w:r>
      <w:r>
        <w:rPr>
          <w:bdr w:val="none" w:sz="0" w:space="0" w:color="auto" w:frame="1"/>
        </w:rPr>
        <w:t> </w:t>
      </w:r>
      <w:r>
        <w:rPr>
          <w:rStyle w:val="Appelnotedebasdep"/>
          <w:bdr w:val="none" w:sz="0" w:space="0" w:color="auto" w:frame="1"/>
        </w:rPr>
        <w:footnoteReference w:id="1085"/>
      </w:r>
      <w:r w:rsidRPr="00E8358C">
        <w:rPr>
          <w:bdr w:val="none" w:sz="0" w:space="0" w:color="auto" w:frame="1"/>
        </w:rPr>
        <w:t>.</w:t>
      </w:r>
    </w:p>
    <w:p w:rsidR="004C50DC" w:rsidRPr="00E8358C" w:rsidRDefault="004C50DC" w:rsidP="004C50DC">
      <w:pPr>
        <w:pStyle w:val="Citation0"/>
        <w:rPr>
          <w:bdr w:val="none" w:sz="0" w:space="0" w:color="auto" w:frame="1"/>
        </w:rPr>
      </w:pPr>
    </w:p>
    <w:p w:rsidR="004C50DC" w:rsidRPr="00E8358C" w:rsidRDefault="004C50DC" w:rsidP="004C50DC">
      <w:pPr>
        <w:spacing w:before="120" w:after="120"/>
        <w:jc w:val="both"/>
      </w:pPr>
      <w:r w:rsidRPr="00E8358C">
        <w:t>En 2006, à l’occasion du deux centième anniversaire de la création à Jacmel du drapeau de la Grande Colombie (12 mars 1806-12 mars 2006), la commission présidentielle a</w:t>
      </w:r>
      <w:r>
        <w:t xml:space="preserve"> [437]</w:t>
      </w:r>
      <w:r w:rsidRPr="00E8358C">
        <w:t xml:space="preserve"> commémoré la date a</w:t>
      </w:r>
      <w:r w:rsidRPr="00E8358C">
        <w:t>u</w:t>
      </w:r>
      <w:r w:rsidRPr="00E8358C">
        <w:t>tour de deux termes, « liberté » et « solidarité ». Dans son discours de circonstance, Michel Hector a attiré une fois de plus l’attention des participants sur le sens universel du combat mené par Haïti. L’historien a insisté sur l’image qu’a renvoyée Haïti à l’humanité en abolissant l’esclavage et en bouleversant le système colonial trans</w:t>
      </w:r>
      <w:r w:rsidRPr="00E8358C">
        <w:t>a</w:t>
      </w:r>
      <w:r w:rsidRPr="00E8358C">
        <w:t>tlantique.  En clair, les pères fondateurs de la nation haïtienne ne se contentaient pas de profiter de cette liberté acquise ; ils étaient égal</w:t>
      </w:r>
      <w:r w:rsidRPr="00E8358C">
        <w:t>e</w:t>
      </w:r>
      <w:r w:rsidRPr="00E8358C">
        <w:t>ment déterminés à mettre leur expérience de la lutte au bénéfice de tout peuple qui se sentait prisonnier du colonialisme. Ce geste de sol</w:t>
      </w:r>
      <w:r w:rsidRPr="00E8358C">
        <w:t>i</w:t>
      </w:r>
      <w:r w:rsidRPr="00E8358C">
        <w:t>darité peut être vu comme une volonté des généraux haïtiens de réh</w:t>
      </w:r>
      <w:r w:rsidRPr="00E8358C">
        <w:t>a</w:t>
      </w:r>
      <w:r w:rsidRPr="00E8358C">
        <w:t xml:space="preserve">biliter tous les esclaves à travers la liberté.    </w:t>
      </w:r>
    </w:p>
    <w:p w:rsidR="004C50DC" w:rsidRDefault="004C50DC" w:rsidP="004C50DC">
      <w:pPr>
        <w:pStyle w:val="Citation0"/>
      </w:pPr>
    </w:p>
    <w:p w:rsidR="004C50DC" w:rsidRDefault="004C50DC" w:rsidP="004C50DC">
      <w:pPr>
        <w:pStyle w:val="Citation0"/>
      </w:pPr>
      <w:r w:rsidRPr="00E8358C">
        <w:t>En ces temps-là, ces deux notions de liberté et de solidarité n’avaient nat</w:t>
      </w:r>
      <w:r w:rsidRPr="00E8358C">
        <w:t>u</w:t>
      </w:r>
      <w:r w:rsidRPr="00E8358C">
        <w:t>rellement pas la même signification qu’elles charrient aujourd’hui. Avant tout, il s’agissait lors d’une aide multiforme, act</w:t>
      </w:r>
      <w:r w:rsidRPr="00E8358C">
        <w:t>i</w:t>
      </w:r>
      <w:r w:rsidRPr="00E8358C">
        <w:t>ve, généreuse, sans aucun esprit de lucre, à l’organisation et au déro</w:t>
      </w:r>
      <w:r w:rsidRPr="00E8358C">
        <w:t>u</w:t>
      </w:r>
      <w:r w:rsidRPr="00E8358C">
        <w:t>lement de la lutte armée pour la double abolition de l’esclavage et la domination coloniale. Cet élan de s</w:t>
      </w:r>
      <w:r w:rsidRPr="00E8358C">
        <w:t>o</w:t>
      </w:r>
      <w:r w:rsidRPr="00E8358C">
        <w:t>lidarité, impulsé dès la fondation de l’État nation d’Haïti et en ce sens po</w:t>
      </w:r>
      <w:r w:rsidRPr="00E8358C">
        <w:t>r</w:t>
      </w:r>
      <w:r w:rsidRPr="00E8358C">
        <w:t>té très tôt en avant par Dess</w:t>
      </w:r>
      <w:r w:rsidRPr="00E8358C">
        <w:t>a</w:t>
      </w:r>
      <w:r w:rsidRPr="00E8358C">
        <w:t>lines lui-même, connaîtra, dans la République dirigée par Alexandre Pétion, ses moments les plus intenses au cours de la décennie 1806-1816 marquée par le développement des deux premières phases du mouvement émancipateur de l’Amérique du Sud</w:t>
      </w:r>
      <w:r>
        <w:t> </w:t>
      </w:r>
      <w:r>
        <w:rPr>
          <w:rStyle w:val="Appelnotedebasdep"/>
        </w:rPr>
        <w:footnoteReference w:id="1086"/>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Sur cette propension mémorielle, Michel Hector a fait ressortir la « conviction anticoloniale et antiesclavagiste » qui a guidé les actions de solidarité des Haïtiens avec des peuples d’Amérique latine pour recouvrer leur indépendance durant les dix premières années qui ont suivi la fondation de la première République noire. Ils ont prodigué non seulement des conseils aux indépendantistes sud-américains et les ont aidé à développer des stratégies de combat, mais ils leur ont aussi fourni des munitions et envoyé des combattants pour mener à bien leurs luttes. Michel Hector a relaté cette page historique.</w:t>
      </w:r>
    </w:p>
    <w:p w:rsidR="004C50DC" w:rsidRDefault="004C50DC" w:rsidP="004C50DC">
      <w:pPr>
        <w:pStyle w:val="Citation0"/>
      </w:pPr>
    </w:p>
    <w:p w:rsidR="004C50DC" w:rsidRDefault="004C50DC" w:rsidP="004C50DC">
      <w:pPr>
        <w:pStyle w:val="Citation0"/>
      </w:pPr>
      <w:r w:rsidRPr="00E8358C">
        <w:t>Tout au long de ces dix ans, la solidarité haïtienne a certes fourni, à ces révolutionnaires d’une autre trempe, des approvisionnements substantiels en armes, munitions, matériel d’impression et en vale</w:t>
      </w:r>
      <w:r w:rsidRPr="00E8358C">
        <w:t>u</w:t>
      </w:r>
      <w:r w:rsidRPr="00E8358C">
        <w:t>reux combattants d’une noble cause. Mais elle leur a également offert une vision stratégique permettant de remporter la victoire par la jon</w:t>
      </w:r>
      <w:r w:rsidRPr="00E8358C">
        <w:t>c</w:t>
      </w:r>
      <w:r w:rsidRPr="00E8358C">
        <w:t>tion des aspects politiques et sociaux qu’elle suggère d’opérer comme seule expression de reconnai</w:t>
      </w:r>
      <w:r w:rsidRPr="00E8358C">
        <w:t>s</w:t>
      </w:r>
      <w:r w:rsidRPr="00E8358C">
        <w:t>sance de son apport</w:t>
      </w:r>
      <w:r>
        <w:t> </w:t>
      </w:r>
      <w:r>
        <w:rPr>
          <w:rStyle w:val="Appelnotedebasdep"/>
        </w:rPr>
        <w:footnoteReference w:id="1087"/>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rPr>
          <w:bdr w:val="none" w:sz="0" w:space="0" w:color="auto" w:frame="1"/>
        </w:rPr>
      </w:pPr>
      <w:r w:rsidRPr="00E8358C">
        <w:rPr>
          <w:bdr w:val="none" w:sz="0" w:space="0" w:color="auto" w:frame="1"/>
        </w:rPr>
        <w:t>La démarche de libération était aussi intercontinentale. Le cas de la Grèce, sur le continent</w:t>
      </w:r>
      <w:r>
        <w:rPr>
          <w:bdr w:val="none" w:sz="0" w:space="0" w:color="auto" w:frame="1"/>
        </w:rPr>
        <w:t xml:space="preserve"> [438]</w:t>
      </w:r>
      <w:r w:rsidRPr="00E8358C">
        <w:rPr>
          <w:bdr w:val="none" w:sz="0" w:space="0" w:color="auto" w:frame="1"/>
        </w:rPr>
        <w:t xml:space="preserve"> européen, est un autre exemple de la m</w:t>
      </w:r>
      <w:r w:rsidRPr="00E8358C">
        <w:rPr>
          <w:bdr w:val="none" w:sz="0" w:space="0" w:color="auto" w:frame="1"/>
        </w:rPr>
        <w:t>a</w:t>
      </w:r>
      <w:r w:rsidRPr="00E8358C">
        <w:rPr>
          <w:bdr w:val="none" w:sz="0" w:space="0" w:color="auto" w:frame="1"/>
        </w:rPr>
        <w:t>nifestation de la passion des Haïtiens pour la liberté. Selon Leslie François Manigat, le soutien à la Grèce respecte deux principes bâti</w:t>
      </w:r>
      <w:r w:rsidRPr="00E8358C">
        <w:rPr>
          <w:bdr w:val="none" w:sz="0" w:space="0" w:color="auto" w:frame="1"/>
        </w:rPr>
        <w:t>s</w:t>
      </w:r>
      <w:r w:rsidRPr="00E8358C">
        <w:rPr>
          <w:bdr w:val="none" w:sz="0" w:space="0" w:color="auto" w:frame="1"/>
        </w:rPr>
        <w:t>seurs d’Haïti : la défense des faibles, celle d’un « petit » face à la m</w:t>
      </w:r>
      <w:r w:rsidRPr="00E8358C">
        <w:rPr>
          <w:bdr w:val="none" w:sz="0" w:space="0" w:color="auto" w:frame="1"/>
        </w:rPr>
        <w:t>e</w:t>
      </w:r>
      <w:r w:rsidRPr="00E8358C">
        <w:rPr>
          <w:bdr w:val="none" w:sz="0" w:space="0" w:color="auto" w:frame="1"/>
        </w:rPr>
        <w:t xml:space="preserve">nace d’un « grand », et la reconnaissance de la contribution culturelle de la Grèce dans la formation des élites intellectuelles haïtiennes. </w:t>
      </w:r>
    </w:p>
    <w:p w:rsidR="004C50DC" w:rsidRDefault="004C50DC" w:rsidP="004C50DC">
      <w:pPr>
        <w:pStyle w:val="Citation0"/>
        <w:rPr>
          <w:bdr w:val="none" w:sz="0" w:space="0" w:color="auto" w:frame="1"/>
        </w:rPr>
      </w:pPr>
    </w:p>
    <w:p w:rsidR="004C50DC" w:rsidRDefault="004C50DC" w:rsidP="004C50DC">
      <w:pPr>
        <w:pStyle w:val="Citation0"/>
        <w:rPr>
          <w:lang w:eastAsia="en-CA"/>
        </w:rPr>
      </w:pPr>
      <w:r w:rsidRPr="00E8358C">
        <w:rPr>
          <w:bdr w:val="none" w:sz="0" w:space="0" w:color="auto" w:frame="1"/>
        </w:rPr>
        <w:t>… la solidarité concrètement active d’Haïti et des Haïtiens avec la Grèce (années 1820) à libérer du joug ottoman suivant le principe « un petit » en difficulté à défendre…</w:t>
      </w:r>
      <w:r w:rsidRPr="00E8358C">
        <w:t xml:space="preserve"> Mais aussi une affaire de cœur : les élites instruites haïtiennes estimaient avoir une dette culturelle vis-à-vis de la Grèce ant</w:t>
      </w:r>
      <w:r w:rsidRPr="00E8358C">
        <w:t>i</w:t>
      </w:r>
      <w:r w:rsidRPr="00E8358C">
        <w:t>que, « leur Kulturkampf » en quelque sorte, à la source de leur culture gr</w:t>
      </w:r>
      <w:r w:rsidRPr="00E8358C">
        <w:t>é</w:t>
      </w:r>
      <w:r w:rsidRPr="00E8358C">
        <w:t>co-latine tant vantée comme précieux privilège qui les rendait plus h</w:t>
      </w:r>
      <w:r w:rsidRPr="00E8358C">
        <w:t>u</w:t>
      </w:r>
      <w:r w:rsidRPr="00E8358C">
        <w:t>mains (</w:t>
      </w:r>
      <w:r w:rsidRPr="00E8358C">
        <w:rPr>
          <w:i/>
        </w:rPr>
        <w:t>litteræ humaniores</w:t>
      </w:r>
      <w:r w:rsidRPr="00E8358C">
        <w:t xml:space="preserve">). </w:t>
      </w:r>
      <w:r w:rsidRPr="00E8358C">
        <w:rPr>
          <w:lang w:eastAsia="en-CA"/>
        </w:rPr>
        <w:t>Les Haïtiens avaient un « </w:t>
      </w:r>
      <w:r w:rsidRPr="00E8358C">
        <w:rPr>
          <w:bCs/>
          <w:i/>
          <w:iCs/>
          <w:lang w:eastAsia="en-CA"/>
        </w:rPr>
        <w:t>mentor</w:t>
      </w:r>
      <w:r w:rsidRPr="00E8358C">
        <w:rPr>
          <w:b/>
          <w:bCs/>
          <w:i/>
          <w:iCs/>
          <w:lang w:eastAsia="en-CA"/>
        </w:rPr>
        <w:t> </w:t>
      </w:r>
      <w:r w:rsidRPr="00E8358C">
        <w:rPr>
          <w:lang w:eastAsia="en-CA"/>
        </w:rPr>
        <w:t>» idéolog</w:t>
      </w:r>
      <w:r w:rsidRPr="00E8358C">
        <w:rPr>
          <w:lang w:eastAsia="en-CA"/>
        </w:rPr>
        <w:t>i</w:t>
      </w:r>
      <w:r w:rsidRPr="00E8358C">
        <w:rPr>
          <w:lang w:eastAsia="en-CA"/>
        </w:rPr>
        <w:t>que individuel en la personne de l’abbé Grégoire, l’évêque constitutionnel en rupture avec Rome et adepte des idées de gauche de la Révolution fra</w:t>
      </w:r>
      <w:r w:rsidRPr="00E8358C">
        <w:rPr>
          <w:lang w:eastAsia="en-CA"/>
        </w:rPr>
        <w:t>n</w:t>
      </w:r>
      <w:r w:rsidRPr="00E8358C">
        <w:rPr>
          <w:lang w:eastAsia="en-CA"/>
        </w:rPr>
        <w:t>çaise. C’est Grégoire qui s’occupera de canaliser l’aide financière haïtie</w:t>
      </w:r>
      <w:r w:rsidRPr="00E8358C">
        <w:rPr>
          <w:lang w:eastAsia="en-CA"/>
        </w:rPr>
        <w:t>n</w:t>
      </w:r>
      <w:r w:rsidRPr="00E8358C">
        <w:rPr>
          <w:lang w:eastAsia="en-CA"/>
        </w:rPr>
        <w:t>ne envoyée sous forme de cargaison de café aux Grecs insurgés</w:t>
      </w:r>
      <w:r>
        <w:rPr>
          <w:lang w:eastAsia="en-CA"/>
        </w:rPr>
        <w:t> </w:t>
      </w:r>
      <w:r>
        <w:rPr>
          <w:rStyle w:val="Appelnotedebasdep"/>
          <w:lang w:eastAsia="en-CA"/>
        </w:rPr>
        <w:footnoteReference w:id="1088"/>
      </w:r>
      <w:r w:rsidRPr="00E8358C">
        <w:rPr>
          <w:lang w:eastAsia="en-CA"/>
        </w:rPr>
        <w:t>.</w:t>
      </w:r>
    </w:p>
    <w:p w:rsidR="004C50DC" w:rsidRPr="00E8358C" w:rsidRDefault="004C50DC" w:rsidP="004C50DC">
      <w:pPr>
        <w:pStyle w:val="Citation0"/>
        <w:rPr>
          <w:lang w:eastAsia="en-CA"/>
        </w:rPr>
      </w:pPr>
    </w:p>
    <w:p w:rsidR="004C50DC" w:rsidRPr="00E8358C" w:rsidRDefault="004C50DC" w:rsidP="004C50DC">
      <w:pPr>
        <w:spacing w:before="120" w:after="120"/>
        <w:jc w:val="both"/>
        <w:rPr>
          <w:bdr w:val="none" w:sz="0" w:space="0" w:color="auto" w:frame="1"/>
        </w:rPr>
      </w:pPr>
      <w:r w:rsidRPr="00E8358C">
        <w:rPr>
          <w:bdr w:val="none" w:sz="0" w:space="0" w:color="auto" w:frame="1"/>
        </w:rPr>
        <w:t>L’appui d’Haïti à l’Éthiopie s’inscrit dans cette même course au secours des pays humiliés ou menacés par des puissances coloniales. Haïti s’est imposée durant toute la première moitié du XX</w:t>
      </w:r>
      <w:r w:rsidRPr="00E8358C">
        <w:rPr>
          <w:bdr w:val="none" w:sz="0" w:space="0" w:color="auto" w:frame="1"/>
          <w:vertAlign w:val="superscript"/>
        </w:rPr>
        <w:t>e</w:t>
      </w:r>
      <w:r w:rsidRPr="00E8358C">
        <w:rPr>
          <w:bdr w:val="none" w:sz="0" w:space="0" w:color="auto" w:frame="1"/>
        </w:rPr>
        <w:t xml:space="preserve"> siècle comme le défenseur des peuples colonisés. À travers l’élan de solid</w:t>
      </w:r>
      <w:r w:rsidRPr="00E8358C">
        <w:rPr>
          <w:bdr w:val="none" w:sz="0" w:space="0" w:color="auto" w:frame="1"/>
        </w:rPr>
        <w:t>a</w:t>
      </w:r>
      <w:r w:rsidRPr="00E8358C">
        <w:rPr>
          <w:bdr w:val="none" w:sz="0" w:space="0" w:color="auto" w:frame="1"/>
        </w:rPr>
        <w:t>rité, Haïti avisait les peuples des pays en voie de développement de rester vigilants et de faire converger leurs efforts contre la menace de se voir un jour sous l’emprise dominatrice d’un autre État. Il faut so</w:t>
      </w:r>
      <w:r w:rsidRPr="00E8358C">
        <w:rPr>
          <w:bdr w:val="none" w:sz="0" w:space="0" w:color="auto" w:frame="1"/>
        </w:rPr>
        <w:t>u</w:t>
      </w:r>
      <w:r w:rsidRPr="00E8358C">
        <w:rPr>
          <w:bdr w:val="none" w:sz="0" w:space="0" w:color="auto" w:frame="1"/>
        </w:rPr>
        <w:t>ligner qu’Haïti, à cette date de prise de position pour l’Éthiopie, venait de recouvrer sa souveraineté après près de vingt ans d’occupation américaine de son territoire (1915-1934). L’humanité doit retenir longtemps ces pages historiques marquées par Haïti. Leslie François Manigat en témoigne.</w:t>
      </w:r>
    </w:p>
    <w:p w:rsidR="004C50DC" w:rsidRDefault="004C50DC" w:rsidP="004C50DC">
      <w:pPr>
        <w:pStyle w:val="Citation0"/>
        <w:rPr>
          <w:bdr w:val="none" w:sz="0" w:space="0" w:color="auto" w:frame="1"/>
        </w:rPr>
      </w:pPr>
    </w:p>
    <w:p w:rsidR="004C50DC" w:rsidRDefault="004C50DC" w:rsidP="004C50DC">
      <w:pPr>
        <w:pStyle w:val="Citation0"/>
      </w:pPr>
      <w:r w:rsidRPr="00E8358C">
        <w:rPr>
          <w:bdr w:val="none" w:sz="0" w:space="0" w:color="auto" w:frame="1"/>
        </w:rPr>
        <w:t xml:space="preserve">Le cas de l’Éthiopie (Abyssinie) du Négus (années 1934-1935) agressée par l’Italie fasciste justifie la solidarité active haïtienne – y compris l’antiracisme […] La voix d’Haïti en défense de l’Éthiopie s’éleva, forte du droit et de la morale des peuples dits civilisés. </w:t>
      </w:r>
      <w:r w:rsidRPr="00E8358C">
        <w:t>Devant les tergivers</w:t>
      </w:r>
      <w:r w:rsidRPr="00E8358C">
        <w:t>a</w:t>
      </w:r>
      <w:r w:rsidRPr="00E8358C">
        <w:t>tions de « pactisation » avec l’agresseur, le délégué d’Haïti lança aux d</w:t>
      </w:r>
      <w:r w:rsidRPr="00E8358C">
        <w:t>é</w:t>
      </w:r>
      <w:r w:rsidRPr="00E8358C">
        <w:t>mocraties occidentales l’inoubliable avertissement resté prophétique : craignez d’être un jour l’Éthiopie de que</w:t>
      </w:r>
      <w:r w:rsidRPr="00E8358C">
        <w:t>l</w:t>
      </w:r>
      <w:r w:rsidRPr="00E8358C">
        <w:t>qu’un !</w:t>
      </w:r>
      <w:r>
        <w:t> </w:t>
      </w:r>
      <w:r>
        <w:rPr>
          <w:rStyle w:val="Appelnotedebasdep"/>
        </w:rPr>
        <w:footnoteReference w:id="1089"/>
      </w:r>
    </w:p>
    <w:p w:rsidR="004C50DC" w:rsidRPr="00E8358C" w:rsidRDefault="004C50DC" w:rsidP="004C50DC">
      <w:pPr>
        <w:pStyle w:val="Citation0"/>
        <w:rPr>
          <w:bdr w:val="none" w:sz="0" w:space="0" w:color="auto" w:frame="1"/>
        </w:rPr>
      </w:pPr>
    </w:p>
    <w:p w:rsidR="004C50DC" w:rsidRPr="00E8358C" w:rsidRDefault="004C50DC" w:rsidP="004C50DC">
      <w:pPr>
        <w:spacing w:before="120" w:after="120"/>
        <w:jc w:val="both"/>
      </w:pPr>
      <w:r w:rsidRPr="00E8358C">
        <w:t>Le professeur n’a pas oublié de souligner que le rôle d’Haïti est inscrit à l’encre d’or dans la décolonisation des peuples africains et asiatiques. Il a pris du temps pour citer des exemples concrets de cet appui inconditionnel, comme les positions d’Haïti à la tribune des N</w:t>
      </w:r>
      <w:r w:rsidRPr="00E8358C">
        <w:t>a</w:t>
      </w:r>
      <w:r w:rsidRPr="00E8358C">
        <w:t>tions Unies pour réaliser les indépendances de ces pays, la particip</w:t>
      </w:r>
      <w:r w:rsidRPr="00E8358C">
        <w:t>a</w:t>
      </w:r>
      <w:r w:rsidRPr="00E8358C">
        <w:t xml:space="preserve">tion des </w:t>
      </w:r>
      <w:r>
        <w:t xml:space="preserve">[439] </w:t>
      </w:r>
      <w:r w:rsidRPr="00E8358C">
        <w:t>professionnels haïtiens pour doter les nouveaux États de structures administratives, la contribution de professeurs haïtiens pour organiser l’éducation dans ces pays.</w:t>
      </w:r>
    </w:p>
    <w:p w:rsidR="004C50DC" w:rsidRDefault="004C50DC" w:rsidP="004C50DC">
      <w:pPr>
        <w:pStyle w:val="Citation0"/>
      </w:pPr>
    </w:p>
    <w:p w:rsidR="004C50DC" w:rsidRDefault="004C50DC" w:rsidP="004C50DC">
      <w:pPr>
        <w:pStyle w:val="Citation0"/>
      </w:pPr>
      <w:r w:rsidRPr="00E8358C">
        <w:t>Il faut enfin inscrire à l’encre forte, le rôle stellaire d’Haïti dans la décol</w:t>
      </w:r>
      <w:r w:rsidRPr="00E8358C">
        <w:t>o</w:t>
      </w:r>
      <w:r w:rsidRPr="00E8358C">
        <w:t>nisation générale des peuples afro-asiatiques au sortir de la Seconde Gue</w:t>
      </w:r>
      <w:r w:rsidRPr="00E8358C">
        <w:t>r</w:t>
      </w:r>
      <w:r w:rsidRPr="00E8358C">
        <w:t>re mondiale, à la tribune des Nations unies ou dans ses Commissions de travail aussi bien localement, sur le terrain, pour faire admettre les ind</w:t>
      </w:r>
      <w:r w:rsidRPr="00E8358C">
        <w:t>é</w:t>
      </w:r>
      <w:r w:rsidRPr="00E8358C">
        <w:t>pendances et doter les nouveaux États des structures administratives et i</w:t>
      </w:r>
      <w:r w:rsidRPr="00E8358C">
        <w:t>n</w:t>
      </w:r>
      <w:r w:rsidRPr="00E8358C">
        <w:t>tellectuelles dans leurs premiers pas d’États no</w:t>
      </w:r>
      <w:r w:rsidRPr="00E8358C">
        <w:t>u</w:t>
      </w:r>
      <w:r w:rsidRPr="00E8358C">
        <w:t>veaux issus de ce courant déferlant de « la marée montante des peuples de couleurs » (« the rising t</w:t>
      </w:r>
      <w:r w:rsidRPr="00E8358C">
        <w:t>i</w:t>
      </w:r>
      <w:r w:rsidRPr="00E8358C">
        <w:t>de of colours »).Ce fut l’heure ha</w:t>
      </w:r>
      <w:r w:rsidRPr="00E8358C">
        <w:t>ï</w:t>
      </w:r>
      <w:r w:rsidRPr="00E8358C">
        <w:t>tienne à l’horloge des indépendances africaines et asiatiques, les mi</w:t>
      </w:r>
      <w:r w:rsidRPr="00E8358C">
        <w:t>s</w:t>
      </w:r>
      <w:r w:rsidRPr="00E8358C">
        <w:t>sions haïtiennes sur place, les personnalités haïtiennes en relief, les professeurs haïtiens dans les structures scolaires des nouveaux États et le message politico-idéologique haïtien de la dignité nationale à pr</w:t>
      </w:r>
      <w:r w:rsidRPr="00E8358C">
        <w:t>o</w:t>
      </w:r>
      <w:r w:rsidRPr="00E8358C">
        <w:t>mouvoir et de l’égalité des races humaines, cette création continue, à réaliser comme performance dans les agendas</w:t>
      </w:r>
      <w:r>
        <w:t> </w:t>
      </w:r>
      <w:r>
        <w:rPr>
          <w:rStyle w:val="Appelnotedebasdep"/>
        </w:rPr>
        <w:footnoteReference w:id="1090"/>
      </w:r>
      <w:r w:rsidRPr="00E8358C">
        <w:t>.</w:t>
      </w:r>
    </w:p>
    <w:p w:rsidR="004C50DC" w:rsidRPr="00E8358C" w:rsidRDefault="004C50DC" w:rsidP="004C50DC">
      <w:pPr>
        <w:pStyle w:val="Citation0"/>
      </w:pPr>
    </w:p>
    <w:p w:rsidR="004C50DC" w:rsidRDefault="004C50DC" w:rsidP="004C50DC">
      <w:pPr>
        <w:spacing w:before="120" w:after="120"/>
        <w:jc w:val="both"/>
        <w:rPr>
          <w:bCs/>
        </w:rPr>
      </w:pPr>
      <w:r w:rsidRPr="00E8358C">
        <w:t>Jean Fouchard s’est rendu compte que « beaucoup de dossiers lourds et d’informations nouvelles »</w:t>
      </w:r>
      <w:r>
        <w:t> </w:t>
      </w:r>
      <w:r>
        <w:rPr>
          <w:rStyle w:val="Appelnotedebasdep"/>
        </w:rPr>
        <w:footnoteReference w:id="1091"/>
      </w:r>
      <w:r w:rsidRPr="00E8358C">
        <w:t xml:space="preserve"> sont à exploiter pour faire la lumière sur la portée universelle de la résistance de la Révolution ha</w:t>
      </w:r>
      <w:r w:rsidRPr="00E8358C">
        <w:t>ï</w:t>
      </w:r>
      <w:r w:rsidRPr="00E8358C">
        <w:t xml:space="preserve">tienne. </w:t>
      </w:r>
      <w:r w:rsidRPr="00E8358C">
        <w:rPr>
          <w:bCs/>
        </w:rPr>
        <w:t xml:space="preserve">Un travail de fond doit être entrepris sur le plan national pour une transmission </w:t>
      </w:r>
      <w:r w:rsidRPr="00E8358C">
        <w:t>de la valeur universelle de la mémoire de la résista</w:t>
      </w:r>
      <w:r w:rsidRPr="00E8358C">
        <w:t>n</w:t>
      </w:r>
      <w:r w:rsidRPr="00E8358C">
        <w:t xml:space="preserve">ce à l’esclavage à travers Haïti. </w:t>
      </w:r>
      <w:r w:rsidRPr="00E8358C">
        <w:rPr>
          <w:bCs/>
        </w:rPr>
        <w:t>Par exemple, les documentaires réal</w:t>
      </w:r>
      <w:r w:rsidRPr="00E8358C">
        <w:rPr>
          <w:bCs/>
        </w:rPr>
        <w:t>i</w:t>
      </w:r>
      <w:r w:rsidRPr="00E8358C">
        <w:rPr>
          <w:bCs/>
        </w:rPr>
        <w:t>sés, les ouvrages publiés, les recherches encouragées et le</w:t>
      </w:r>
      <w:r w:rsidRPr="00E8358C">
        <w:t xml:space="preserve">s </w:t>
      </w:r>
      <w:r w:rsidRPr="00E8358C">
        <w:rPr>
          <w:bCs/>
        </w:rPr>
        <w:t>collections sur l’esclavage qui sont en train d’être constituées peuvent être explo</w:t>
      </w:r>
      <w:r w:rsidRPr="00E8358C">
        <w:rPr>
          <w:bCs/>
        </w:rPr>
        <w:t>i</w:t>
      </w:r>
      <w:r w:rsidRPr="00E8358C">
        <w:rPr>
          <w:bCs/>
        </w:rPr>
        <w:t>tés comme des modèles de transmission. Ils peuvent également servir à placer sous les projecteurs des mémoires historiques trop longtemps réduites au silence.</w:t>
      </w:r>
    </w:p>
    <w:p w:rsidR="004C50DC" w:rsidRPr="00E8358C" w:rsidRDefault="004C50DC" w:rsidP="004C50DC">
      <w:pPr>
        <w:spacing w:before="120" w:after="120"/>
        <w:jc w:val="both"/>
        <w:rPr>
          <w:bCs/>
        </w:rPr>
      </w:pPr>
    </w:p>
    <w:p w:rsidR="004C50DC" w:rsidRPr="00DD32F1" w:rsidRDefault="004C50DC" w:rsidP="004C50DC">
      <w:pPr>
        <w:pStyle w:val="b"/>
      </w:pPr>
      <w:bookmarkStart w:id="561" w:name="_Toc442280594"/>
      <w:r w:rsidRPr="00DD32F1">
        <w:t>Démarches et raisons d’une valorisation</w:t>
      </w:r>
      <w:r>
        <w:br/>
      </w:r>
      <w:r w:rsidRPr="00DD32F1">
        <w:t>des patrimoines m</w:t>
      </w:r>
      <w:r w:rsidRPr="00DD32F1">
        <w:t>é</w:t>
      </w:r>
      <w:r w:rsidRPr="00DD32F1">
        <w:t>moriels de l’esclavage</w:t>
      </w:r>
      <w:bookmarkEnd w:id="561"/>
    </w:p>
    <w:p w:rsidR="004C50DC" w:rsidRDefault="004C50DC" w:rsidP="004C50DC">
      <w:pPr>
        <w:spacing w:before="120" w:after="120"/>
        <w:jc w:val="both"/>
      </w:pPr>
    </w:p>
    <w:p w:rsidR="004C50DC" w:rsidRDefault="004C50DC" w:rsidP="004C50DC">
      <w:pPr>
        <w:spacing w:before="120" w:after="120"/>
        <w:jc w:val="both"/>
        <w:rPr>
          <w:bCs/>
        </w:rPr>
      </w:pPr>
      <w:r w:rsidRPr="00E8358C">
        <w:t>La Révolution haïtienne est très peu étudiée dans les écoles à tr</w:t>
      </w:r>
      <w:r w:rsidRPr="00E8358C">
        <w:t>a</w:t>
      </w:r>
      <w:r w:rsidRPr="00E8358C">
        <w:t>vers le monde bien qu’elle ait redéfini le mot liberté et ouvert la voie à l’abolition de l’esclavage. Mais il serait possible de dégager l</w:t>
      </w:r>
      <w:r w:rsidRPr="00E8358C">
        <w:rPr>
          <w:bCs/>
        </w:rPr>
        <w:t>e choc émotionnel et le sentiment du devoir de mémoire accompli dans une valorisation des mémoires de l’esclavage en Haïti. Celle-ci pourrait inviter les autres peuples à réfléchir à l’esclavage en tant que tragédie humaine et à montrer qu’Haïti prend la direction d’un grand  projet de construction, celui d’un « circuit mondial de résistances et de libe</w:t>
      </w:r>
      <w:r w:rsidRPr="00E8358C">
        <w:rPr>
          <w:bCs/>
        </w:rPr>
        <w:t>r</w:t>
      </w:r>
      <w:r w:rsidRPr="00E8358C">
        <w:rPr>
          <w:bCs/>
        </w:rPr>
        <w:t>tés » qui prend en compte les Caraïbes, les Am</w:t>
      </w:r>
      <w:r>
        <w:rPr>
          <w:bCs/>
        </w:rPr>
        <w:t>ériques, l’Europe et l’Afrique.</w:t>
      </w:r>
    </w:p>
    <w:p w:rsidR="004C50DC" w:rsidRPr="00E8358C" w:rsidRDefault="004C50DC" w:rsidP="004C50DC">
      <w:pPr>
        <w:spacing w:before="120" w:after="120"/>
        <w:jc w:val="both"/>
        <w:rPr>
          <w:bCs/>
        </w:rPr>
      </w:pPr>
      <w:r>
        <w:rPr>
          <w:bCs/>
        </w:rPr>
        <w:t>[440]</w:t>
      </w:r>
    </w:p>
    <w:p w:rsidR="004C50DC" w:rsidRPr="00E8358C" w:rsidRDefault="004C50DC" w:rsidP="004C50DC">
      <w:pPr>
        <w:spacing w:before="120" w:after="120"/>
        <w:jc w:val="both"/>
        <w:rPr>
          <w:bCs/>
        </w:rPr>
      </w:pPr>
      <w:r w:rsidRPr="00E8358C">
        <w:rPr>
          <w:bCs/>
        </w:rPr>
        <w:t>Les Haïtiens pourraient entamer ces démarches pour plusieurs ra</w:t>
      </w:r>
      <w:r w:rsidRPr="00E8358C">
        <w:rPr>
          <w:bCs/>
        </w:rPr>
        <w:t>i</w:t>
      </w:r>
      <w:r w:rsidRPr="00E8358C">
        <w:rPr>
          <w:bCs/>
        </w:rPr>
        <w:t>sons, entre autres pour briser les barrières de l’oubli et écrire de no</w:t>
      </w:r>
      <w:r w:rsidRPr="00E8358C">
        <w:rPr>
          <w:bCs/>
        </w:rPr>
        <w:t>u</w:t>
      </w:r>
      <w:r w:rsidRPr="00E8358C">
        <w:rPr>
          <w:bCs/>
        </w:rPr>
        <w:t>velles pages de l’histoire de leur pays. En enseignant les silences sur les mémoires historiques de l’esclavage, la lumière sera projetée sur l’invisibilité de leurs conditions de vie. Bref, ils réitéreront leur d</w:t>
      </w:r>
      <w:r w:rsidRPr="00E8358C">
        <w:rPr>
          <w:bCs/>
        </w:rPr>
        <w:t>é</w:t>
      </w:r>
      <w:r w:rsidRPr="00E8358C">
        <w:rPr>
          <w:bCs/>
        </w:rPr>
        <w:t xml:space="preserve">termination de s’affranchir de leur état de pauvreté et géreront mieux la gloire construite autour de leur Révolution d’Indépendance. Pour ce faire, il faut à la base s’investir dans un travail de mémoire. </w:t>
      </w:r>
    </w:p>
    <w:p w:rsidR="004C50DC" w:rsidRPr="00E8358C" w:rsidRDefault="004C50DC" w:rsidP="004C50DC">
      <w:pPr>
        <w:spacing w:before="120" w:after="120"/>
        <w:jc w:val="both"/>
        <w:rPr>
          <w:bCs/>
        </w:rPr>
      </w:pPr>
      <w:r w:rsidRPr="00E8358C">
        <w:rPr>
          <w:bCs/>
        </w:rPr>
        <w:t>Il faut aussi démontrer aux « descendants d’esclaves » ou « descendants d’hommes libres », deux appellations historiquement acceptables en Haïti, qu’ils sont les descendants de femmes et d’hommes qui, tous les jours, avaient réellement utilisé leurs muscles pour résister et travailler. Il faut leur rappeler qu’ils avaient surtout utilisé leur intelligence et leur cœur pour défendre et montrer leur h</w:t>
      </w:r>
      <w:r w:rsidRPr="00E8358C">
        <w:rPr>
          <w:bCs/>
        </w:rPr>
        <w:t>u</w:t>
      </w:r>
      <w:r w:rsidRPr="00E8358C">
        <w:rPr>
          <w:bCs/>
        </w:rPr>
        <w:t>manité, et construire une culture propre au peuple haïtien. Les e</w:t>
      </w:r>
      <w:r w:rsidRPr="00E8358C">
        <w:rPr>
          <w:bCs/>
        </w:rPr>
        <w:t>m</w:t>
      </w:r>
      <w:r w:rsidRPr="00E8358C">
        <w:rPr>
          <w:bCs/>
        </w:rPr>
        <w:t>preintes de cette humanité et de cette culture sont encore perceptibles dans toutes les expressions culturelles (religieuses, artistiques, culina</w:t>
      </w:r>
      <w:r w:rsidRPr="00E8358C">
        <w:rPr>
          <w:bCs/>
        </w:rPr>
        <w:t>i</w:t>
      </w:r>
      <w:r w:rsidRPr="00E8358C">
        <w:rPr>
          <w:bCs/>
        </w:rPr>
        <w:t>res) de la vie haïtienne. La mise en patrimoine des mémoires et des lieux évocateurs de la culture des esclaves, comme les habitations c</w:t>
      </w:r>
      <w:r w:rsidRPr="00E8358C">
        <w:rPr>
          <w:bCs/>
        </w:rPr>
        <w:t>o</w:t>
      </w:r>
      <w:r w:rsidRPr="00E8358C">
        <w:rPr>
          <w:bCs/>
        </w:rPr>
        <w:t xml:space="preserve">loniales et les fortifications, représente l’occasion de montrer que sans cette résistance durant des siècles, sans cette guerre de l’Indépendance, les esclaves auraient été décimés. </w:t>
      </w:r>
    </w:p>
    <w:p w:rsidR="004C50DC" w:rsidRPr="00E8358C" w:rsidRDefault="004C50DC" w:rsidP="004C50DC">
      <w:pPr>
        <w:spacing w:before="120" w:after="120"/>
        <w:jc w:val="both"/>
        <w:rPr>
          <w:bCs/>
        </w:rPr>
      </w:pPr>
      <w:r w:rsidRPr="00E8358C">
        <w:rPr>
          <w:bCs/>
        </w:rPr>
        <w:t>Deuxièmement, il faut que les Haïtiens combattent toute idéologie laissant croire que l’appellation « descendants d’esclave » serait syn</w:t>
      </w:r>
      <w:r w:rsidRPr="00E8358C">
        <w:rPr>
          <w:bCs/>
        </w:rPr>
        <w:t>o</w:t>
      </w:r>
      <w:r w:rsidRPr="00E8358C">
        <w:rPr>
          <w:bCs/>
        </w:rPr>
        <w:t>nyme de « victimes ». Les Haïtiens doivent dépasser la notion de vi</w:t>
      </w:r>
      <w:r w:rsidRPr="00E8358C">
        <w:rPr>
          <w:bCs/>
        </w:rPr>
        <w:t>c</w:t>
      </w:r>
      <w:r w:rsidRPr="00E8358C">
        <w:rPr>
          <w:bCs/>
        </w:rPr>
        <w:t>time, qui est passive. Si on met l’accent sur la dimension purement littérale de l’esclavage, on oublie du coup la diversité des formes de résistance des esclaves. Certes, ces derniers étaient dominés et hum</w:t>
      </w:r>
      <w:r w:rsidRPr="00E8358C">
        <w:rPr>
          <w:bCs/>
        </w:rPr>
        <w:t>i</w:t>
      </w:r>
      <w:r w:rsidRPr="00E8358C">
        <w:rPr>
          <w:bCs/>
        </w:rPr>
        <w:t>liés, mais ils avaient pu résister aux coups de fouet avec leur disce</w:t>
      </w:r>
      <w:r w:rsidRPr="00E8358C">
        <w:rPr>
          <w:bCs/>
        </w:rPr>
        <w:t>r</w:t>
      </w:r>
      <w:r w:rsidRPr="00E8358C">
        <w:rPr>
          <w:bCs/>
        </w:rPr>
        <w:t>nement. Mettre en lumière ces faits, c’est valoriser leurs descendants.</w:t>
      </w:r>
    </w:p>
    <w:p w:rsidR="004C50DC" w:rsidRPr="00E8358C" w:rsidRDefault="004C50DC" w:rsidP="004C50DC">
      <w:pPr>
        <w:spacing w:before="120" w:after="120"/>
        <w:jc w:val="both"/>
        <w:rPr>
          <w:bCs/>
        </w:rPr>
      </w:pPr>
      <w:r w:rsidRPr="00E8358C">
        <w:rPr>
          <w:bCs/>
        </w:rPr>
        <w:t>Aujourd’hui, Haïti doit partager la fierté d’avoir triomphé de l’esclavage avec les autres peuples qui ont un lien avec ce passé. La société haïtienne est issue de cette première forme de « globalisation » naissante que représentait l’esclavage transatlantique, qui se</w:t>
      </w:r>
      <w:r>
        <w:rPr>
          <w:bCs/>
        </w:rPr>
        <w:t xml:space="preserve"> [441]</w:t>
      </w:r>
      <w:r w:rsidRPr="00E8358C">
        <w:rPr>
          <w:bCs/>
        </w:rPr>
        <w:t xml:space="preserve"> b</w:t>
      </w:r>
      <w:r w:rsidRPr="00E8358C">
        <w:rPr>
          <w:bCs/>
        </w:rPr>
        <w:t>a</w:t>
      </w:r>
      <w:r w:rsidRPr="00E8358C">
        <w:rPr>
          <w:bCs/>
        </w:rPr>
        <w:t>sait sur des facteurs économiques. Il impliquait plusieurs continents (Europe, Afrique, Amérique) et entraînait le déplacement de popul</w:t>
      </w:r>
      <w:r w:rsidRPr="00E8358C">
        <w:rPr>
          <w:bCs/>
        </w:rPr>
        <w:t>a</w:t>
      </w:r>
      <w:r w:rsidRPr="00E8358C">
        <w:rPr>
          <w:bCs/>
        </w:rPr>
        <w:t>tions, l’immigration massive forcée des Noirs africains et l’immigration économique des Européens en Amérique. L’esclavage transatlantique fut donc une première forme de globalisation, de mo</w:t>
      </w:r>
      <w:r w:rsidRPr="00E8358C">
        <w:rPr>
          <w:bCs/>
        </w:rPr>
        <w:t>n</w:t>
      </w:r>
      <w:r w:rsidRPr="00E8358C">
        <w:rPr>
          <w:bCs/>
        </w:rPr>
        <w:t>dialisation structurée.</w:t>
      </w:r>
    </w:p>
    <w:p w:rsidR="004C50DC" w:rsidRDefault="004C50DC" w:rsidP="004C50DC">
      <w:pPr>
        <w:spacing w:before="120" w:after="120"/>
        <w:jc w:val="both"/>
        <w:rPr>
          <w:bCs/>
        </w:rPr>
      </w:pPr>
      <w:r w:rsidRPr="00E8358C">
        <w:rPr>
          <w:bCs/>
        </w:rPr>
        <w:t>L’une des manières de rendre invisible l’esclavage, c’est de dén</w:t>
      </w:r>
      <w:r w:rsidRPr="00E8358C">
        <w:rPr>
          <w:bCs/>
        </w:rPr>
        <w:t>a</w:t>
      </w:r>
      <w:r w:rsidRPr="00E8358C">
        <w:rPr>
          <w:bCs/>
        </w:rPr>
        <w:t>turer et d’enlever l’identité des lieux de mémoire de l’esclavage au profit de la demande touristique. Le tourisme de masse ne représente qu’une entorse à la patrimonialisation de la mémoire de cette tragédie. Cette patrimonialisation exige un travail intellectuel et citoyen. Le travail de reconstruction mémorielle des lieux et des pratiques est i</w:t>
      </w:r>
      <w:r w:rsidRPr="00E8358C">
        <w:rPr>
          <w:bCs/>
        </w:rPr>
        <w:t>n</w:t>
      </w:r>
      <w:r w:rsidRPr="00E8358C">
        <w:rPr>
          <w:bCs/>
        </w:rPr>
        <w:t>dispensable pour une compréhension de la dynamique historique, géographique et cartographique de l’esclavage (lieu et parcours). Par exemple, les mémoires que supportent les vestiges des habitations c</w:t>
      </w:r>
      <w:r w:rsidRPr="00E8358C">
        <w:rPr>
          <w:bCs/>
        </w:rPr>
        <w:t>o</w:t>
      </w:r>
      <w:r w:rsidRPr="00E8358C">
        <w:rPr>
          <w:bCs/>
        </w:rPr>
        <w:t>loniales et des fortifications n’appartiennent pas seulement à Haïti. Ce sont des mémoires de l’humanité. Le peuple haïtien n’est qu’un ge</w:t>
      </w:r>
      <w:r w:rsidRPr="00E8358C">
        <w:rPr>
          <w:bCs/>
        </w:rPr>
        <w:t>s</w:t>
      </w:r>
      <w:r w:rsidRPr="00E8358C">
        <w:rPr>
          <w:bCs/>
        </w:rPr>
        <w:t xml:space="preserve">tionnaire qui doit les mettre à profit et les rendre accessibles à l’humanité tout entière. </w:t>
      </w:r>
    </w:p>
    <w:p w:rsidR="004C50DC" w:rsidRDefault="004C50DC" w:rsidP="004C50DC">
      <w:pPr>
        <w:spacing w:before="120" w:after="120"/>
        <w:jc w:val="both"/>
        <w:rPr>
          <w:bCs/>
        </w:rPr>
      </w:pPr>
    </w:p>
    <w:p w:rsidR="004C50DC" w:rsidRPr="00E8358C" w:rsidRDefault="004C50DC" w:rsidP="004C50DC">
      <w:pPr>
        <w:spacing w:before="120" w:after="120"/>
        <w:jc w:val="both"/>
        <w:rPr>
          <w:bCs/>
        </w:rPr>
      </w:pPr>
    </w:p>
    <w:p w:rsidR="004C50DC" w:rsidRPr="00DD32F1" w:rsidRDefault="004C50DC" w:rsidP="004C50DC">
      <w:pPr>
        <w:pStyle w:val="b"/>
      </w:pPr>
      <w:bookmarkStart w:id="562" w:name="_Toc442280595"/>
      <w:r w:rsidRPr="00DD32F1">
        <w:t>Place des représentations de l’esclavage</w:t>
      </w:r>
      <w:bookmarkEnd w:id="562"/>
    </w:p>
    <w:p w:rsidR="004C50DC" w:rsidRDefault="004C50DC" w:rsidP="004C50DC">
      <w:pPr>
        <w:spacing w:before="120" w:after="120"/>
        <w:jc w:val="both"/>
      </w:pPr>
    </w:p>
    <w:p w:rsidR="004C50DC" w:rsidRPr="00E8358C" w:rsidRDefault="004C50DC" w:rsidP="004C50DC">
      <w:pPr>
        <w:spacing w:before="120" w:after="120"/>
        <w:jc w:val="both"/>
      </w:pPr>
      <w:r w:rsidRPr="00E8358C">
        <w:t>L’idée de la construction d’un musée de l’esclavage de portée i</w:t>
      </w:r>
      <w:r w:rsidRPr="00E8358C">
        <w:t>n</w:t>
      </w:r>
      <w:r w:rsidRPr="00E8358C">
        <w:t>ternationale serait aussi un moyen de venir en renfort de la patrim</w:t>
      </w:r>
      <w:r w:rsidRPr="00E8358C">
        <w:t>o</w:t>
      </w:r>
      <w:r w:rsidRPr="00E8358C">
        <w:t>nialisation de la mémoire de l’esclavage en Haïti. Une ancienne hab</w:t>
      </w:r>
      <w:r w:rsidRPr="00E8358C">
        <w:t>i</w:t>
      </w:r>
      <w:r w:rsidRPr="00E8358C">
        <w:t>tation coloniale en serait le lieu idéal car ce serait l’endroit le plus en vue pour côtoyer l’histoire et la mémoire de l’esclavage. En fait, une habitation constitue le principal « lieu témoin » des premiers éléments de la culture haïtienne. Le plan doit contenir la plantation, la maison des maîtres, l’emplacement des cases, les jardins et autres bâtiments importants. Par exemple, on pourrait aménager l’habitation Dion, dans la chaîne des Matheux, avec ses cases d’esclaves, pour en faire une reconstitution-type d’habitation coloniale et exposer les réalités de l’esclavage, notamment les conditions dans lesquelles vivaient les e</w:t>
      </w:r>
      <w:r w:rsidRPr="00E8358C">
        <w:t>s</w:t>
      </w:r>
      <w:r w:rsidRPr="00E8358C">
        <w:t xml:space="preserve">claves. </w:t>
      </w:r>
    </w:p>
    <w:p w:rsidR="004C50DC" w:rsidRPr="00E8358C" w:rsidRDefault="004C50DC" w:rsidP="004C50DC">
      <w:pPr>
        <w:spacing w:before="120" w:after="120"/>
        <w:jc w:val="both"/>
      </w:pPr>
      <w:r w:rsidRPr="00E8358C">
        <w:t>Ce modèle de site reconstitué amènera le visiteur à la rencontre de l’histoire et de la mémoire coloniales. L’habitation à Saint-Domingue n’est pas seulement le lieu qui faisait la fortune des colons et celle des commerçants de France, mais c’est aussi l’espace de</w:t>
      </w:r>
      <w:r>
        <w:t xml:space="preserve"> [442]</w:t>
      </w:r>
      <w:r w:rsidRPr="00E8358C">
        <w:t xml:space="preserve"> souffrance et de résistance des esclaves africains. Aujourd’hui, de nombreux pays comme Cuba ou un département français comme la Guadeloupe en ont compris les enjeux en créant des musées de l’esclavage. Les éc</w:t>
      </w:r>
      <w:r w:rsidRPr="00E8358C">
        <w:t>o</w:t>
      </w:r>
      <w:r w:rsidRPr="00E8358C">
        <w:t>les doivent être le lieu de prise de conscience pour la réalisation du musée international de l’esclavage en Haïti, car c’est là que les m</w:t>
      </w:r>
      <w:r w:rsidRPr="00E8358C">
        <w:t>é</w:t>
      </w:r>
      <w:r w:rsidRPr="00E8358C">
        <w:t>moires de l’esclavage ont été le plus gommées. Cette prise de con</w:t>
      </w:r>
      <w:r w:rsidRPr="00E8358C">
        <w:t>s</w:t>
      </w:r>
      <w:r w:rsidRPr="00E8358C">
        <w:t>cience permettrait d’agir en conséquence face à ce que Walter Benj</w:t>
      </w:r>
      <w:r w:rsidRPr="00E8358C">
        <w:t>a</w:t>
      </w:r>
      <w:r w:rsidRPr="00E8358C">
        <w:t>min appelle</w:t>
      </w:r>
    </w:p>
    <w:p w:rsidR="004C50DC" w:rsidRDefault="004C50DC" w:rsidP="004C50DC">
      <w:pPr>
        <w:pStyle w:val="Citation0"/>
      </w:pPr>
      <w:r w:rsidRPr="00E8358C">
        <w:t>l’image vraie du passé qui passe en un éclair. On ne peut retenir le passé que dans une image qui surgit et s’évanouit pour toujours à l’instant même où elle s’offre à la connaissance. [...] C’est une image irrécupérable du passé qui risque de s’évanouir avec chaque présent qui ne s’est pas reco</w:t>
      </w:r>
      <w:r w:rsidRPr="00E8358C">
        <w:t>n</w:t>
      </w:r>
      <w:r w:rsidRPr="00E8358C">
        <w:t>nu et visé par elle</w:t>
      </w:r>
      <w:r>
        <w:t> </w:t>
      </w:r>
      <w:r>
        <w:rPr>
          <w:rStyle w:val="Appelnotedebasdep"/>
        </w:rPr>
        <w:footnoteReference w:id="1092"/>
      </w:r>
      <w:r w:rsidRPr="00E8358C">
        <w:t xml:space="preserve">. </w:t>
      </w:r>
    </w:p>
    <w:p w:rsidR="004C50DC" w:rsidRPr="00E8358C" w:rsidRDefault="004C50DC" w:rsidP="004C50DC">
      <w:pPr>
        <w:pStyle w:val="Citation0"/>
      </w:pPr>
    </w:p>
    <w:p w:rsidR="004C50DC" w:rsidRPr="00E8358C" w:rsidRDefault="004C50DC" w:rsidP="004C50DC">
      <w:pPr>
        <w:spacing w:before="120" w:after="120"/>
        <w:jc w:val="both"/>
      </w:pPr>
      <w:r w:rsidRPr="00E8358C">
        <w:t>La patrimonialisation des représentations de l’esclavage serait un devoir de mémoire, une entente entre la génération actuelle et celle de demain. Dans cette même dynamique, Jean-Didier Urbain a écrit que « la visite des lieux de mémoire participe d’un travail : le travail de mémoire. Ainsi le tourisme de mémoire permet un travail de deuil, pour non seulement se souvenir et connaître, mais aussi accepter ce qui s’est passé »</w:t>
      </w:r>
      <w:r>
        <w:t> </w:t>
      </w:r>
      <w:r>
        <w:rPr>
          <w:rStyle w:val="Appelnotedebasdep"/>
        </w:rPr>
        <w:footnoteReference w:id="1093"/>
      </w:r>
      <w:r w:rsidRPr="00E8358C">
        <w:t xml:space="preserve"> et ouvrir la voie au « vivre ensemble ». </w:t>
      </w:r>
    </w:p>
    <w:p w:rsidR="004C50DC" w:rsidRDefault="004C50DC" w:rsidP="004C50DC">
      <w:pPr>
        <w:spacing w:before="120" w:after="120"/>
        <w:jc w:val="both"/>
      </w:pPr>
      <w:r w:rsidRPr="00E8358C">
        <w:t>Finalement, la voie de la patrimonialisation des mémoires de l’esclavage en Haïti, avec une vision sur les Caraïbes et les Amériques et derrière les langues des colonisateurs (espagnol, français, anglais, portugais), permettra aux descendants d’esclaves de se reconnaître à travers un discours commun : la culture créole. C’est à cette forme de sensibilisation qu’il faut également parvenir tout en restant objectif dans la mise en place des événements et des opérations. Elle pourra contribuer à dépasser l’image que l’on se fait d’Haïti à l’extérieur.</w:t>
      </w:r>
    </w:p>
    <w:p w:rsidR="004C50DC" w:rsidRPr="00E8358C" w:rsidRDefault="004C50DC" w:rsidP="004C50DC">
      <w:pPr>
        <w:spacing w:before="120" w:after="120"/>
        <w:jc w:val="both"/>
      </w:pPr>
    </w:p>
    <w:p w:rsidR="004C50DC" w:rsidRPr="00DD32F1" w:rsidRDefault="004C50DC" w:rsidP="004C50DC">
      <w:pPr>
        <w:pStyle w:val="b"/>
      </w:pPr>
      <w:bookmarkStart w:id="563" w:name="_Toc442280596"/>
      <w:r w:rsidRPr="00DD32F1">
        <w:t>Implications des acteurs :</w:t>
      </w:r>
      <w:r>
        <w:br/>
      </w:r>
      <w:r w:rsidRPr="00DD32F1">
        <w:t>les communautés locales, l’État ha</w:t>
      </w:r>
      <w:r w:rsidRPr="00DD32F1">
        <w:t>ï</w:t>
      </w:r>
      <w:r w:rsidRPr="00DD32F1">
        <w:t>tien et l’UNESCO</w:t>
      </w:r>
      <w:bookmarkEnd w:id="563"/>
    </w:p>
    <w:p w:rsidR="004C50DC" w:rsidRDefault="004C50DC" w:rsidP="004C50DC">
      <w:pPr>
        <w:spacing w:before="120" w:after="120"/>
        <w:jc w:val="both"/>
      </w:pPr>
    </w:p>
    <w:p w:rsidR="004C50DC" w:rsidRPr="00E8358C" w:rsidRDefault="004C50DC" w:rsidP="004C50DC">
      <w:pPr>
        <w:spacing w:before="120" w:after="120"/>
        <w:jc w:val="both"/>
      </w:pPr>
      <w:r w:rsidRPr="00E8358C">
        <w:t>L’initiative du Réseau des écoles haïtiennes associées de l’UNESCO à travers la Commission nationale haïtienne de coopér</w:t>
      </w:r>
      <w:r w:rsidRPr="00E8358C">
        <w:t>a</w:t>
      </w:r>
      <w:r w:rsidRPr="00E8358C">
        <w:t>tion avec l’UNESCO est un exemple louable d’appropriation des m</w:t>
      </w:r>
      <w:r w:rsidRPr="00E8358C">
        <w:t>é</w:t>
      </w:r>
      <w:r w:rsidRPr="00E8358C">
        <w:t>moires de l’esclavage en Haïti. Du 1</w:t>
      </w:r>
      <w:r w:rsidRPr="00E8358C">
        <w:rPr>
          <w:vertAlign w:val="superscript"/>
        </w:rPr>
        <w:t>er</w:t>
      </w:r>
      <w:r w:rsidRPr="00E8358C">
        <w:t xml:space="preserve"> au 5 avril 2007, a été </w:t>
      </w:r>
      <w:r>
        <w:t xml:space="preserve">[443] </w:t>
      </w:r>
      <w:r w:rsidRPr="00E8358C">
        <w:t>o</w:t>
      </w:r>
      <w:r w:rsidRPr="00E8358C">
        <w:t>r</w:t>
      </w:r>
      <w:r w:rsidRPr="00E8358C">
        <w:t>ganisé un Rallye jeunesse sur le thème</w:t>
      </w:r>
      <w:r>
        <w:t xml:space="preserve"> </w:t>
      </w:r>
      <w:r w:rsidRPr="00E8358C">
        <w:t>« De la Route de l’esclave au parcours du Brave », partant de Port-au-Prince pour se terminer dans le nord d’Haïti. Il a réuni près d’une centaine de jeunes écoliers ha</w:t>
      </w:r>
      <w:r w:rsidRPr="00E8358C">
        <w:t>ï</w:t>
      </w:r>
      <w:r w:rsidRPr="00E8358C">
        <w:t>tiens venus des dix départements géographiques. Au cours du circuit défini, plusieurs lieux de mémoire ont été visités (Arcahaie, Ma</w:t>
      </w:r>
      <w:r w:rsidRPr="00E8358C">
        <w:t>r</w:t>
      </w:r>
      <w:r w:rsidRPr="00E8358C">
        <w:t>chand, Gonaïves, Plaine du Nord, Vertières, Fort Picolet, la Place d’Armes du Cap et le Parc national historique). Cette expérience conjointe de l’État haïtien et du secteur privé local est une preuve de coopération pour la sauvegarde et la transmission des mémoires de l’esclavage en Haïti. Sensibilisés par les lieux de mémoire, les jeunes ont rédigé un « Manifeste » pour exprimer leurs impressions. D’une seule voix, ils s’accordent à dire :</w:t>
      </w:r>
    </w:p>
    <w:p w:rsidR="004C50DC" w:rsidRDefault="004C50DC" w:rsidP="004C50DC">
      <w:pPr>
        <w:pStyle w:val="Citation0"/>
      </w:pPr>
    </w:p>
    <w:p w:rsidR="004C50DC" w:rsidRDefault="004C50DC" w:rsidP="004C50DC">
      <w:pPr>
        <w:pStyle w:val="Citation0"/>
      </w:pPr>
      <w:r w:rsidRPr="00E8358C">
        <w:t>La naissance de la nation haïtienne a marqué le monde moderne en pro</w:t>
      </w:r>
      <w:r w:rsidRPr="00E8358C">
        <w:t>u</w:t>
      </w:r>
      <w:r w:rsidRPr="00E8358C">
        <w:t>vant que les hommes et les femmes, même dans une situation d’asservissement, pouvaient faire preuve de fierté, d’honneur, de d</w:t>
      </w:r>
      <w:r w:rsidRPr="00E8358C">
        <w:t>i</w:t>
      </w:r>
      <w:r w:rsidRPr="00E8358C">
        <w:t>gnité et de génie. La Citadelle en est un parfait exemple. Durant cette période, nous avons bâti un extraordinaire Haïti, fier et libre […].Fortifiés par notre passé et maîtres de notre présent, nous d</w:t>
      </w:r>
      <w:r w:rsidRPr="00E8358C">
        <w:t>e</w:t>
      </w:r>
      <w:r w:rsidRPr="00E8358C">
        <w:t>vrions nous poser la question de savoir quel est le type de pays dont nous rêvons</w:t>
      </w:r>
      <w:r>
        <w:t> </w:t>
      </w:r>
      <w:r>
        <w:rPr>
          <w:rStyle w:val="Appelnotedebasdep"/>
        </w:rPr>
        <w:footnoteReference w:id="1094"/>
      </w:r>
      <w:r w:rsidRPr="00E8358C">
        <w:t>.</w:t>
      </w:r>
    </w:p>
    <w:p w:rsidR="004C50DC" w:rsidRPr="00E8358C" w:rsidRDefault="004C50DC" w:rsidP="004C50DC">
      <w:pPr>
        <w:pStyle w:val="Citation0"/>
        <w:rPr>
          <w:rFonts w:cs="Mangal"/>
          <w:szCs w:val="21"/>
        </w:rPr>
      </w:pPr>
    </w:p>
    <w:p w:rsidR="004C50DC" w:rsidRPr="00E8358C" w:rsidRDefault="004C50DC" w:rsidP="004C50DC">
      <w:pPr>
        <w:spacing w:before="120" w:after="120"/>
        <w:jc w:val="both"/>
      </w:pPr>
      <w:r w:rsidRPr="00E8358C">
        <w:t>Cet exemple montre combien le contact avec les sites est important pour réunir des individus dans une action concertée pour la sauvega</w:t>
      </w:r>
      <w:r w:rsidRPr="00E8358C">
        <w:t>r</w:t>
      </w:r>
      <w:r w:rsidRPr="00E8358C">
        <w:t>de et la défense du patrimoine mémoriel. Les vestiges des habitations coloniales et des fortifications sont des témoins occultés qui interr</w:t>
      </w:r>
      <w:r w:rsidRPr="00E8358C">
        <w:t>o</w:t>
      </w:r>
      <w:r w:rsidRPr="00E8358C">
        <w:t>gent quotidiennement le présent. Leur prise en charge peut favoriser un dialogue « interhaïtien » et une construction de la paix durable, dans le sens des objectifs du projet de la « Route de l’Esclave ». Elle peut aussi aider à adopter une politique de patrimonialisation des m</w:t>
      </w:r>
      <w:r w:rsidRPr="00E8358C">
        <w:t>é</w:t>
      </w:r>
      <w:r w:rsidRPr="00E8358C">
        <w:t>moires de l’esclavage en Haïti. Aujourd’hui, les Haïtiens doivent r</w:t>
      </w:r>
      <w:r w:rsidRPr="00E8358C">
        <w:t>é</w:t>
      </w:r>
      <w:r w:rsidRPr="00E8358C">
        <w:t xml:space="preserve">fléchir aux mesures qui aboutiront à une « redéfinition » du citoyen haïtien et à une « intériorisation identitaire » des éléments culturels en lien avec le passé colonial pour raviver le sentiment d’appartenance à une même société ayant une même histoire. </w:t>
      </w:r>
    </w:p>
    <w:p w:rsidR="004C50DC" w:rsidRPr="00E8358C" w:rsidRDefault="004C50DC" w:rsidP="004C50DC">
      <w:pPr>
        <w:spacing w:before="120" w:after="120"/>
        <w:jc w:val="both"/>
      </w:pPr>
      <w:r w:rsidRPr="00E8358C">
        <w:t xml:space="preserve">Parler du patrimoine des mémoires de l’esclavage à travers Haïti permet aussi de nous questionner sur la notion de la réparation et de ses enjeux internationaux. Cette réparation revêt une signification de restitution des archives et des objets de l’époque qui doivent être </w:t>
      </w:r>
      <w:r>
        <w:t xml:space="preserve">[444] </w:t>
      </w:r>
      <w:r w:rsidRPr="00E8358C">
        <w:t>retournés aux musées et aux centres de documentation haïtiens. Ce serait une démarche ambitieuse et louable. L</w:t>
      </w:r>
      <w:r w:rsidRPr="00E8358C">
        <w:rPr>
          <w:bCs/>
          <w:iCs/>
          <w:lang w:eastAsia="en-CA"/>
        </w:rPr>
        <w:t>es vestiges des habit</w:t>
      </w:r>
      <w:r w:rsidRPr="00E8358C">
        <w:rPr>
          <w:bCs/>
          <w:iCs/>
          <w:lang w:eastAsia="en-CA"/>
        </w:rPr>
        <w:t>a</w:t>
      </w:r>
      <w:r w:rsidRPr="00E8358C">
        <w:rPr>
          <w:bCs/>
          <w:iCs/>
          <w:lang w:eastAsia="en-CA"/>
        </w:rPr>
        <w:t>tions coloniales et des fortifications, les sites historiques et les mon</w:t>
      </w:r>
      <w:r w:rsidRPr="00E8358C">
        <w:rPr>
          <w:bCs/>
          <w:iCs/>
          <w:lang w:eastAsia="en-CA"/>
        </w:rPr>
        <w:t>u</w:t>
      </w:r>
      <w:r w:rsidRPr="00E8358C">
        <w:rPr>
          <w:bCs/>
          <w:iCs/>
          <w:lang w:eastAsia="en-CA"/>
        </w:rPr>
        <w:t xml:space="preserve">ments ne sont pas des témoins muets, ils communiquent régulièrement avec l’espace environnemental et les communautés qui les côtoient. </w:t>
      </w:r>
      <w:r w:rsidRPr="00E8358C">
        <w:rPr>
          <w:lang w:eastAsia="en-CA"/>
        </w:rPr>
        <w:t>Leur message est tellement fort qu’il marque encore « l’</w:t>
      </w:r>
      <w:r w:rsidRPr="00E8358C">
        <w:t xml:space="preserve">imaginaire collectif haïtien » </w:t>
      </w:r>
      <w:r w:rsidRPr="00E8358C">
        <w:rPr>
          <w:lang w:eastAsia="en-CA"/>
        </w:rPr>
        <w:t xml:space="preserve">et  permet de déterminer la place </w:t>
      </w:r>
      <w:r w:rsidRPr="00E8358C">
        <w:t>des pratiques cul</w:t>
      </w:r>
      <w:r w:rsidRPr="00E8358C">
        <w:t>i</w:t>
      </w:r>
      <w:r w:rsidRPr="00E8358C">
        <w:t xml:space="preserve">naires, culturelles et religieuses dans la construction du patrimoine mémoriel haïtien. </w:t>
      </w: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pStyle w:val="p"/>
      </w:pPr>
      <w:r w:rsidRPr="00E8358C">
        <w:br w:type="page"/>
      </w:r>
      <w:bookmarkStart w:id="564" w:name="_Toc406489786"/>
      <w:bookmarkStart w:id="565" w:name="_Toc442280597"/>
      <w:r w:rsidRPr="00E8358C">
        <w:t>[44</w:t>
      </w:r>
      <w:r>
        <w:t>5</w:t>
      </w:r>
      <w:r w:rsidRPr="00E8358C">
        <w:t>]</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566" w:name="Memoire_conclusion"/>
      <w:r w:rsidRPr="00EF76C4">
        <w:rPr>
          <w:b/>
          <w:sz w:val="24"/>
        </w:rPr>
        <w:t>Mémoire de l’esclavage en Haïti.</w:t>
      </w:r>
    </w:p>
    <w:p w:rsidR="004C50DC" w:rsidRPr="002C7A64" w:rsidRDefault="004C50DC" w:rsidP="004C50DC">
      <w:pPr>
        <w:pStyle w:val="planchest"/>
      </w:pPr>
      <w:r>
        <w:t>CONCLUSION</w:t>
      </w:r>
    </w:p>
    <w:bookmarkEnd w:id="566"/>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bookmarkEnd w:id="564"/>
    <w:bookmarkEnd w:id="565"/>
    <w:p w:rsidR="004C50DC" w:rsidRPr="00E8358C" w:rsidRDefault="004C50DC" w:rsidP="004C50DC">
      <w:pPr>
        <w:spacing w:before="120" w:after="120"/>
        <w:jc w:val="both"/>
        <w:rPr>
          <w:bCs/>
        </w:rPr>
      </w:pPr>
      <w:r w:rsidRPr="00E8358C">
        <w:rPr>
          <w:bCs/>
        </w:rPr>
        <w:t>Nous avons constaté que l</w:t>
      </w:r>
      <w:r w:rsidRPr="00E8358C">
        <w:t>es Haïtiens n’entretiennent pas le même type de rapports avec leurs mémoires que les autres peuples concernés par l’esclavage transatlantique. Pour certains Haïtiens, l’Insurrection de 1791 et la Révolution de 1804 marquent la fin de l’esclavage et de ses mémoires. L’Indépendance de 1804 s’inscrit au début d’une m</w:t>
      </w:r>
      <w:r w:rsidRPr="00E8358C">
        <w:t>é</w:t>
      </w:r>
      <w:r w:rsidRPr="00E8358C">
        <w:t>moire de fierté et de la construction d’une nation autour des hauts faits de la Révolution. En conséquence, l</w:t>
      </w:r>
      <w:r w:rsidRPr="00E8358C">
        <w:rPr>
          <w:bCs/>
        </w:rPr>
        <w:t>es mémoires de l’esclavage se c</w:t>
      </w:r>
      <w:r w:rsidRPr="00E8358C">
        <w:rPr>
          <w:bCs/>
        </w:rPr>
        <w:t>a</w:t>
      </w:r>
      <w:r w:rsidRPr="00E8358C">
        <w:rPr>
          <w:bCs/>
        </w:rPr>
        <w:t>ractérisent par le silence sur le fait historique et sur les victimes, a</w:t>
      </w:r>
      <w:r w:rsidRPr="00E8358C">
        <w:rPr>
          <w:bCs/>
        </w:rPr>
        <w:t>m</w:t>
      </w:r>
      <w:r w:rsidRPr="00E8358C">
        <w:rPr>
          <w:bCs/>
        </w:rPr>
        <w:t>plement abordé dans le projet de la « Route de l’esclave » de l’UNESCO. Elles se distinguent aussi par l’invisibilité des lieux qui les supportent, l’invisibilité de la résistance culturelle et l’invisibilité des conséquences sociales de l’esclavage (la pauvreté, l’exclusion s</w:t>
      </w:r>
      <w:r w:rsidRPr="00E8358C">
        <w:rPr>
          <w:bCs/>
        </w:rPr>
        <w:t>o</w:t>
      </w:r>
      <w:r w:rsidRPr="00E8358C">
        <w:rPr>
          <w:bCs/>
        </w:rPr>
        <w:t xml:space="preserve">ciale, les inégalités). Aujourd’hui, ces conséquences affectent surtout les femmes, les hommes et les enfants du monde rural et des milieux défavorisés. </w:t>
      </w:r>
    </w:p>
    <w:p w:rsidR="004C50DC" w:rsidRPr="00E8358C" w:rsidRDefault="004C50DC" w:rsidP="004C50DC">
      <w:pPr>
        <w:spacing w:before="120" w:after="120"/>
        <w:jc w:val="both"/>
        <w:rPr>
          <w:bCs/>
        </w:rPr>
      </w:pPr>
      <w:r w:rsidRPr="00E8358C">
        <w:rPr>
          <w:bCs/>
        </w:rPr>
        <w:t>Tant qu’a duré le marronnage, les esclaves de Saint-Domingue fa</w:t>
      </w:r>
      <w:r w:rsidRPr="00E8358C">
        <w:rPr>
          <w:bCs/>
        </w:rPr>
        <w:t>i</w:t>
      </w:r>
      <w:r w:rsidRPr="00E8358C">
        <w:rPr>
          <w:bCs/>
        </w:rPr>
        <w:t>saient de la résistance au régime esclavagiste. Des éléments culturels, notamment le vodou et la langue créole, ont été utilisés comme armes de résistance. Mais avec Toussaint Louverture, la résistance a fait pl</w:t>
      </w:r>
      <w:r w:rsidRPr="00E8358C">
        <w:rPr>
          <w:bCs/>
        </w:rPr>
        <w:t>a</w:t>
      </w:r>
      <w:r w:rsidRPr="00E8358C">
        <w:rPr>
          <w:bCs/>
        </w:rPr>
        <w:t>ce à la guerre et Jean-Jacques Dessalines a gagné cette guerre. Après l’Indépendance, la guerre s’est poursuivie, sous des formes nouvelles, contre les anciens adversaires et même contre de nouveaux ennemis de l’extérieur, tandis qu’à l’intérieur du pays, le peuple se trouvait obligé de résister aux élites dirigeantes. Par conséquent, deux fo</w:t>
      </w:r>
      <w:r w:rsidRPr="00E8358C">
        <w:rPr>
          <w:bCs/>
        </w:rPr>
        <w:t>r</w:t>
      </w:r>
      <w:r w:rsidRPr="00E8358C">
        <w:rPr>
          <w:bCs/>
        </w:rPr>
        <w:t>mes de résistance politique sont à considérer dans cette thèse : l’une extérieure, à l’égard d’étrangers qui maintenaient le peuple dans l’esclavage ; l’autre intérieure, à l’égard de compatriotes qui cont</w:t>
      </w:r>
      <w:r w:rsidRPr="00E8358C">
        <w:rPr>
          <w:bCs/>
        </w:rPr>
        <w:t>i</w:t>
      </w:r>
      <w:r w:rsidRPr="00E8358C">
        <w:rPr>
          <w:bCs/>
        </w:rPr>
        <w:t xml:space="preserve">nuent à exploiter le peuple.  </w:t>
      </w:r>
    </w:p>
    <w:p w:rsidR="004C50DC" w:rsidRPr="00E8358C" w:rsidRDefault="004C50DC" w:rsidP="004C50DC">
      <w:pPr>
        <w:spacing w:before="120" w:after="120"/>
        <w:jc w:val="both"/>
      </w:pPr>
      <w:r w:rsidRPr="00E8358C">
        <w:t>Pour comprendre cette problématique, nous l’avons étudiée par rapport à la propre histoire de cette mémoire. Chaque lieu ou chaque pratique liée au passé colonial et esclavagiste a une mémoire propre. Ainsi, nous avons montré comment l’État haïtien organise les mémo</w:t>
      </w:r>
      <w:r w:rsidRPr="00E8358C">
        <w:t>i</w:t>
      </w:r>
      <w:r w:rsidRPr="00E8358C">
        <w:t>res de ces lieux ou participe à l’organisation des pratiques en lien avec ces mémoires, ce qui nous a amené à décrire l’histoire de l’enseignement de la mémoire de</w:t>
      </w:r>
      <w:r>
        <w:t xml:space="preserve"> [446]</w:t>
      </w:r>
      <w:r w:rsidRPr="00E8358C">
        <w:t xml:space="preserve"> l’esclavage en Haïti et à d</w:t>
      </w:r>
      <w:r w:rsidRPr="00E8358C">
        <w:t>é</w:t>
      </w:r>
      <w:r w:rsidRPr="00E8358C">
        <w:t>terminer le rôle de l’Éducation nationale dans sa transmission. On ne saurait patrimonialiser la mémoire de l’esclavage en Haïti sans pre</w:t>
      </w:r>
      <w:r w:rsidRPr="00E8358C">
        <w:t>n</w:t>
      </w:r>
      <w:r w:rsidRPr="00E8358C">
        <w:t>dre conscience des relations de l’État avec la mémoire historique.</w:t>
      </w:r>
    </w:p>
    <w:p w:rsidR="004C50DC" w:rsidRPr="00E8358C" w:rsidRDefault="004C50DC" w:rsidP="004C50DC">
      <w:pPr>
        <w:spacing w:before="120" w:after="120"/>
        <w:jc w:val="both"/>
      </w:pPr>
      <w:r w:rsidRPr="00E8358C">
        <w:t>On en déduit premièrement que la mémoire haïtienne de l’esclavage souffre d’un déficit d’histoire et de mémoires, et d’une manipulation historique et mémorielle conçue au plus haut niveau de l’État sous le régime dictatorial des Duvalier, comme l’avait signalé lui-même un de nos participants à l’enquête (Clément). Par le passé, les constructions de grands monuments et les actions ponctuelles de l’État haïtien pouvaient être interprétées comme des gestes de gestion et de valorisation de la mémoire de l’esclavage. Nous pouvons citer en exemple la lutte nationaliste contre l’occupation américaine sous la présidence de Sténio Vincent (1930-1941), qui a obligé les élites dir</w:t>
      </w:r>
      <w:r w:rsidRPr="00E8358C">
        <w:t>i</w:t>
      </w:r>
      <w:r w:rsidRPr="00E8358C">
        <w:t>geantes à se ressourcer dans le passé de l’esclavage pour galvaniser la population et l’inviter à adopter la culture africaine comme étant la seule capable de les unir au-delà des divergences de classes et de pa</w:t>
      </w:r>
      <w:r w:rsidRPr="00E8358C">
        <w:t>r</w:t>
      </w:r>
      <w:r w:rsidRPr="00E8358C">
        <w:t>tis. La lutte nationaliste portée par Vincent fut tout de même conda</w:t>
      </w:r>
      <w:r w:rsidRPr="00E8358C">
        <w:t>m</w:t>
      </w:r>
      <w:r w:rsidRPr="00E8358C">
        <w:t xml:space="preserve">née par le courant marxisant de Jacques Roumain. </w:t>
      </w:r>
    </w:p>
    <w:p w:rsidR="004C50DC" w:rsidRPr="00E8358C" w:rsidRDefault="004C50DC" w:rsidP="004C50DC">
      <w:pPr>
        <w:spacing w:before="120" w:after="120"/>
        <w:jc w:val="both"/>
      </w:pPr>
      <w:r w:rsidRPr="00E8358C">
        <w:t>Deuxièmement, il faut comprendre également la difficile relation qu’entretient la société haïtienne avec son histoire et sa mémoire. Ce</w:t>
      </w:r>
      <w:r w:rsidRPr="00E8358C">
        <w:t>t</w:t>
      </w:r>
      <w:r w:rsidRPr="00E8358C">
        <w:t>te relation se perçoit même dans les écrits les plus célèbres</w:t>
      </w:r>
      <w:r>
        <w:t> </w:t>
      </w:r>
      <w:r w:rsidRPr="00E8358C">
        <w:rPr>
          <w:rStyle w:val="Appelnotedebasdep"/>
        </w:rPr>
        <w:footnoteReference w:id="1095"/>
      </w:r>
      <w:r w:rsidRPr="00E8358C">
        <w:t xml:space="preserve"> et est v</w:t>
      </w:r>
      <w:r w:rsidRPr="00E8358C">
        <w:t>é</w:t>
      </w:r>
      <w:r w:rsidRPr="00E8358C">
        <w:t>cue chaque jour par les Haïtiens. Dans la mémoire officielle ainsi que dans la mémoire collective, c’est la notion de liberté qui prédom</w:t>
      </w:r>
      <w:r w:rsidRPr="00E8358C">
        <w:t>i</w:t>
      </w:r>
      <w:r w:rsidRPr="00E8358C">
        <w:t>ne. Les douleurs de l’esclavage et ses conséquences sociales ne sont pas vraiment relatées. Certes, certains manuels parlent des sanctions et des punitions</w:t>
      </w:r>
      <w:r w:rsidRPr="00E8358C">
        <w:rPr>
          <w:rStyle w:val="Appelnotedebasdep"/>
        </w:rPr>
        <w:footnoteReference w:id="1096"/>
      </w:r>
      <w:r w:rsidRPr="00E8358C">
        <w:t>, mais on dirait que les Haïtiens ne souhaitent pas vraiment être sensibilisés à cette réalité de l’esclavage à Saint-Domingue. Cette réalité serait une entorse à la dignité de chacun, construite sur la libe</w:t>
      </w:r>
      <w:r w:rsidRPr="00E8358C">
        <w:t>r</w:t>
      </w:r>
      <w:r w:rsidRPr="00E8358C">
        <w:t xml:space="preserve">té. </w:t>
      </w:r>
    </w:p>
    <w:p w:rsidR="004C50DC" w:rsidRDefault="004C50DC" w:rsidP="004C50DC">
      <w:pPr>
        <w:spacing w:before="120" w:after="120"/>
        <w:jc w:val="both"/>
      </w:pPr>
      <w:r w:rsidRPr="00E8358C">
        <w:t xml:space="preserve">Cette posture sociétale porte les Haïtiens, dans un premier temps, à se positionner par rapport à la problématique du travail de mémoire de l’esclavage, et en second lieu, par </w:t>
      </w:r>
      <w:r>
        <w:t xml:space="preserve">[447] </w:t>
      </w:r>
      <w:r w:rsidRPr="00E8358C">
        <w:t>rapport à l’héritage histor</w:t>
      </w:r>
      <w:r w:rsidRPr="00E8358C">
        <w:t>i</w:t>
      </w:r>
      <w:r w:rsidRPr="00E8358C">
        <w:t>que. Outre les sources écrites, audiovisuelles et iconographiques, les entrevues nous ont été utiles pour faire l’état de la question. Dans ce cas, l’ethnologie était  importante à côté de l’histoire et de la sociol</w:t>
      </w:r>
      <w:r w:rsidRPr="00E8358C">
        <w:t>o</w:t>
      </w:r>
      <w:r w:rsidRPr="00E8358C">
        <w:t xml:space="preserve">gie pour comprendre le phénomène et construire nos analyses. </w:t>
      </w:r>
    </w:p>
    <w:p w:rsidR="004C50DC" w:rsidRPr="00E8358C" w:rsidRDefault="004C50DC" w:rsidP="004C50DC">
      <w:pPr>
        <w:spacing w:before="120" w:after="120"/>
        <w:jc w:val="both"/>
      </w:pPr>
    </w:p>
    <w:p w:rsidR="004C50DC" w:rsidRPr="00D0111E" w:rsidRDefault="004C50DC" w:rsidP="004C50DC">
      <w:pPr>
        <w:pStyle w:val="a"/>
      </w:pPr>
      <w:bookmarkStart w:id="567" w:name="_Toc406489787"/>
      <w:bookmarkStart w:id="568" w:name="_Toc442280598"/>
      <w:r w:rsidRPr="00D0111E">
        <w:t>Reconsidération et redéfinition</w:t>
      </w:r>
      <w:r>
        <w:br/>
      </w:r>
      <w:r w:rsidRPr="00D0111E">
        <w:t xml:space="preserve">de l’esclavage transatlantique et de ses </w:t>
      </w:r>
      <w:bookmarkEnd w:id="567"/>
      <w:r w:rsidRPr="00D0111E">
        <w:t>corollaires</w:t>
      </w:r>
      <w:bookmarkEnd w:id="568"/>
    </w:p>
    <w:p w:rsidR="004C50DC" w:rsidRDefault="004C50DC" w:rsidP="004C50DC">
      <w:pPr>
        <w:spacing w:before="120" w:after="120"/>
        <w:jc w:val="both"/>
        <w:rPr>
          <w:lang w:eastAsia="ja-JP"/>
        </w:rPr>
      </w:pPr>
    </w:p>
    <w:p w:rsidR="004C50DC" w:rsidRPr="00E8358C" w:rsidRDefault="004C50DC" w:rsidP="004C50DC">
      <w:pPr>
        <w:spacing w:before="120" w:after="120"/>
        <w:jc w:val="both"/>
      </w:pPr>
      <w:r w:rsidRPr="00E8358C">
        <w:rPr>
          <w:lang w:eastAsia="ja-JP"/>
        </w:rPr>
        <w:t xml:space="preserve">Nous avons pu démontrer que les formes de l’esclavage découlent largement des systèmes coloniaux qui les ont mises en place. Les conséquences de l’esclavage sont aussi nombreuses. </w:t>
      </w:r>
      <w:r w:rsidRPr="00E8358C">
        <w:t>L’esclavage tra</w:t>
      </w:r>
      <w:r w:rsidRPr="00E8358C">
        <w:t>n</w:t>
      </w:r>
      <w:r w:rsidRPr="00E8358C">
        <w:t>satlantique était un système de déshumanisation, l’un des drames de l’humanité qui a eu des effets multiples sur les sociétés postcoloniales. Les spécificités locales ne permettent pas de produire un discours fo</w:t>
      </w:r>
      <w:r w:rsidRPr="00E8358C">
        <w:t>n</w:t>
      </w:r>
      <w:r w:rsidRPr="00E8358C">
        <w:t>dé sur une représentation universelle ou une criminalisation universe</w:t>
      </w:r>
      <w:r w:rsidRPr="00E8358C">
        <w:t>l</w:t>
      </w:r>
      <w:r w:rsidRPr="00E8358C">
        <w:t xml:space="preserve">le de l’esclavage, comme prétendent le faire des projets tels que celui de l’UNESCO, car l’approche universelle risque de faire oublier les singularités de la matrice esclavagiste qui a créé des sociétés fondées sur la notion de race. </w:t>
      </w:r>
    </w:p>
    <w:p w:rsidR="004C50DC" w:rsidRPr="00E8358C" w:rsidRDefault="004C50DC" w:rsidP="004C50DC">
      <w:pPr>
        <w:spacing w:before="120" w:after="120"/>
        <w:jc w:val="both"/>
        <w:rPr>
          <w:bCs/>
        </w:rPr>
      </w:pPr>
      <w:r w:rsidRPr="00E8358C">
        <w:t>La temporalité du colonialisme a également constitué une spécif</w:t>
      </w:r>
      <w:r w:rsidRPr="00E8358C">
        <w:t>i</w:t>
      </w:r>
      <w:r w:rsidRPr="00E8358C">
        <w:t>cité de l’esclavage transatlantique. Les historiens s’accordent à dire que durant cinq siècles, soit du XV</w:t>
      </w:r>
      <w:r w:rsidRPr="00E8358C">
        <w:rPr>
          <w:vertAlign w:val="superscript"/>
        </w:rPr>
        <w:t>e</w:t>
      </w:r>
      <w:r w:rsidRPr="00E8358C">
        <w:t xml:space="preserve"> au XIX</w:t>
      </w:r>
      <w:r w:rsidRPr="00E8358C">
        <w:rPr>
          <w:vertAlign w:val="superscript"/>
        </w:rPr>
        <w:t xml:space="preserve">e </w:t>
      </w:r>
      <w:r w:rsidRPr="00E8358C">
        <w:t>siècle, environ 11 à 14 millions d’Africains ont été déportés. Sans entrer dans le détail des chiffres, nous mentionnerons, par exemple, que cinq cent mille escl</w:t>
      </w:r>
      <w:r w:rsidRPr="00E8358C">
        <w:t>a</w:t>
      </w:r>
      <w:r w:rsidRPr="00E8358C">
        <w:t>ves africains ont été déportés aux États-Unis. Pourtant, à la veille de l’abolition de l’esclavage aux États-Unis (18 décembre 1865), on comptait 4,5 millions d’esclaves</w:t>
      </w:r>
      <w:r>
        <w:t> </w:t>
      </w:r>
      <w:r>
        <w:rPr>
          <w:rStyle w:val="Appelnotedebasdep"/>
        </w:rPr>
        <w:footnoteReference w:id="1097"/>
      </w:r>
      <w:r w:rsidRPr="00E8358C">
        <w:t>. Les colons américains prat</w:t>
      </w:r>
      <w:r w:rsidRPr="00E8358C">
        <w:t>i</w:t>
      </w:r>
      <w:r w:rsidRPr="00E8358C">
        <w:t>quaient ainsi « l’esclavage d’élevage »</w:t>
      </w:r>
      <w:r>
        <w:t> </w:t>
      </w:r>
      <w:r>
        <w:rPr>
          <w:rStyle w:val="Appelnotedebasdep"/>
        </w:rPr>
        <w:footnoteReference w:id="1098"/>
      </w:r>
      <w:r w:rsidRPr="00E8358C">
        <w:t xml:space="preserve"> et « la reproduction des escl</w:t>
      </w:r>
      <w:r w:rsidRPr="00E8358C">
        <w:t>a</w:t>
      </w:r>
      <w:r w:rsidRPr="00E8358C">
        <w:t>ves sur place ». À Saint-Domingue, quelques propriétaires l’auraient prat</w:t>
      </w:r>
      <w:r w:rsidRPr="00E8358C">
        <w:t>i</w:t>
      </w:r>
      <w:r w:rsidRPr="00E8358C">
        <w:t>quée aussi, même si la population d’esclaves était constamment r</w:t>
      </w:r>
      <w:r w:rsidRPr="00E8358C">
        <w:t>e</w:t>
      </w:r>
      <w:r w:rsidRPr="00E8358C">
        <w:t>nouvelée dans les colonies des Antilles. Ils avaient même choisi des esclaves robustes pour engrosser les femmes esclaves. En réaction, certaines femmes en étaient arrivées à l’infanticide pour év</w:t>
      </w:r>
      <w:r w:rsidRPr="00E8358C">
        <w:t>i</w:t>
      </w:r>
      <w:r w:rsidRPr="00E8358C">
        <w:t>ter que leurs enfants connaissent l’esclavage et pour conduire les ma</w:t>
      </w:r>
      <w:r w:rsidRPr="00E8358C">
        <w:t>î</w:t>
      </w:r>
      <w:r w:rsidRPr="00E8358C">
        <w:t>tres à la faillite. S</w:t>
      </w:r>
      <w:r w:rsidRPr="00E8358C">
        <w:rPr>
          <w:bCs/>
        </w:rPr>
        <w:t>i cette forme d’esclavage</w:t>
      </w:r>
      <w:r>
        <w:rPr>
          <w:bCs/>
        </w:rPr>
        <w:t xml:space="preserve"> [448]</w:t>
      </w:r>
      <w:r w:rsidRPr="00E8358C">
        <w:rPr>
          <w:bCs/>
        </w:rPr>
        <w:t xml:space="preserve"> historique a légalement di</w:t>
      </w:r>
      <w:r w:rsidRPr="00E8358C">
        <w:rPr>
          <w:bCs/>
        </w:rPr>
        <w:t>s</w:t>
      </w:r>
      <w:r w:rsidRPr="00E8358C">
        <w:rPr>
          <w:bCs/>
        </w:rPr>
        <w:t>paru, le phénomène de la capture, de la vente et de l’exploitation d’êtres humains continue à travers le monde, et ne touche pas seul</w:t>
      </w:r>
      <w:r w:rsidRPr="00E8358C">
        <w:rPr>
          <w:bCs/>
        </w:rPr>
        <w:t>e</w:t>
      </w:r>
      <w:r w:rsidRPr="00E8358C">
        <w:rPr>
          <w:bCs/>
        </w:rPr>
        <w:t>ment les Noirs, mais aussi les Blancs et les Jaunes. La même idéologie de domination et « d’exploitation de l’homme par l’homme »</w:t>
      </w:r>
      <w:r>
        <w:rPr>
          <w:bCs/>
        </w:rPr>
        <w:t> </w:t>
      </w:r>
      <w:r>
        <w:rPr>
          <w:rStyle w:val="Appelnotedebasdep"/>
          <w:bCs/>
        </w:rPr>
        <w:footnoteReference w:id="1099"/>
      </w:r>
      <w:r w:rsidRPr="00E8358C">
        <w:rPr>
          <w:bCs/>
        </w:rPr>
        <w:t xml:space="preserve"> co</w:t>
      </w:r>
      <w:r w:rsidRPr="00E8358C">
        <w:rPr>
          <w:bCs/>
        </w:rPr>
        <w:t>m</w:t>
      </w:r>
      <w:r w:rsidRPr="00E8358C">
        <w:rPr>
          <w:bCs/>
        </w:rPr>
        <w:t>me le disait Karl Marx continue aujourd’hui de m</w:t>
      </w:r>
      <w:r w:rsidRPr="00E8358C">
        <w:rPr>
          <w:bCs/>
        </w:rPr>
        <w:t>o</w:t>
      </w:r>
      <w:r w:rsidRPr="00E8358C">
        <w:rPr>
          <w:bCs/>
        </w:rPr>
        <w:t>tiver les trafiquants d’êtres humains et les proxénètes.</w:t>
      </w:r>
    </w:p>
    <w:p w:rsidR="004C50DC" w:rsidRPr="00E8358C" w:rsidRDefault="004C50DC" w:rsidP="004C50DC">
      <w:pPr>
        <w:spacing w:before="120" w:after="120"/>
        <w:jc w:val="both"/>
        <w:rPr>
          <w:lang w:eastAsia="ja-JP"/>
        </w:rPr>
      </w:pPr>
      <w:r w:rsidRPr="00E8358C">
        <w:rPr>
          <w:lang w:eastAsia="ja-JP"/>
        </w:rPr>
        <w:t xml:space="preserve">Comme toutes les sociétés postcoloniales, la société haïtienne s’inscrit dans la continuité coloniale. </w:t>
      </w:r>
      <w:r w:rsidRPr="00E8358C">
        <w:t xml:space="preserve">C’est une illusion de croire que 1804 avait marqué une rupture totale avec le passé esclavagiste en Haïti. Ce que l’on pourrait appeler la « post-indépendance haïtienne » n’a pas mis un terme aux pratiques </w:t>
      </w:r>
      <w:r w:rsidRPr="00E8358C">
        <w:rPr>
          <w:lang w:eastAsia="ja-JP"/>
        </w:rPr>
        <w:t>sociales</w:t>
      </w:r>
      <w:r w:rsidRPr="00E8358C">
        <w:t xml:space="preserve"> et politiques telles que l’exploitation, le préjugé de couleur, l’autoritarisme et le non-respect des droits fondamentaux. </w:t>
      </w:r>
      <w:r w:rsidRPr="00E8358C">
        <w:rPr>
          <w:lang w:eastAsia="ja-JP"/>
        </w:rPr>
        <w:t>Ce n’est pas parce que les sociétés ancie</w:t>
      </w:r>
      <w:r w:rsidRPr="00E8358C">
        <w:rPr>
          <w:lang w:eastAsia="ja-JP"/>
        </w:rPr>
        <w:t>n</w:t>
      </w:r>
      <w:r w:rsidRPr="00E8358C">
        <w:rPr>
          <w:lang w:eastAsia="ja-JP"/>
        </w:rPr>
        <w:t>nement colonisées ont acquis leur indépendance qu’elles peuvent pr</w:t>
      </w:r>
      <w:r w:rsidRPr="00E8358C">
        <w:rPr>
          <w:lang w:eastAsia="ja-JP"/>
        </w:rPr>
        <w:t>é</w:t>
      </w:r>
      <w:r w:rsidRPr="00E8358C">
        <w:rPr>
          <w:lang w:eastAsia="ja-JP"/>
        </w:rPr>
        <w:t>tendre avoir mis fin à la colonisation. C’est en ce sens que des théor</w:t>
      </w:r>
      <w:r w:rsidRPr="00E8358C">
        <w:rPr>
          <w:lang w:eastAsia="ja-JP"/>
        </w:rPr>
        <w:t>i</w:t>
      </w:r>
      <w:r w:rsidRPr="00E8358C">
        <w:rPr>
          <w:lang w:eastAsia="ja-JP"/>
        </w:rPr>
        <w:t>ciens comme Homi Bhabha</w:t>
      </w:r>
      <w:r>
        <w:rPr>
          <w:lang w:eastAsia="ja-JP"/>
        </w:rPr>
        <w:t> </w:t>
      </w:r>
      <w:r>
        <w:rPr>
          <w:rStyle w:val="Appelnotedebasdep"/>
          <w:lang w:eastAsia="ja-JP"/>
        </w:rPr>
        <w:footnoteReference w:id="1100"/>
      </w:r>
      <w:r w:rsidRPr="00E8358C">
        <w:rPr>
          <w:lang w:eastAsia="ja-JP"/>
        </w:rPr>
        <w:t xml:space="preserve">, </w:t>
      </w:r>
      <w:r w:rsidRPr="00E8358C">
        <w:rPr>
          <w:bCs/>
        </w:rPr>
        <w:t>Arjun</w:t>
      </w:r>
      <w:r w:rsidRPr="00E8358C">
        <w:rPr>
          <w:lang w:eastAsia="ja-JP"/>
        </w:rPr>
        <w:t xml:space="preserve"> Appadurai</w:t>
      </w:r>
      <w:r>
        <w:rPr>
          <w:lang w:eastAsia="ja-JP"/>
        </w:rPr>
        <w:t> </w:t>
      </w:r>
      <w:r>
        <w:rPr>
          <w:rStyle w:val="Appelnotedebasdep"/>
          <w:lang w:eastAsia="ja-JP"/>
        </w:rPr>
        <w:footnoteReference w:id="1101"/>
      </w:r>
      <w:r w:rsidRPr="00E8358C">
        <w:rPr>
          <w:lang w:eastAsia="ja-JP"/>
        </w:rPr>
        <w:t xml:space="preserve">, </w:t>
      </w:r>
      <w:r w:rsidRPr="00E8358C">
        <w:t>Mahdi Elman</w:t>
      </w:r>
      <w:r w:rsidRPr="00E8358C">
        <w:t>d</w:t>
      </w:r>
      <w:r w:rsidRPr="00E8358C">
        <w:t>jra</w:t>
      </w:r>
      <w:r>
        <w:t> </w:t>
      </w:r>
      <w:r>
        <w:rPr>
          <w:rStyle w:val="Appelnotedebasdep"/>
        </w:rPr>
        <w:footnoteReference w:id="1102"/>
      </w:r>
      <w:r w:rsidRPr="00E8358C">
        <w:t xml:space="preserve"> ou Gayatri Chakravorty Spivak</w:t>
      </w:r>
      <w:r w:rsidRPr="00E8358C">
        <w:rPr>
          <w:rStyle w:val="Appelnotedebasdep"/>
        </w:rPr>
        <w:footnoteReference w:id="1103"/>
      </w:r>
      <w:r w:rsidRPr="00E8358C">
        <w:rPr>
          <w:lang w:eastAsia="ja-JP"/>
        </w:rPr>
        <w:t>utilisent le terme de « postcolonialisme » pour évoquer justement la continuité du coloni</w:t>
      </w:r>
      <w:r w:rsidRPr="00E8358C">
        <w:rPr>
          <w:lang w:eastAsia="ja-JP"/>
        </w:rPr>
        <w:t>a</w:t>
      </w:r>
      <w:r w:rsidRPr="00E8358C">
        <w:rPr>
          <w:lang w:eastAsia="ja-JP"/>
        </w:rPr>
        <w:t>lisme et ses expre</w:t>
      </w:r>
      <w:r w:rsidRPr="00E8358C">
        <w:rPr>
          <w:lang w:eastAsia="ja-JP"/>
        </w:rPr>
        <w:t>s</w:t>
      </w:r>
      <w:r w:rsidRPr="00E8358C">
        <w:rPr>
          <w:lang w:eastAsia="ja-JP"/>
        </w:rPr>
        <w:t xml:space="preserve">sions contemporaines (néocolonialisme), car </w:t>
      </w:r>
      <w:r w:rsidRPr="00E8358C">
        <w:t>« la condition postcol</w:t>
      </w:r>
      <w:r w:rsidRPr="00E8358C">
        <w:t>o</w:t>
      </w:r>
      <w:r w:rsidRPr="00E8358C">
        <w:t>niale ne peut pas être pensée en dehors de l’expérience coloniale »</w:t>
      </w:r>
      <w:r>
        <w:t> </w:t>
      </w:r>
      <w:r>
        <w:rPr>
          <w:rStyle w:val="Appelnotedebasdep"/>
        </w:rPr>
        <w:footnoteReference w:id="1104"/>
      </w:r>
      <w:r w:rsidRPr="00E8358C">
        <w:t xml:space="preserve">. </w:t>
      </w:r>
      <w:r w:rsidRPr="00E8358C">
        <w:rPr>
          <w:lang w:eastAsia="ja-JP"/>
        </w:rPr>
        <w:t>Le terme « post-indépendance » convient mieux pour présenter la période d’après l’Indépendance ou pour e</w:t>
      </w:r>
      <w:r w:rsidRPr="00E8358C">
        <w:rPr>
          <w:lang w:eastAsia="ja-JP"/>
        </w:rPr>
        <w:t>x</w:t>
      </w:r>
      <w:r w:rsidRPr="00E8358C">
        <w:rPr>
          <w:lang w:eastAsia="ja-JP"/>
        </w:rPr>
        <w:t>pliquer le contexte de la cré</w:t>
      </w:r>
      <w:r w:rsidRPr="00E8358C">
        <w:rPr>
          <w:lang w:eastAsia="ja-JP"/>
        </w:rPr>
        <w:t>a</w:t>
      </w:r>
      <w:r w:rsidRPr="00E8358C">
        <w:rPr>
          <w:lang w:eastAsia="ja-JP"/>
        </w:rPr>
        <w:t xml:space="preserve">tion des États nations issus de l’esclavage. </w:t>
      </w:r>
    </w:p>
    <w:p w:rsidR="004C50DC" w:rsidRPr="00E8358C" w:rsidRDefault="004C50DC" w:rsidP="004C50DC">
      <w:pPr>
        <w:spacing w:before="120" w:after="120"/>
        <w:jc w:val="both"/>
        <w:rPr>
          <w:lang w:eastAsia="ja-JP"/>
        </w:rPr>
      </w:pPr>
      <w:r w:rsidRPr="00E8358C">
        <w:rPr>
          <w:lang w:eastAsia="ja-JP"/>
        </w:rPr>
        <w:t>L’esclavage a laissé des schèmes mentaux encore puissants</w:t>
      </w:r>
      <w:r>
        <w:rPr>
          <w:lang w:eastAsia="ja-JP"/>
        </w:rPr>
        <w:t> </w:t>
      </w:r>
      <w:r>
        <w:rPr>
          <w:rStyle w:val="Appelnotedebasdep"/>
          <w:lang w:eastAsia="ja-JP"/>
        </w:rPr>
        <w:footnoteReference w:id="1105"/>
      </w:r>
      <w:r w:rsidRPr="00E8358C">
        <w:rPr>
          <w:lang w:eastAsia="ja-JP"/>
        </w:rPr>
        <w:t>. Il ne faut pas les voir seulement comme de simples héritages ou des rém</w:t>
      </w:r>
      <w:r w:rsidRPr="00E8358C">
        <w:rPr>
          <w:lang w:eastAsia="ja-JP"/>
        </w:rPr>
        <w:t>a</w:t>
      </w:r>
      <w:r w:rsidRPr="00E8358C">
        <w:rPr>
          <w:lang w:eastAsia="ja-JP"/>
        </w:rPr>
        <w:t>nences muettes comme le soutient</w:t>
      </w:r>
      <w:r>
        <w:rPr>
          <w:lang w:eastAsia="ja-JP"/>
        </w:rPr>
        <w:t xml:space="preserve"> [449]</w:t>
      </w:r>
      <w:r w:rsidRPr="00E8358C">
        <w:t xml:space="preserve"> Jean-Luc Bonniol</w:t>
      </w:r>
      <w:r>
        <w:t> </w:t>
      </w:r>
      <w:r>
        <w:rPr>
          <w:rStyle w:val="Appelnotedebasdep"/>
        </w:rPr>
        <w:footnoteReference w:id="1106"/>
      </w:r>
      <w:r w:rsidRPr="00E8358C">
        <w:rPr>
          <w:lang w:eastAsia="ja-JP"/>
        </w:rPr>
        <w:t>. Leurs conséquences interpellent régulièrement le social, le culturel, la polit</w:t>
      </w:r>
      <w:r w:rsidRPr="00E8358C">
        <w:rPr>
          <w:lang w:eastAsia="ja-JP"/>
        </w:rPr>
        <w:t>i</w:t>
      </w:r>
      <w:r w:rsidRPr="00E8358C">
        <w:rPr>
          <w:lang w:eastAsia="ja-JP"/>
        </w:rPr>
        <w:t>que et l’économie. Si les représentations sont présentes dans la m</w:t>
      </w:r>
      <w:r w:rsidRPr="00E8358C">
        <w:rPr>
          <w:lang w:eastAsia="ja-JP"/>
        </w:rPr>
        <w:t>é</w:t>
      </w:r>
      <w:r w:rsidRPr="00E8358C">
        <w:rPr>
          <w:lang w:eastAsia="ja-JP"/>
        </w:rPr>
        <w:t>moire collective, c’est parce qu’elles sont efficaces. Le constat vaut autant pour la société haïtienne que pour la société française, les s</w:t>
      </w:r>
      <w:r w:rsidRPr="00E8358C">
        <w:rPr>
          <w:lang w:eastAsia="ja-JP"/>
        </w:rPr>
        <w:t>o</w:t>
      </w:r>
      <w:r w:rsidRPr="00E8358C">
        <w:rPr>
          <w:lang w:eastAsia="ja-JP"/>
        </w:rPr>
        <w:t xml:space="preserve">ciétés des Amériques et des Caraïbes. Le schème racial y est encore actif dans les rapports sociaux. Si les représentations de l’esclavage sont présentes dans la mémoire collective des peuples, c’est parce qu’elles sont efficaces. Elles sont continuellement réactualisées ou restructurées. </w:t>
      </w:r>
    </w:p>
    <w:p w:rsidR="004C50DC" w:rsidRPr="00E8358C" w:rsidRDefault="004C50DC" w:rsidP="004C50DC">
      <w:pPr>
        <w:spacing w:before="120" w:after="120"/>
        <w:jc w:val="both"/>
        <w:rPr>
          <w:bCs/>
        </w:rPr>
      </w:pPr>
      <w:r w:rsidRPr="00E8358C">
        <w:rPr>
          <w:bCs/>
        </w:rPr>
        <w:t>En ce qui concerne les pratiques sociales comme la domesticité des enfants que des organismes de défense des droits des enfants qual</w:t>
      </w:r>
      <w:r w:rsidRPr="00E8358C">
        <w:rPr>
          <w:bCs/>
        </w:rPr>
        <w:t>i</w:t>
      </w:r>
      <w:r w:rsidRPr="00E8358C">
        <w:rPr>
          <w:bCs/>
        </w:rPr>
        <w:t>fient de forme moderne d’esclavage, il faut distinguer cette pratique contemporaine de la pratique historique de l’esclavage de personnes qui était un système organisé, légalisé et structuré. Cette pratique de discrimination et de domination sociales existe tant dans les pays ayant été victimes de l’esclavage que dans les pays ayant pratiqué l’esclavage ; elle n’a pas toujours de lien, par conséquent, avec l’esclavage historique. Il n’en reste pas moins que la domesticité i</w:t>
      </w:r>
      <w:r w:rsidRPr="00E8358C">
        <w:rPr>
          <w:bCs/>
        </w:rPr>
        <w:t>n</w:t>
      </w:r>
      <w:r w:rsidRPr="00E8358C">
        <w:rPr>
          <w:bCs/>
        </w:rPr>
        <w:t xml:space="preserve">fantile est à dénoncer et à condamner. </w:t>
      </w:r>
    </w:p>
    <w:p w:rsidR="004C50DC" w:rsidRDefault="004C50DC" w:rsidP="004C50DC">
      <w:pPr>
        <w:spacing w:before="120" w:after="120"/>
        <w:jc w:val="both"/>
        <w:rPr>
          <w:bCs/>
        </w:rPr>
      </w:pPr>
      <w:r w:rsidRPr="00E8358C">
        <w:rPr>
          <w:bCs/>
        </w:rPr>
        <w:t>Les Haïtiens ne doivent pas se réfugier dans une posture de « colonisés » qui subissent le stéréotype colonial, ni casser les ra</w:t>
      </w:r>
      <w:r w:rsidRPr="00E8358C">
        <w:rPr>
          <w:bCs/>
        </w:rPr>
        <w:t>p</w:t>
      </w:r>
      <w:r w:rsidRPr="00E8358C">
        <w:rPr>
          <w:bCs/>
        </w:rPr>
        <w:t>ports dynamiques à développer avec l’Autre, le « colonisateur ». Au contraire, ils doivent étudier ensemble et assumer les conséquences de l’esclavage dans leur société et rectifier les inégalités et les discrim</w:t>
      </w:r>
      <w:r w:rsidRPr="00E8358C">
        <w:rPr>
          <w:bCs/>
        </w:rPr>
        <w:t>i</w:t>
      </w:r>
      <w:r w:rsidRPr="00E8358C">
        <w:rPr>
          <w:bCs/>
        </w:rPr>
        <w:t>nations qui sont issues de cette tragédie. Justement, aujourd’hui, dans l’aire géographique de l’esclavage transatlantique (les Amériques, l’Europe et les Caraïbes), nous distinguons deux cartes de deux réal</w:t>
      </w:r>
      <w:r w:rsidRPr="00E8358C">
        <w:rPr>
          <w:bCs/>
        </w:rPr>
        <w:t>i</w:t>
      </w:r>
      <w:r w:rsidRPr="00E8358C">
        <w:rPr>
          <w:bCs/>
        </w:rPr>
        <w:t>tés qui se superposent. La première est la carte de la nationalisation économique et politique qui détermine, d’une part, les relations entre les États, et d’autre part, l’organisation de leur société. La deuxième est la carte ethnique des victimes de l’esclavage qui est celle de la marginalisation sociale, politique et économique des populations no</w:t>
      </w:r>
      <w:r w:rsidRPr="00E8358C">
        <w:rPr>
          <w:bCs/>
        </w:rPr>
        <w:t>i</w:t>
      </w:r>
      <w:r w:rsidRPr="00E8358C">
        <w:rPr>
          <w:bCs/>
        </w:rPr>
        <w:t>res issues de l’esclavage dans ces sociétés politiquement organisées. La couleur et la richesse de l’individu conditionnent sa place et sa v</w:t>
      </w:r>
      <w:r w:rsidRPr="00E8358C">
        <w:rPr>
          <w:bCs/>
        </w:rPr>
        <w:t>a</w:t>
      </w:r>
      <w:r w:rsidRPr="00E8358C">
        <w:rPr>
          <w:bCs/>
        </w:rPr>
        <w:t xml:space="preserve">lorisation sociale ; la </w:t>
      </w:r>
      <w:r>
        <w:rPr>
          <w:bCs/>
        </w:rPr>
        <w:t>[450]</w:t>
      </w:r>
      <w:r w:rsidRPr="00E8358C">
        <w:rPr>
          <w:bCs/>
        </w:rPr>
        <w:t xml:space="preserve"> situation d’exclusion sociale des paysans et des individus issus de la classe paupérisée haïtienne en cons</w:t>
      </w:r>
      <w:r>
        <w:rPr>
          <w:bCs/>
        </w:rPr>
        <w:t>titue l’exemple par excellence.</w:t>
      </w:r>
    </w:p>
    <w:p w:rsidR="004C50DC" w:rsidRPr="00E8358C" w:rsidRDefault="004C50DC" w:rsidP="004C50DC">
      <w:pPr>
        <w:spacing w:before="120" w:after="120"/>
        <w:jc w:val="both"/>
        <w:rPr>
          <w:bCs/>
        </w:rPr>
      </w:pPr>
    </w:p>
    <w:p w:rsidR="004C50DC" w:rsidRPr="00D0111E" w:rsidRDefault="004C50DC" w:rsidP="004C50DC">
      <w:pPr>
        <w:pStyle w:val="a"/>
      </w:pPr>
      <w:bookmarkStart w:id="569" w:name="_Toc406489788"/>
      <w:bookmarkStart w:id="570" w:name="_Toc442280599"/>
      <w:r w:rsidRPr="00D0111E">
        <w:t>Raisons de l’occultation des mémoires</w:t>
      </w:r>
      <w:r>
        <w:br/>
      </w:r>
      <w:r w:rsidRPr="00D0111E">
        <w:t>de l’esclavage en Haïti</w:t>
      </w:r>
      <w:bookmarkEnd w:id="569"/>
      <w:bookmarkEnd w:id="570"/>
      <w:r w:rsidRPr="00D0111E">
        <w:t> </w:t>
      </w:r>
    </w:p>
    <w:p w:rsidR="004C50DC" w:rsidRDefault="004C50DC" w:rsidP="004C50DC">
      <w:pPr>
        <w:spacing w:before="120" w:after="120"/>
        <w:jc w:val="both"/>
        <w:rPr>
          <w:bCs/>
        </w:rPr>
      </w:pPr>
    </w:p>
    <w:p w:rsidR="004C50DC" w:rsidRPr="00E8358C" w:rsidRDefault="004C50DC" w:rsidP="004C50DC">
      <w:pPr>
        <w:spacing w:before="120" w:after="120"/>
        <w:jc w:val="both"/>
        <w:rPr>
          <w:bCs/>
        </w:rPr>
      </w:pPr>
      <w:r w:rsidRPr="00E8358C">
        <w:rPr>
          <w:bCs/>
        </w:rPr>
        <w:t xml:space="preserve">Les raisons </w:t>
      </w:r>
      <w:r w:rsidRPr="00E8358C">
        <w:t xml:space="preserve">de l’occultation des mémoires de l’esclavage en Haïti </w:t>
      </w:r>
      <w:r w:rsidRPr="00E8358C">
        <w:rPr>
          <w:bCs/>
        </w:rPr>
        <w:t>sont diverses. Elles sont d’abord politiques et historiques. La raison de fond, c’est que l’histoire du passé colonial esclavagiste en Haïti est tellement grave et honteuse sur le plan humain et sur le plan éthique que ceux qui jouissaient de ce qu’il leur avait légué, ou leurs desce</w:t>
      </w:r>
      <w:r w:rsidRPr="00E8358C">
        <w:rPr>
          <w:bCs/>
        </w:rPr>
        <w:t>n</w:t>
      </w:r>
      <w:r w:rsidRPr="00E8358C">
        <w:rPr>
          <w:bCs/>
        </w:rPr>
        <w:t>dants, ont voulu absolument effacer cette page sombre de leur histoire. Dans la société haïtienne, comme dans les pays où l’esclavage des Noirs a commencé, les recherches sur la question ont longtemps été très instrumentalisées et peu approfondies. Les élites politiques ha</w:t>
      </w:r>
      <w:r w:rsidRPr="00E8358C">
        <w:rPr>
          <w:bCs/>
        </w:rPr>
        <w:t>ï</w:t>
      </w:r>
      <w:r w:rsidRPr="00E8358C">
        <w:rPr>
          <w:bCs/>
        </w:rPr>
        <w:t>tiennes veulent encore faire de l’esclavage un épisode des relations entre les puissances esclavagistes européennes et les anciennes col</w:t>
      </w:r>
      <w:r w:rsidRPr="00E8358C">
        <w:rPr>
          <w:bCs/>
        </w:rPr>
        <w:t>o</w:t>
      </w:r>
      <w:r w:rsidRPr="00E8358C">
        <w:rPr>
          <w:bCs/>
        </w:rPr>
        <w:t xml:space="preserve">nies ou encore une histoire entre la France et Haïti, alors que sur le plan national, depuis 1804, on observe un silence organisé et complice sur le fait historique.  </w:t>
      </w:r>
    </w:p>
    <w:p w:rsidR="004C50DC" w:rsidRPr="00E8358C" w:rsidRDefault="004C50DC" w:rsidP="004C50DC">
      <w:pPr>
        <w:spacing w:before="120" w:after="120"/>
        <w:jc w:val="both"/>
        <w:rPr>
          <w:bCs/>
        </w:rPr>
      </w:pPr>
      <w:r w:rsidRPr="00E8358C">
        <w:rPr>
          <w:bCs/>
        </w:rPr>
        <w:t xml:space="preserve">Cette thèse s’efforce de remettre en question ce silence historique. Les conséquences de l’esclavage sur la société haïtienne d’hier et d’aujourd’hui ont été identifiées en donnant la parole aux citoyens. Nous avons pu démontrer dans notre travail que si l’esclavage a été aboli en Haïti, ses conséquences profondes perdurent dans les rapports qu’entretiennent les Haïtiens entre eux. </w:t>
      </w:r>
    </w:p>
    <w:p w:rsidR="004C50DC" w:rsidRPr="00E8358C" w:rsidRDefault="004C50DC" w:rsidP="004C50DC">
      <w:pPr>
        <w:spacing w:before="120" w:after="120"/>
        <w:jc w:val="both"/>
      </w:pPr>
      <w:r w:rsidRPr="00E8358C">
        <w:t>Il faut dire que la Révolution haïtienne a laissé aussi aux Haïtiens un héritage dessalinien – « koupe tèt, boule kay » [couper les têtes, brûler les maisons] – qui se voulait en rupture avec l’esclavage. Par cette injonction, Jean-Jacques Dessalines, le père de la Nation, voulait s’assurer de la destruction systématique du passé esclavagiste et des atrocités que les anciens esclaves avaient vécues. Même après l’Indépendance, la préparation stratégique et logistique contre un p</w:t>
      </w:r>
      <w:r w:rsidRPr="00E8358C">
        <w:t>o</w:t>
      </w:r>
      <w:r w:rsidRPr="00E8358C">
        <w:t>tentiel retour des Français préoccupait encore les esprits. Dans la Constitution impériale de 1805, Jean-Jacques Dessalines confirme sa détermination de conserver l’indépendance : « Au premier coup de canon, les villes disparaissent, la nation</w:t>
      </w:r>
      <w:r>
        <w:t xml:space="preserve"> [451]</w:t>
      </w:r>
      <w:r w:rsidRPr="00E8358C">
        <w:t xml:space="preserve"> est debout »</w:t>
      </w:r>
      <w:r>
        <w:t> </w:t>
      </w:r>
      <w:r>
        <w:rPr>
          <w:rStyle w:val="Appelnotedebasdep"/>
        </w:rPr>
        <w:footnoteReference w:id="1107"/>
      </w:r>
      <w:r w:rsidRPr="00E8358C">
        <w:t>. En ce qui concerne la geste de 1804 et après, l’immatériel prévaut dans la libe</w:t>
      </w:r>
      <w:r w:rsidRPr="00E8358C">
        <w:t>r</w:t>
      </w:r>
      <w:r w:rsidRPr="00E8358C">
        <w:t>té, tandis que la mémoire matérielle d’avant 1804 subit un érod</w:t>
      </w:r>
      <w:r w:rsidRPr="00E8358C">
        <w:t>a</w:t>
      </w:r>
      <w:r w:rsidRPr="00E8358C">
        <w:t xml:space="preserve">ge systématique (un </w:t>
      </w:r>
      <w:r w:rsidRPr="00E8358C">
        <w:rPr>
          <w:i/>
        </w:rPr>
        <w:t>déchoucage</w:t>
      </w:r>
      <w:r w:rsidRPr="00E8358C">
        <w:t>) en raison du conditionnement me</w:t>
      </w:r>
      <w:r w:rsidRPr="00E8358C">
        <w:t>n</w:t>
      </w:r>
      <w:r w:rsidRPr="00E8358C">
        <w:t>tal et de l’incapacité de l’État de préserver les lieux matériels et les mon</w:t>
      </w:r>
      <w:r w:rsidRPr="00E8358C">
        <w:t>u</w:t>
      </w:r>
      <w:r w:rsidRPr="00E8358C">
        <w:t xml:space="preserve">ments du passé colonial. </w:t>
      </w:r>
    </w:p>
    <w:p w:rsidR="004C50DC" w:rsidRPr="00E8358C" w:rsidRDefault="004C50DC" w:rsidP="004C50DC">
      <w:pPr>
        <w:spacing w:before="120" w:after="120"/>
        <w:jc w:val="both"/>
      </w:pPr>
      <w:r w:rsidRPr="00E8358C">
        <w:t>Outre la mémoire épique élaborée sur le plan étatique, les Haïtiens ont également procédé à un travail de mémoire rudimentaire, construit au premier degré par « monsieur tout le monde ». Chaque catégorie sociale (riches, pauvres, élites) en Haïti élabore sa propre mémoire de l’esclavage. Cette manière pour un peuple de se construire des m</w:t>
      </w:r>
      <w:r w:rsidRPr="00E8358C">
        <w:t>é</w:t>
      </w:r>
      <w:r w:rsidRPr="00E8358C">
        <w:t>moires est fondamentale dans la théorisation sur la patrimonialisation de la mémoire de l’esclavage. Dans ce contexte de travail de mémoire, l’État haïtien est pratiquement absent de la préservation des lieux et des mémoires revendiquées par les communautés locales parce qu’il a déjà fait ses choix de lieux et de dates à être commémorés. La cér</w:t>
      </w:r>
      <w:r w:rsidRPr="00E8358C">
        <w:t>é</w:t>
      </w:r>
      <w:r w:rsidRPr="00E8358C">
        <w:t>monie du Bois-Caïman (nuit du 14 au 15 août 1791) et l’insurrection générale des esclaves à Saint-Domingue (nuit du 22 au23 août 1791), l’État haïtien a choisi de ne plus les célébrer, cependant une frange de la société civile intellectuelle et des étudiants trouve de bonnes raisons patriotiques pour continuer à les commémorer. Ces intellectuels et étudiants pensent que l’élite politique haïtienne veut continuer à m</w:t>
      </w:r>
      <w:r w:rsidRPr="00E8358C">
        <w:t>a</w:t>
      </w:r>
      <w:r w:rsidRPr="00E8358C">
        <w:t>nipuler les mémoires en occultant la place du vodou dans la réussite de la Révolution haïtienne, car c’est la cérémonie du Bois-Caïman qui fut l’événement catalyseur de cette insurrection. Autre exemple, entre les personnages majeurs de cette histoire, Boukman, Jean-Jacques Dessalineset Toussaint Louverture, on constate que Boukman est pa</w:t>
      </w:r>
      <w:r w:rsidRPr="00E8358C">
        <w:t>s</w:t>
      </w:r>
      <w:r w:rsidRPr="00E8358C">
        <w:t xml:space="preserve">sé sous silence. </w:t>
      </w:r>
    </w:p>
    <w:p w:rsidR="004C50DC" w:rsidRPr="00E8358C" w:rsidRDefault="004C50DC" w:rsidP="004C50DC">
      <w:pPr>
        <w:spacing w:before="120" w:after="120"/>
        <w:jc w:val="both"/>
        <w:rPr>
          <w:b/>
        </w:rPr>
      </w:pPr>
      <w:r w:rsidRPr="00E8358C">
        <w:t xml:space="preserve">Plusieurs habitations et forts comme la Crête-à-Pierrot et l’habitation Lenormand </w:t>
      </w:r>
      <w:r w:rsidRPr="00792DC7">
        <w:t xml:space="preserve">de </w:t>
      </w:r>
      <w:r w:rsidRPr="00792DC7">
        <w:rPr>
          <w:iCs/>
        </w:rPr>
        <w:t>Mézy</w:t>
      </w:r>
      <w:r w:rsidRPr="00E8358C">
        <w:t xml:space="preserve"> où se déroula la cérémonie du Bois-Caïman sont sauvegardés par la population locale, bien qu’elles aient été déclarées d’utilité publique. Le travail de mémoire est rendu po</w:t>
      </w:r>
      <w:r w:rsidRPr="00E8358C">
        <w:t>s</w:t>
      </w:r>
      <w:r w:rsidRPr="00E8358C">
        <w:t>sible d’abord parce qu’il se réalise à un niveau mystique, étant donné que ces lieux sont porteurs de la mémoire de la religion populaire, le vodou. L’État haïtien ne protège pas les lieux de mémoire qui ne rev</w:t>
      </w:r>
      <w:r w:rsidRPr="00E8358C">
        <w:t>ê</w:t>
      </w:r>
      <w:r w:rsidRPr="00E8358C">
        <w:t>tent pas un intérêt immédiat à ses yeux, d’autant plus que sa situation</w:t>
      </w:r>
      <w:r>
        <w:t xml:space="preserve"> [452]</w:t>
      </w:r>
      <w:r w:rsidRPr="00E8358C">
        <w:t xml:space="preserve"> économique est précaire. Souvent, les populations locales, ha</w:t>
      </w:r>
      <w:r w:rsidRPr="00E8358C">
        <w:t>p</w:t>
      </w:r>
      <w:r w:rsidRPr="00E8358C">
        <w:t>pées elles aussi par une paupérisation extrême, ne parviennent pas d</w:t>
      </w:r>
      <w:r w:rsidRPr="00E8358C">
        <w:t>a</w:t>
      </w:r>
      <w:r w:rsidRPr="00E8358C">
        <w:t>vantage à transformer leur rêve de sauvegarde en réalité de valoris</w:t>
      </w:r>
      <w:r w:rsidRPr="00E8358C">
        <w:t>a</w:t>
      </w:r>
      <w:r w:rsidRPr="00E8358C">
        <w:t>tion de leurs mémoires. Le Comité national de la « Route de l’esclave » est également freiné dans ses intentions, car il a peu de l</w:t>
      </w:r>
      <w:r w:rsidRPr="00E8358C">
        <w:t>a</w:t>
      </w:r>
      <w:r w:rsidRPr="00E8358C">
        <w:t>titude dans le choix des activités et peu de soutien de l’État haïtien pour les réaliser.</w:t>
      </w:r>
    </w:p>
    <w:p w:rsidR="004C50DC" w:rsidRPr="00E8358C" w:rsidRDefault="004C50DC" w:rsidP="004C50DC">
      <w:pPr>
        <w:spacing w:before="120" w:after="120"/>
        <w:jc w:val="both"/>
      </w:pPr>
    </w:p>
    <w:p w:rsidR="004C50DC" w:rsidRPr="007A38A1" w:rsidRDefault="004C50DC" w:rsidP="004C50DC">
      <w:pPr>
        <w:pStyle w:val="a"/>
      </w:pPr>
      <w:bookmarkStart w:id="571" w:name="_Toc406489789"/>
      <w:bookmarkStart w:id="572" w:name="_Toc442280600"/>
      <w:r w:rsidRPr="007A38A1">
        <w:t>Identification en tant que descendants d’esclave</w:t>
      </w:r>
      <w:bookmarkEnd w:id="571"/>
      <w:r w:rsidRPr="007A38A1">
        <w:t>s</w:t>
      </w:r>
      <w:bookmarkEnd w:id="572"/>
    </w:p>
    <w:p w:rsidR="004C50DC" w:rsidRDefault="004C50DC" w:rsidP="004C50DC">
      <w:pPr>
        <w:spacing w:before="120" w:after="120"/>
        <w:jc w:val="both"/>
      </w:pPr>
    </w:p>
    <w:p w:rsidR="004C50DC" w:rsidRPr="00E8358C" w:rsidRDefault="004C50DC" w:rsidP="004C50DC">
      <w:pPr>
        <w:spacing w:before="120" w:after="120"/>
        <w:jc w:val="both"/>
      </w:pPr>
      <w:r w:rsidRPr="00E8358C">
        <w:t>Il est difficile de s’identifier à une catégorie typique. À propos de cette dynamique, Christine Chivallon parle de « mémoire incorp</w:t>
      </w:r>
      <w:r w:rsidRPr="00E8358C">
        <w:t>o</w:t>
      </w:r>
      <w:r w:rsidRPr="00E8358C">
        <w:t>rée »</w:t>
      </w:r>
      <w:r>
        <w:t> </w:t>
      </w:r>
      <w:r>
        <w:rPr>
          <w:rStyle w:val="Appelnotedebasdep"/>
        </w:rPr>
        <w:footnoteReference w:id="1108"/>
      </w:r>
      <w:r>
        <w:t xml:space="preserve"> </w:t>
      </w:r>
      <w:r w:rsidRPr="00E8358C">
        <w:t>faisant appel à des catégories larges : descendants d’esclaves, esclaves, descendants d’esclavagistes, esclavagistes, pour expliquer cette réalité identitaire en lien avec l’esclavage. Dans l’ensemble, les mémoires ne sont pas vues dans une proximité familiale ; on ne dit pas « mon aïeul était esclave sur une plantation ». Il ne s’agit pas non plus de récits individuels. L’absence de témoins directs nous oblige donc à amener les participants à jouer leur rôle de témoins indirects en s’appuyant sur leurs propres expériences del’esclavage ou sur des t</w:t>
      </w:r>
      <w:r w:rsidRPr="00E8358C">
        <w:t>é</w:t>
      </w:r>
      <w:r w:rsidRPr="00E8358C">
        <w:t xml:space="preserve">moignages reçus, ou encore sur des connaissances acquises à l’école ou dans leur environnement social immédiat. </w:t>
      </w:r>
    </w:p>
    <w:p w:rsidR="004C50DC" w:rsidRPr="00E8358C" w:rsidRDefault="004C50DC" w:rsidP="004C50DC">
      <w:pPr>
        <w:spacing w:before="120" w:after="120"/>
        <w:jc w:val="both"/>
      </w:pPr>
      <w:r w:rsidRPr="00E8358C">
        <w:t>Cette étude révèle que la question de faire des mémoires de l’esclavage des éléments de l’identité des descendants des victimes de l’esclavage est une question de choix. D’un côté, certains participants n’éprouvent aucune difficulté à se réclamer d’ancêtres esclaves ; c</w:t>
      </w:r>
      <w:r w:rsidRPr="00E8358C">
        <w:t>e</w:t>
      </w:r>
      <w:r w:rsidRPr="00E8358C">
        <w:t>pendant, peu de recherches généalogiques ont été réalisées pour r</w:t>
      </w:r>
      <w:r w:rsidRPr="00E8358C">
        <w:t>e</w:t>
      </w:r>
      <w:r w:rsidRPr="00E8358C">
        <w:t>monter jusqu’à ces ancêtres. D’unautre côté, la majorité des partic</w:t>
      </w:r>
      <w:r w:rsidRPr="00E8358C">
        <w:t>i</w:t>
      </w:r>
      <w:r w:rsidRPr="00E8358C">
        <w:t>pants à l’enquête préfèrent se réclamer d’une ascendance d’hommes libres, tels que Jean-Jacques Dessalines ou Alexandre Pétion. Par conséquent, la catégorisation d’identification – descendant d’esclaves ou descendant d’esclavagistes – n’existe pas officiellement dans l’espace social haïtien.</w:t>
      </w:r>
    </w:p>
    <w:p w:rsidR="004C50DC" w:rsidRPr="00E8358C" w:rsidRDefault="004C50DC" w:rsidP="004C50DC">
      <w:pPr>
        <w:spacing w:before="120" w:after="120"/>
        <w:jc w:val="both"/>
      </w:pPr>
      <w:r w:rsidRPr="00E8358C">
        <w:t>Sur les lieux de mémoire tels que les habitations coloniales et les forts, les avis des interlocuteurs rencontrés lors de notre enquête de terrain divergent, entre ceux qui y voient</w:t>
      </w:r>
      <w:r>
        <w:t xml:space="preserve"> [453]</w:t>
      </w:r>
      <w:r w:rsidRPr="00E8358C">
        <w:t xml:space="preserve"> des lieux de recueill</w:t>
      </w:r>
      <w:r w:rsidRPr="00E8358C">
        <w:t>e</w:t>
      </w:r>
      <w:r w:rsidRPr="00E8358C">
        <w:t xml:space="preserve">ment pour honorer les esclaves, des lieux de pédagogie historique et mémorielle, et d’autres qui leur attribuent un incontestable potentiel touristique. D’un côté ou de l’autre, c’est la pluralité de mémoires qui se manifeste. </w:t>
      </w:r>
    </w:p>
    <w:p w:rsidR="004C50DC" w:rsidRPr="00E8358C" w:rsidRDefault="004C50DC" w:rsidP="004C50DC">
      <w:pPr>
        <w:spacing w:before="120" w:after="120"/>
        <w:jc w:val="both"/>
      </w:pPr>
      <w:r w:rsidRPr="00E8358C">
        <w:t>Les fidèles vodouisants se réclament d’une ascendance d’esclaves et perçoivent, dans les vestiges des habitations coloniales et des fort</w:t>
      </w:r>
      <w:r w:rsidRPr="00E8358C">
        <w:t>i</w:t>
      </w:r>
      <w:r w:rsidRPr="00E8358C">
        <w:t xml:space="preserve">fications, des éléments propices à en faire des lieux de pèlerinage et d’organisation de cérémonies d’invocation des </w:t>
      </w:r>
      <w:r w:rsidRPr="00E8358C">
        <w:rPr>
          <w:i/>
        </w:rPr>
        <w:t>lwa</w:t>
      </w:r>
      <w:r w:rsidRPr="00E8358C">
        <w:t xml:space="preserve"> de leurs ancêtres esclaves afin qu’ils leur donnent leur force. Au sein de la culture ha</w:t>
      </w:r>
      <w:r w:rsidRPr="00E8358C">
        <w:t>ï</w:t>
      </w:r>
      <w:r w:rsidRPr="00E8358C">
        <w:t>tienne dans son ensemble, on découvre une palette d’identifications montrant qu’il n’existe pas de monopole de la définition de l’identité haïtienne par rapport à l’esclavage, et qu’il n’existe pas non plus une seule mémoire, mais des mémoires de l’esclavage qui cohabitent. L’appropriation ou la récupération des pratiques culturelles est une manifestation de la jouissance du droit de revendiquer une identité haïtienne en dehors de celle qui est reconnue et légitimée. Par exe</w:t>
      </w:r>
      <w:r w:rsidRPr="00E8358C">
        <w:t>m</w:t>
      </w:r>
      <w:r w:rsidRPr="00E8358C">
        <w:t xml:space="preserve">ple, des groupes d’artistes haïtiens comme « Racine Mapou de Azor » et « Boukman Eksperyans » créent une mouvance musicale </w:t>
      </w:r>
      <w:r w:rsidRPr="00E8358C">
        <w:rPr>
          <w:i/>
        </w:rPr>
        <w:t>mizik r</w:t>
      </w:r>
      <w:r w:rsidRPr="00E8358C">
        <w:rPr>
          <w:i/>
        </w:rPr>
        <w:t>a</w:t>
      </w:r>
      <w:r w:rsidRPr="00E8358C">
        <w:rPr>
          <w:i/>
        </w:rPr>
        <w:t>sin</w:t>
      </w:r>
      <w:r w:rsidRPr="00E8358C">
        <w:t xml:space="preserve"> (musique racine) qui s’inspire de leur héritage africain, et nota</w:t>
      </w:r>
      <w:r w:rsidRPr="00E8358C">
        <w:t>m</w:t>
      </w:r>
      <w:r w:rsidRPr="00E8358C">
        <w:t>ment du vodou. D’autres groupes culturels comme la troupe folklor</w:t>
      </w:r>
      <w:r w:rsidRPr="00E8358C">
        <w:t>i</w:t>
      </w:r>
      <w:r w:rsidRPr="00E8358C">
        <w:t xml:space="preserve">que nationale créée en 1949 se réfugient dans le corps de l’esclave et interprètent ses danses. Certains artistes représentent aussi la figure de l’esclave </w:t>
      </w:r>
      <w:r w:rsidRPr="00792DC7">
        <w:t>par</w:t>
      </w:r>
      <w:r w:rsidRPr="00E8358C">
        <w:t xml:space="preserve"> la peinture pour exprimer leur compréhension du passé colonial et le rapport qu’ils entretiennent avec celui-ci. </w:t>
      </w:r>
    </w:p>
    <w:p w:rsidR="004C50DC" w:rsidRPr="00E8358C" w:rsidRDefault="004C50DC" w:rsidP="004C50DC">
      <w:pPr>
        <w:spacing w:before="120" w:after="120"/>
        <w:jc w:val="both"/>
      </w:pPr>
      <w:r w:rsidRPr="00E8358C">
        <w:t>Par ailleurs, la méfiance de la population en général et de la masse paysanne en particulier à l’égard des élites politiques haïtiennes force les citoyens à adhérer à un discours mémoriel qui démystifie publ</w:t>
      </w:r>
      <w:r w:rsidRPr="00E8358C">
        <w:t>i</w:t>
      </w:r>
      <w:r w:rsidRPr="00E8358C">
        <w:t>quement le discours collectivement transmis et officiellement promu par l’État. Ils récusent ce discours qui s’impose comme celui de l’histoire de la trajectoire des esclaves et qui les oblige à se reconna</w:t>
      </w:r>
      <w:r w:rsidRPr="00E8358C">
        <w:t>î</w:t>
      </w:r>
      <w:r w:rsidRPr="00E8358C">
        <w:t>tre dans cette ascendance. Bien que certaines mémoires soient confli</w:t>
      </w:r>
      <w:r w:rsidRPr="00E8358C">
        <w:t>c</w:t>
      </w:r>
      <w:r w:rsidRPr="00E8358C">
        <w:t>tuelles autour du passé colonial esclavagiste, les Haïtiens continuent de réclamer des réparations pour les crimes de l’esclavage. La mémo</w:t>
      </w:r>
      <w:r w:rsidRPr="00E8358C">
        <w:t>i</w:t>
      </w:r>
      <w:r w:rsidRPr="00E8358C">
        <w:t>re douloureuse de ce passé s’oppose à la mémoire officielle de l’esclavage, même de manière souterraine. L’histoire qui a longtemps circulé ou qui a voulu donner une autre version des faits de la Révol</w:t>
      </w:r>
      <w:r w:rsidRPr="00E8358C">
        <w:t>u</w:t>
      </w:r>
      <w:r w:rsidRPr="00E8358C">
        <w:t xml:space="preserve">tion haïtienne contre l’ordre </w:t>
      </w:r>
      <w:r>
        <w:t xml:space="preserve">[454] </w:t>
      </w:r>
      <w:r w:rsidRPr="00E8358C">
        <w:t xml:space="preserve">esclavagiste et qui a catalogué les héros de l’Indépendance d’Haïti comme des assassins est largement rejetée. </w:t>
      </w:r>
    </w:p>
    <w:p w:rsidR="004C50DC" w:rsidRDefault="004C50DC" w:rsidP="004C50DC">
      <w:pPr>
        <w:spacing w:before="120" w:after="120"/>
        <w:jc w:val="both"/>
      </w:pPr>
      <w:r w:rsidRPr="00E8358C">
        <w:t>L’État haïtien est bien conscient de l’existence des mémoires pl</w:t>
      </w:r>
      <w:r w:rsidRPr="00E8358C">
        <w:t>u</w:t>
      </w:r>
      <w:r w:rsidRPr="00E8358C">
        <w:t>rielles de l’esclavage. Il a participé à la création et à l’organisation d’instances officielles telles que l’ISPAN et le Comité national de la « Route de l’esclave » qui se chargent du devoir de mémoire. Cepe</w:t>
      </w:r>
      <w:r w:rsidRPr="00E8358C">
        <w:t>n</w:t>
      </w:r>
      <w:r w:rsidRPr="00E8358C">
        <w:t>dant, les actions patrimoniales, en dépit des commémorations et des discours, restent enclavées. Certaines de ces mémoires sont même b</w:t>
      </w:r>
      <w:r w:rsidRPr="00E8358C">
        <w:t>a</w:t>
      </w:r>
      <w:r w:rsidRPr="00E8358C">
        <w:t>nalisées, notamment la place des femmes dans les luttes, qui pourrait remettre en cause le récit national haïtien particulièrement masculin</w:t>
      </w:r>
      <w:r w:rsidRPr="00E8358C">
        <w:t>i</w:t>
      </w:r>
      <w:r w:rsidRPr="00E8358C">
        <w:t>sé. Il paraît encore difficile aujourd’hui dans la société haïtienne de faire converger la mémoire collective et la mémoire officielle, et cette convergence, même si elle se concrétise, laissera toujours transparaître des points choquants comme la question de couleur, le rapport avec le pouvoir et le rapport entre les po</w:t>
      </w:r>
      <w:r>
        <w:t>ssédants et les non-possédants.</w:t>
      </w:r>
    </w:p>
    <w:p w:rsidR="004C50DC" w:rsidRPr="00E8358C" w:rsidRDefault="004C50DC" w:rsidP="004C50DC">
      <w:pPr>
        <w:spacing w:before="120" w:after="120"/>
        <w:jc w:val="both"/>
      </w:pPr>
    </w:p>
    <w:p w:rsidR="004C50DC" w:rsidRPr="007A38A1" w:rsidRDefault="004C50DC" w:rsidP="004C50DC">
      <w:pPr>
        <w:pStyle w:val="a"/>
      </w:pPr>
      <w:bookmarkStart w:id="573" w:name="_Toc406489790"/>
      <w:bookmarkStart w:id="574" w:name="_Toc442280601"/>
      <w:r w:rsidRPr="007A38A1">
        <w:t xml:space="preserve">Formes vivantes des mémoires </w:t>
      </w:r>
      <w:r>
        <w:br/>
      </w:r>
      <w:r w:rsidRPr="007A38A1">
        <w:t>et valorisation de la résistance à l’esclavage en Haïti</w:t>
      </w:r>
      <w:bookmarkEnd w:id="573"/>
      <w:bookmarkEnd w:id="574"/>
    </w:p>
    <w:p w:rsidR="004C50DC" w:rsidRDefault="004C50DC" w:rsidP="004C50DC">
      <w:pPr>
        <w:spacing w:before="120" w:after="120"/>
        <w:jc w:val="both"/>
      </w:pPr>
    </w:p>
    <w:p w:rsidR="004C50DC" w:rsidRPr="00E8358C" w:rsidRDefault="004C50DC" w:rsidP="004C50DC">
      <w:pPr>
        <w:spacing w:before="120" w:after="120"/>
        <w:jc w:val="both"/>
      </w:pPr>
      <w:r w:rsidRPr="00E8358C">
        <w:t>Haïti est la marque vivante d’une société « hyperconflictuelle ». Les formes vivantes des expressions des mémoires de l’esclavage a</w:t>
      </w:r>
      <w:r w:rsidRPr="00E8358C">
        <w:t>u</w:t>
      </w:r>
      <w:r w:rsidRPr="00E8358C">
        <w:t>jourd’hui se traduisent par des conflits continuels dans cette société. Le nationalisme haïtien a contrarié le travail de mémoire en le rés</w:t>
      </w:r>
      <w:r w:rsidRPr="00E8358C">
        <w:t>u</w:t>
      </w:r>
      <w:r w:rsidRPr="00E8358C">
        <w:t>mant à la mémoire épique, mais en même temps, il a préservé la s</w:t>
      </w:r>
      <w:r w:rsidRPr="00E8358C">
        <w:t>o</w:t>
      </w:r>
      <w:r w:rsidRPr="00E8358C">
        <w:t>ciété politique, car il a permis à Haïti d’élaborer un discours mémoriel et un discours national cohérents, ce double discours étant né avec l’Indépendance et ayant traversé tout le XIX</w:t>
      </w:r>
      <w:r w:rsidRPr="00E8358C">
        <w:rPr>
          <w:vertAlign w:val="superscript"/>
        </w:rPr>
        <w:t>e</w:t>
      </w:r>
      <w:r w:rsidRPr="00E8358C">
        <w:t xml:space="preserve"> siècle et le XX</w:t>
      </w:r>
      <w:r w:rsidRPr="00E8358C">
        <w:rPr>
          <w:vertAlign w:val="superscript"/>
        </w:rPr>
        <w:t>e</w:t>
      </w:r>
      <w:r w:rsidRPr="00E8358C">
        <w:t xml:space="preserve"> siècle jusqu’à François Duvalier qui l’a quelque peu perverti au profit de son régime. En effet, François Duvalier (1957-1971) s’est toujours affirmé comme un président nationaliste, mais en même temps il n’hésitait pas à négocier l’inaliénabilité du sol haïtien pour se maintenir au pouvoir. Donc, « le nationalisme est rarement le nationalisme de la nation ; il circonscrit plutôt le site sur lequel différentes représentations de la nation s’affrontent et négocient les unes avec les autres »</w:t>
      </w:r>
      <w:r>
        <w:t> </w:t>
      </w:r>
      <w:r>
        <w:rPr>
          <w:rStyle w:val="Appelnotedebasdep"/>
        </w:rPr>
        <w:footnoteReference w:id="1109"/>
      </w:r>
      <w:r w:rsidRPr="00E8358C">
        <w:t>, comme l’a signifié Prasenjit Duara.</w:t>
      </w:r>
    </w:p>
    <w:p w:rsidR="004C50DC" w:rsidRDefault="004C50DC" w:rsidP="004C50DC">
      <w:pPr>
        <w:spacing w:before="120" w:after="120"/>
        <w:jc w:val="both"/>
      </w:pPr>
      <w:r>
        <w:t>[455]</w:t>
      </w:r>
    </w:p>
    <w:p w:rsidR="004C50DC" w:rsidRPr="00E8358C" w:rsidRDefault="004C50DC" w:rsidP="004C50DC">
      <w:pPr>
        <w:spacing w:before="120" w:after="120"/>
        <w:jc w:val="both"/>
      </w:pPr>
      <w:r w:rsidRPr="00E8358C">
        <w:t>En revanche, après la chute des Duvalier en 1986, tout ce qui était lié au nationalisme s’est pratiquement effrité en Haïti. La gauche ha</w:t>
      </w:r>
      <w:r w:rsidRPr="00E8358C">
        <w:t>ï</w:t>
      </w:r>
      <w:r w:rsidRPr="00E8358C">
        <w:t>tienne, depuis 1986, a projeté un discours moral condamnant tout type de nationalisme, ce qui a provoqué jusqu’à aujourd’hui une situation de refoulement de la mémoire dans la société. Ce discours de plus en plus dénationalisé était censé contrer le nationalisme héroïque récup</w:t>
      </w:r>
      <w:r w:rsidRPr="00E8358C">
        <w:t>é</w:t>
      </w:r>
      <w:r w:rsidRPr="00E8358C">
        <w:t>ré par le duvaliérisme ; ce faisant, il n’a pas fait que rejeter catégor</w:t>
      </w:r>
      <w:r w:rsidRPr="00E8358C">
        <w:t>i</w:t>
      </w:r>
      <w:r w:rsidRPr="00E8358C">
        <w:t>quement le duvaliérisme, il a provoqué aussi le rejet de toute la m</w:t>
      </w:r>
      <w:r w:rsidRPr="00E8358C">
        <w:t>é</w:t>
      </w:r>
      <w:r w:rsidRPr="00E8358C">
        <w:t>moire liée au passé colonial, et celle-ci en a été affectée. De cette te</w:t>
      </w:r>
      <w:r w:rsidRPr="00E8358C">
        <w:t>n</w:t>
      </w:r>
      <w:r w:rsidRPr="00E8358C">
        <w:t>dance ont émergé des courants politiques tels que « Lavalasse », ainsi que l’arrivée au pouvoir de Joseph Michel Martelly (</w:t>
      </w:r>
      <w:r w:rsidRPr="00E8358C">
        <w:rPr>
          <w:i/>
        </w:rPr>
        <w:t>tèt kale</w:t>
      </w:r>
      <w:r w:rsidRPr="00E8358C">
        <w:t>) qui r</w:t>
      </w:r>
      <w:r w:rsidRPr="00E8358C">
        <w:t>e</w:t>
      </w:r>
      <w:r w:rsidRPr="00E8358C">
        <w:t>jette pratiquement le passé haïtien. Les chefs de gouvernement persi</w:t>
      </w:r>
      <w:r w:rsidRPr="00E8358C">
        <w:t>s</w:t>
      </w:r>
      <w:r w:rsidRPr="00E8358C">
        <w:t>tent à déclarer fièrement : « Depuis plus de 200 ans, on n’a rien fait dans ce pays... Depuis 200 ans, c’est la première fois qu’on va faire ci ou ça, etc. ». On tend à banaliser le discours portant sur le passé col</w:t>
      </w:r>
      <w:r w:rsidRPr="00E8358C">
        <w:t>o</w:t>
      </w:r>
      <w:r w:rsidRPr="00E8358C">
        <w:t>nial esclavagiste. Aujourd’hui, c’est un discours antinationaliste, anti-mémoriel et antihistorique qui prend de l’ampleur dans la société ha</w:t>
      </w:r>
      <w:r w:rsidRPr="00E8358C">
        <w:t>ï</w:t>
      </w:r>
      <w:r w:rsidRPr="00E8358C">
        <w:t>tienne. Cette posture n’a pas contribué non plus à fortifier la patrim</w:t>
      </w:r>
      <w:r w:rsidRPr="00E8358C">
        <w:t>o</w:t>
      </w:r>
      <w:r w:rsidRPr="00E8358C">
        <w:t>nialisation de l’espace sociohistorique et mémoriel de l’esclavage.</w:t>
      </w:r>
    </w:p>
    <w:p w:rsidR="004C50DC" w:rsidRPr="00E8358C" w:rsidRDefault="004C50DC" w:rsidP="004C50DC">
      <w:pPr>
        <w:spacing w:before="120" w:after="120"/>
        <w:jc w:val="both"/>
        <w:rPr>
          <w:bCs/>
        </w:rPr>
      </w:pPr>
      <w:r w:rsidRPr="00E8358C">
        <w:t xml:space="preserve">Cette thèse nous a permis d’inventorier des mémoires distinctes qui se superposent autour de l’esclavage en Haïti : </w:t>
      </w:r>
      <w:r w:rsidRPr="00792DC7">
        <w:t xml:space="preserve">mémoire de fierté, mémoire de culpabilité, mémoire de </w:t>
      </w:r>
      <w:r w:rsidRPr="00E8358C">
        <w:t>victimisation et mémoire de r</w:t>
      </w:r>
      <w:r w:rsidRPr="00E8358C">
        <w:t>é</w:t>
      </w:r>
      <w:r w:rsidRPr="00E8358C">
        <w:t>conciliation. Le silence sur le passé, qu’évoque Michel-Rolph Trouil</w:t>
      </w:r>
      <w:r w:rsidRPr="00E8358C">
        <w:t>l</w:t>
      </w:r>
      <w:r w:rsidRPr="00E8358C">
        <w:t>lot</w:t>
      </w:r>
      <w:r>
        <w:t> </w:t>
      </w:r>
      <w:r>
        <w:rPr>
          <w:rStyle w:val="Appelnotedebasdep"/>
        </w:rPr>
        <w:footnoteReference w:id="1110"/>
      </w:r>
      <w:r w:rsidRPr="00E8358C">
        <w:t>, les problèmes irrésolus, les questions laissées sans réponses, la manipulation idéologique et l’instrumentalisation de l’histoire faço</w:t>
      </w:r>
      <w:r w:rsidRPr="00E8358C">
        <w:t>n</w:t>
      </w:r>
      <w:r w:rsidRPr="00E8358C">
        <w:t xml:space="preserve">nent cette société. </w:t>
      </w:r>
      <w:r w:rsidRPr="00E8358C">
        <w:rPr>
          <w:bCs/>
        </w:rPr>
        <w:t>Cela revient à dire que pour patrimonialiser les mémoires de l’esclavage, il faut en éclairer la base historique et les faits, mais aussi reconnaître que l’aire géographique et sociale ha</w:t>
      </w:r>
      <w:r w:rsidRPr="00E8358C">
        <w:rPr>
          <w:bCs/>
        </w:rPr>
        <w:t>ï</w:t>
      </w:r>
      <w:r w:rsidRPr="00E8358C">
        <w:rPr>
          <w:bCs/>
        </w:rPr>
        <w:t xml:space="preserve">tienne est profondément structurée par l’héritage de l’esclavage.  </w:t>
      </w:r>
    </w:p>
    <w:p w:rsidR="004C50DC" w:rsidRPr="00E8358C" w:rsidRDefault="004C50DC" w:rsidP="004C50DC">
      <w:pPr>
        <w:spacing w:before="120" w:after="120"/>
        <w:jc w:val="both"/>
        <w:rPr>
          <w:bCs/>
        </w:rPr>
      </w:pPr>
      <w:r w:rsidRPr="00E8358C">
        <w:rPr>
          <w:bCs/>
        </w:rPr>
        <w:t>Évidemment, chaque peuple construit son identité à partir de son histoire, de ses mémoires  et de ce qu’il en fait. Les esclaves de la c</w:t>
      </w:r>
      <w:r w:rsidRPr="00E8358C">
        <w:rPr>
          <w:bCs/>
        </w:rPr>
        <w:t>o</w:t>
      </w:r>
      <w:r w:rsidRPr="00E8358C">
        <w:rPr>
          <w:bCs/>
        </w:rPr>
        <w:t>lonie de Saint-Domingue, qui allaient devenir par la suite des Ha</w:t>
      </w:r>
      <w:r w:rsidRPr="00E8358C">
        <w:rPr>
          <w:bCs/>
        </w:rPr>
        <w:t>ï</w:t>
      </w:r>
      <w:r w:rsidRPr="00E8358C">
        <w:rPr>
          <w:bCs/>
        </w:rPr>
        <w:t>tiens, ont fait preuve d’une résistance culturelle sans commune mesure dont l’histoire de l’humanité conserve encore l’empreinte. Les actes de subversion, de créativité et d’adaptation stratégique sont des pre</w:t>
      </w:r>
      <w:r w:rsidRPr="00E8358C">
        <w:rPr>
          <w:bCs/>
        </w:rPr>
        <w:t>u</w:t>
      </w:r>
      <w:r w:rsidRPr="00E8358C">
        <w:rPr>
          <w:bCs/>
        </w:rPr>
        <w:t xml:space="preserve">ves de cette résistance à l’esclavage, et </w:t>
      </w:r>
      <w:r>
        <w:rPr>
          <w:bCs/>
        </w:rPr>
        <w:t xml:space="preserve">[456] </w:t>
      </w:r>
      <w:r w:rsidRPr="00E8358C">
        <w:rPr>
          <w:bCs/>
        </w:rPr>
        <w:t xml:space="preserve">ceux-ci restent présents dans tous les domaines de la culture comme le vodou, les rythmes musicaux </w:t>
      </w:r>
      <w:r w:rsidRPr="00E8358C">
        <w:t xml:space="preserve">(yanvalou, nago, ibo, kongo, pétro), </w:t>
      </w:r>
      <w:r w:rsidRPr="00E8358C">
        <w:rPr>
          <w:bCs/>
        </w:rPr>
        <w:t>le rara, etc., voire dans le domaine de la cuisine</w:t>
      </w:r>
      <w:r>
        <w:rPr>
          <w:bCs/>
        </w:rPr>
        <w:t> </w:t>
      </w:r>
      <w:r>
        <w:rPr>
          <w:rStyle w:val="Appelnotedebasdep"/>
          <w:bCs/>
        </w:rPr>
        <w:footnoteReference w:id="1111"/>
      </w:r>
      <w:r w:rsidRPr="00E8358C">
        <w:rPr>
          <w:bCs/>
        </w:rPr>
        <w:t>. C’est ce que Doudou Diène appelle « inventer pour survivre »</w:t>
      </w:r>
      <w:r>
        <w:rPr>
          <w:bCs/>
        </w:rPr>
        <w:t> </w:t>
      </w:r>
      <w:r>
        <w:rPr>
          <w:rStyle w:val="Appelnotedebasdep"/>
          <w:bCs/>
        </w:rPr>
        <w:footnoteReference w:id="1112"/>
      </w:r>
      <w:r w:rsidRPr="00E8358C">
        <w:rPr>
          <w:bCs/>
        </w:rPr>
        <w:t>. La culture est un outil de révolution et de changement profond. Avec l’aide de la musique, de la danse, de leur culte vodou, de la langue créole, les esclaves de Saint-Domingue ont organisé la révolution en exploitant la faiblesse des esclavagistes aveuglés par leurs préjugés. Les formes d’expression artistique y étaient des formes de résistance. Tout l’espace géographique des Amériques et des Caraïbes est marqué par ces cultures comme au Br</w:t>
      </w:r>
      <w:r w:rsidRPr="00E8358C">
        <w:rPr>
          <w:bCs/>
        </w:rPr>
        <w:t>é</w:t>
      </w:r>
      <w:r w:rsidRPr="00E8358C">
        <w:rPr>
          <w:bCs/>
        </w:rPr>
        <w:t>sil, à Cuba et à la Jamaïque. Par conséquent, parallèlement à la rési</w:t>
      </w:r>
      <w:r w:rsidRPr="00E8358C">
        <w:rPr>
          <w:bCs/>
        </w:rPr>
        <w:t>s</w:t>
      </w:r>
      <w:r w:rsidRPr="00E8358C">
        <w:rPr>
          <w:bCs/>
        </w:rPr>
        <w:t>tance historique, il y a lieu de considérer aussi les expressions de la résistance culturelle</w:t>
      </w:r>
      <w:r>
        <w:rPr>
          <w:bCs/>
        </w:rPr>
        <w:t> </w:t>
      </w:r>
      <w:r>
        <w:rPr>
          <w:rStyle w:val="Appelnotedebasdep"/>
          <w:bCs/>
        </w:rPr>
        <w:footnoteReference w:id="1113"/>
      </w:r>
      <w:r w:rsidRPr="00E8358C">
        <w:rPr>
          <w:bCs/>
        </w:rPr>
        <w:t xml:space="preserve"> et mémorielle. </w:t>
      </w:r>
    </w:p>
    <w:p w:rsidR="004C50DC" w:rsidRPr="00E8358C" w:rsidRDefault="004C50DC" w:rsidP="004C50DC">
      <w:pPr>
        <w:spacing w:before="120" w:after="120"/>
        <w:jc w:val="both"/>
      </w:pPr>
      <w:r w:rsidRPr="00E8358C">
        <w:t>Toutefois, certains éléments de la mémoire de l’esclavage dema</w:t>
      </w:r>
      <w:r w:rsidRPr="00E8358C">
        <w:t>n</w:t>
      </w:r>
      <w:r w:rsidRPr="00E8358C">
        <w:t>deraient à être distingués, notamment le créole. On ne peut pas cons</w:t>
      </w:r>
      <w:r w:rsidRPr="00E8358C">
        <w:t>i</w:t>
      </w:r>
      <w:r w:rsidRPr="00E8358C">
        <w:t>dérer le créole uniquement comme une forme de résistance. C’est au</w:t>
      </w:r>
      <w:r w:rsidRPr="00E8358C">
        <w:t>s</w:t>
      </w:r>
      <w:r w:rsidRPr="00E8358C">
        <w:t>si une forme de « transculturation » comme disait l’anthropologue cubain Fernando Ortiz</w:t>
      </w:r>
      <w:r>
        <w:t> </w:t>
      </w:r>
      <w:r>
        <w:rPr>
          <w:rStyle w:val="Appelnotedebasdep"/>
        </w:rPr>
        <w:footnoteReference w:id="1114"/>
      </w:r>
      <w:r w:rsidRPr="00E8358C">
        <w:t>. La langue créole est née dans une situation où les esclaves avaient besoin de comprendre le maître, de parler avec lui et surtout de parler entre eux. C’est ainsi qu’ils ont forgé une no</w:t>
      </w:r>
      <w:r w:rsidRPr="00E8358C">
        <w:t>u</w:t>
      </w:r>
      <w:r w:rsidRPr="00E8358C">
        <w:t>velle langue. La question de la résistance ne veut pas forcément dire que les Haïtiens doivent toujours se placer en position d’opposition. Il faut voir le côté positif des choses, dont la création de la langue cré</w:t>
      </w:r>
      <w:r w:rsidRPr="00E8358C">
        <w:t>o</w:t>
      </w:r>
      <w:r w:rsidRPr="00E8358C">
        <w:t xml:space="preserve">le. </w:t>
      </w:r>
    </w:p>
    <w:p w:rsidR="004C50DC" w:rsidRPr="00E8358C" w:rsidRDefault="004C50DC" w:rsidP="004C50DC">
      <w:pPr>
        <w:spacing w:before="120" w:after="120"/>
        <w:jc w:val="both"/>
        <w:rPr>
          <w:lang w:eastAsia="en-CA"/>
        </w:rPr>
      </w:pPr>
      <w:r w:rsidRPr="00E8358C">
        <w:rPr>
          <w:lang w:eastAsia="ja-JP"/>
        </w:rPr>
        <w:t>Les pratiques culturelles issues du colonialisme forment la base identitaire haïtienne. Elles sont nées soit dans les plantations, soit au moment du marronnage ou lors des luttes contre le système esclav</w:t>
      </w:r>
      <w:r w:rsidRPr="00E8358C">
        <w:rPr>
          <w:lang w:eastAsia="ja-JP"/>
        </w:rPr>
        <w:t>a</w:t>
      </w:r>
      <w:r w:rsidRPr="00E8358C">
        <w:rPr>
          <w:lang w:eastAsia="ja-JP"/>
        </w:rPr>
        <w:t xml:space="preserve">giste. </w:t>
      </w:r>
      <w:r w:rsidRPr="00E8358C">
        <w:rPr>
          <w:bCs/>
        </w:rPr>
        <w:t>La culture haïtienne tire en partie ses particularités d’intégration, de synthèse, de contre-culture dominante, de constru</w:t>
      </w:r>
      <w:r w:rsidRPr="00E8358C">
        <w:rPr>
          <w:bCs/>
        </w:rPr>
        <w:t>c</w:t>
      </w:r>
      <w:r w:rsidRPr="00E8358C">
        <w:rPr>
          <w:bCs/>
        </w:rPr>
        <w:t>tion permanente et de vitalité de ce passé. Cette vitalité se concentre davantage sur l’éthique que sur l’esthétique et s’exprime dans le v</w:t>
      </w:r>
      <w:r w:rsidRPr="00E8358C">
        <w:rPr>
          <w:bCs/>
        </w:rPr>
        <w:t>o</w:t>
      </w:r>
      <w:r w:rsidRPr="00E8358C">
        <w:rPr>
          <w:bCs/>
        </w:rPr>
        <w:t xml:space="preserve">dou, dans le </w:t>
      </w:r>
      <w:r w:rsidRPr="00E8358C">
        <w:rPr>
          <w:bCs/>
          <w:i/>
        </w:rPr>
        <w:t>rara</w:t>
      </w:r>
      <w:r w:rsidRPr="00E8358C">
        <w:rPr>
          <w:bCs/>
        </w:rPr>
        <w:t xml:space="preserve">, dans la peinture naïve. L’éthique est mise au service de la libération, de la revendication et de la résistance. </w:t>
      </w:r>
      <w:r w:rsidRPr="00E8358C">
        <w:t>Les esclaves ont créé la langue créole</w:t>
      </w:r>
      <w:r>
        <w:t xml:space="preserve"> [457]</w:t>
      </w:r>
      <w:r w:rsidRPr="00E8358C">
        <w:t xml:space="preserve"> pour communiquer et chanter leur do</w:t>
      </w:r>
      <w:r w:rsidRPr="00E8358C">
        <w:t>u</w:t>
      </w:r>
      <w:r w:rsidRPr="00E8358C">
        <w:t>leur et leur espoir. Ils ont pu également apporter à la langue française un accent haïtien comme signe d’une appropriation réelle de la langue coloniale. N’est-il pas vrai que l</w:t>
      </w:r>
      <w:r w:rsidRPr="00E8358C">
        <w:rPr>
          <w:lang w:eastAsia="en-CA"/>
        </w:rPr>
        <w:t>a francophonie doit encourager l’enseignement et les usages plus dynamiques du français a</w:t>
      </w:r>
      <w:r w:rsidRPr="00E8358C">
        <w:rPr>
          <w:lang w:eastAsia="en-CA"/>
        </w:rPr>
        <w:t>u</w:t>
      </w:r>
      <w:r w:rsidRPr="00E8358C">
        <w:rPr>
          <w:lang w:eastAsia="en-CA"/>
        </w:rPr>
        <w:t>jourd’hui ?</w:t>
      </w:r>
    </w:p>
    <w:p w:rsidR="004C50DC" w:rsidRPr="00E8358C" w:rsidRDefault="004C50DC" w:rsidP="004C50DC">
      <w:pPr>
        <w:spacing w:before="120" w:after="120"/>
        <w:jc w:val="both"/>
      </w:pPr>
      <w:r w:rsidRPr="00E8358C">
        <w:t>Depuis quelques années, on constate une muséification des mémo</w:t>
      </w:r>
      <w:r w:rsidRPr="00E8358C">
        <w:t>i</w:t>
      </w:r>
      <w:r w:rsidRPr="00E8358C">
        <w:t>res de l’esclavage en Haïti qui peut être à la fois choquante et pleine d’enseignements. Par exemple, dans les musées créés sur d’anciennes habitations tels que le Parc historique de la canne à sucre et le musée Ogier-Fombrun, qui se revendiquent musées d’apologie de mémoire coloniale et esclavagiste, on note une certaine volonté de développer une muséographie structurée par le binôme conceptuel « esclavage et réalisations familiales » durant et après la colonisation. Certes, il est toujours difficile d’échapper à cette combinaison quand ce sont les héritiers qui interviennent pour mettre en valeur un site privé. Mais dans les faits, le visiteur est maintenu dans l’univers des mémoires de l’esclavage en Haïti tandis que les conséquences sociales de l’esclavage sont absentes de ces expositions. L’aspect le plus impo</w:t>
      </w:r>
      <w:r w:rsidRPr="00E8358C">
        <w:t>r</w:t>
      </w:r>
      <w:r w:rsidRPr="00E8358C">
        <w:t xml:space="preserve">tant, la résistance à l’esclavage, y est mystérieusement occulté, alors qu’il est pourtant difficile de parler de la canne à sucre sans évoquer les réalités de l’esclavage, de la résistance et de la guerre contre l’esclavage. En dépit de ces remarques, ces musées nous parlent énormément, car ils sont construits </w:t>
      </w:r>
      <w:r w:rsidRPr="00E8358C">
        <w:rPr>
          <w:i/>
        </w:rPr>
        <w:t>in situ,</w:t>
      </w:r>
      <w:r w:rsidRPr="00E8358C">
        <w:t xml:space="preserve"> sur d’anciennes habitations coloniales, et exposent des objets qui aident à comprendre des aspects de l’organisation sociale et économique de la colonie de Saint-Domingue. </w:t>
      </w:r>
    </w:p>
    <w:p w:rsidR="004C50DC" w:rsidRDefault="004C50DC" w:rsidP="004C50DC">
      <w:pPr>
        <w:spacing w:before="120" w:after="120"/>
        <w:jc w:val="both"/>
      </w:pPr>
      <w:r w:rsidRPr="00E8358C">
        <w:t>Le Musée du panthéon national s’inscrit davantage dans l’ordre de la valorisation de la résistance et de la guerre contre l’esclavage. Par exemple, dans l’exposition permanente consacrée à l’histoire d’Haïti, c’est la figure héroïque de la mémoire qui y est surtout patrimonial</w:t>
      </w:r>
      <w:r w:rsidRPr="00E8358C">
        <w:t>i</w:t>
      </w:r>
      <w:r w:rsidRPr="00E8358C">
        <w:t>sée, comme le veut l’État haïtien. En général, en Haïti, on a deux fo</w:t>
      </w:r>
      <w:r w:rsidRPr="00E8358C">
        <w:t>r</w:t>
      </w:r>
      <w:r w:rsidRPr="00E8358C">
        <w:t>mes de mise en scène commémorative, celle des autorités étatiques et celle des communautés. Dans les deux cas, le récit historique et m</w:t>
      </w:r>
      <w:r w:rsidRPr="00E8358C">
        <w:t>é</w:t>
      </w:r>
      <w:r w:rsidRPr="00E8358C">
        <w:t xml:space="preserve">moriel d’Haïti est présenté comme un passé glorieux en recourant àdes modèles typiquement nationalistes. La </w:t>
      </w:r>
      <w:r w:rsidRPr="00E8358C">
        <w:rPr>
          <w:bCs/>
        </w:rPr>
        <w:t>culture de résistance qui a largement marqué les mémoires de l’esclavage est moins mise en l</w:t>
      </w:r>
      <w:r w:rsidRPr="00E8358C">
        <w:rPr>
          <w:bCs/>
        </w:rPr>
        <w:t>u</w:t>
      </w:r>
      <w:r w:rsidRPr="00E8358C">
        <w:rPr>
          <w:bCs/>
        </w:rPr>
        <w:t>mière. Les commémorations sont aussi des occasions de revendic</w:t>
      </w:r>
      <w:r w:rsidRPr="00E8358C">
        <w:rPr>
          <w:bCs/>
        </w:rPr>
        <w:t>a</w:t>
      </w:r>
      <w:r w:rsidRPr="00E8358C">
        <w:rPr>
          <w:bCs/>
        </w:rPr>
        <w:t xml:space="preserve">tions. </w:t>
      </w:r>
      <w:r w:rsidRPr="00E8358C">
        <w:t xml:space="preserve">En ce sens, Francis Dupuy et </w:t>
      </w:r>
      <w:r>
        <w:t xml:space="preserve">[458] </w:t>
      </w:r>
      <w:r w:rsidRPr="00E8358C">
        <w:t>Rafaël Lucas soulignent avec raison que « chaque commémoration a généré son lot de frustr</w:t>
      </w:r>
      <w:r w:rsidRPr="00E8358C">
        <w:t>a</w:t>
      </w:r>
      <w:r w:rsidRPr="00E8358C">
        <w:t>tion »</w:t>
      </w:r>
      <w:r>
        <w:t> </w:t>
      </w:r>
      <w:r>
        <w:rPr>
          <w:rStyle w:val="Appelnotedebasdep"/>
        </w:rPr>
        <w:footnoteReference w:id="1115"/>
      </w:r>
      <w:r w:rsidRPr="00E8358C">
        <w:t>.</w:t>
      </w:r>
      <w:r w:rsidRPr="00E8358C">
        <w:rPr>
          <w:bCs/>
        </w:rPr>
        <w:t xml:space="preserve"> En principe, les Haïtiens continuent d’utiliser leur intellige</w:t>
      </w:r>
      <w:r w:rsidRPr="00E8358C">
        <w:rPr>
          <w:bCs/>
        </w:rPr>
        <w:t>n</w:t>
      </w:r>
      <w:r w:rsidRPr="00E8358C">
        <w:rPr>
          <w:bCs/>
        </w:rPr>
        <w:t>ce, leur cœur, leur culture et leur solidarité pour résister à la domin</w:t>
      </w:r>
      <w:r w:rsidRPr="00E8358C">
        <w:rPr>
          <w:bCs/>
        </w:rPr>
        <w:t>a</w:t>
      </w:r>
      <w:r w:rsidRPr="00E8358C">
        <w:rPr>
          <w:bCs/>
        </w:rPr>
        <w:t xml:space="preserve">tion des élites dirigeantes. </w:t>
      </w:r>
      <w:r w:rsidRPr="00E8358C">
        <w:t>Ce qui est intéressant en matière de patr</w:t>
      </w:r>
      <w:r w:rsidRPr="00E8358C">
        <w:t>i</w:t>
      </w:r>
      <w:r w:rsidRPr="00E8358C">
        <w:t>moine mémoriel et dans le cas haïtien particulièrement, c’est que les citoyens, en même temps qu’ils s’approprient les mémoires officielles, construisent aussi d’autres mémoires à partir d’autres réminiscences</w:t>
      </w:r>
      <w:r>
        <w:t xml:space="preserve"> dans les luttes qu’ils mènent.</w:t>
      </w:r>
    </w:p>
    <w:p w:rsidR="004C50DC" w:rsidRPr="00E8358C" w:rsidRDefault="004C50DC" w:rsidP="004C50DC">
      <w:pPr>
        <w:spacing w:before="120" w:after="120"/>
        <w:jc w:val="both"/>
        <w:rPr>
          <w:bCs/>
        </w:rPr>
      </w:pPr>
    </w:p>
    <w:p w:rsidR="004C50DC" w:rsidRPr="00767A84" w:rsidRDefault="004C50DC" w:rsidP="004C50DC">
      <w:pPr>
        <w:pStyle w:val="a"/>
      </w:pPr>
      <w:bookmarkStart w:id="575" w:name="_Toc406489791"/>
      <w:bookmarkStart w:id="576" w:name="_Toc442280602"/>
      <w:r w:rsidRPr="00767A84">
        <w:t xml:space="preserve">Action patrimoniale et enseignement </w:t>
      </w:r>
      <w:r>
        <w:br/>
      </w:r>
      <w:r w:rsidRPr="00767A84">
        <w:t>de la mémoire de l’esclavage</w:t>
      </w:r>
      <w:bookmarkEnd w:id="575"/>
      <w:bookmarkEnd w:id="576"/>
    </w:p>
    <w:p w:rsidR="004C50DC" w:rsidRDefault="004C50DC" w:rsidP="004C50DC">
      <w:pPr>
        <w:spacing w:before="120" w:after="120"/>
        <w:jc w:val="both"/>
      </w:pPr>
    </w:p>
    <w:p w:rsidR="004C50DC" w:rsidRPr="00E8358C" w:rsidRDefault="004C50DC" w:rsidP="004C50DC">
      <w:pPr>
        <w:spacing w:before="120" w:after="120"/>
        <w:jc w:val="both"/>
      </w:pPr>
      <w:r w:rsidRPr="00E8358C">
        <w:t>Comme action patrimoniale, la « Route de l’esclave » paraît un peu ambiguë, car la signification et les approches mémorielles de l’esclavage sont différentes en Europe, dans les Caraïbes, aux Amér</w:t>
      </w:r>
      <w:r w:rsidRPr="00E8358C">
        <w:t>i</w:t>
      </w:r>
      <w:r w:rsidRPr="00E8358C">
        <w:t>ques et en Afrique. Notre participation au séminaire pour le renforc</w:t>
      </w:r>
      <w:r w:rsidRPr="00E8358C">
        <w:t>e</w:t>
      </w:r>
      <w:r w:rsidRPr="00E8358C">
        <w:t>ment du projet de la « Route de l’esclave » de l’UNESCO à Saint-Kitts-et-Nevis, les 7 et 8 juillet 2015</w:t>
      </w:r>
      <w:r>
        <w:t> </w:t>
      </w:r>
      <w:r>
        <w:rPr>
          <w:rStyle w:val="Appelnotedebasdep"/>
        </w:rPr>
        <w:footnoteReference w:id="1116"/>
      </w:r>
      <w:r w:rsidRPr="00E8358C">
        <w:t>, nous a permis de constater que le choix de mise en valeur des vestiges coloniaux dans ce pays veut satisfaire de plus en plus une clientèle touristique et qu’il fait re</w:t>
      </w:r>
      <w:r w:rsidRPr="00E8358C">
        <w:t>s</w:t>
      </w:r>
      <w:r w:rsidRPr="00E8358C">
        <w:t>sortir les moments de gloire et de prospérité de l’île. L’esclave, pe</w:t>
      </w:r>
      <w:r w:rsidRPr="00E8358C">
        <w:t>r</w:t>
      </w:r>
      <w:r w:rsidRPr="00E8358C">
        <w:t>sonnage central du projet de la « Route de l’esclave », en est presque absent. Au Bénin, le lancement de ce programme a provoqué des p</w:t>
      </w:r>
      <w:r w:rsidRPr="00E8358C">
        <w:t>o</w:t>
      </w:r>
      <w:r w:rsidRPr="00E8358C">
        <w:t>lémiques entre les descendants de négriers et les descendants d’esclaves. En Haïti, les polémiques sont également considérables, même si elles ne sont pas la résultante de ce projet. Elles sont plutôt le fruit des ra</w:t>
      </w:r>
      <w:r w:rsidRPr="00E8358C">
        <w:t>p</w:t>
      </w:r>
      <w:r w:rsidRPr="00E8358C">
        <w:t>ports sociaux et des conséquences de la colonisation. Les discours sur l’esclavage au sein de la société haïtienne s’inscrivent dans des pol</w:t>
      </w:r>
      <w:r w:rsidRPr="00E8358C">
        <w:t>é</w:t>
      </w:r>
      <w:r w:rsidRPr="00E8358C">
        <w:t>miques anticolonialistes et antiesclavagistes, des polémiques antis</w:t>
      </w:r>
      <w:r w:rsidRPr="00E8358C">
        <w:t>é</w:t>
      </w:r>
      <w:r w:rsidRPr="00E8358C">
        <w:t>grégationnistes et nourrissent le débat anticorruption et contre la d</w:t>
      </w:r>
      <w:r w:rsidRPr="00E8358C">
        <w:t>o</w:t>
      </w:r>
      <w:r w:rsidRPr="00E8358C">
        <w:t>mination d’une élite. Les enjeux sont aussi clairs et v</w:t>
      </w:r>
      <w:r w:rsidRPr="00E8358C">
        <w:t>a</w:t>
      </w:r>
      <w:r w:rsidRPr="00E8358C">
        <w:t>riés : enjeux historiques et mnémoniques, enjeux culturels et religieux, enjeux s</w:t>
      </w:r>
      <w:r w:rsidRPr="00E8358C">
        <w:t>o</w:t>
      </w:r>
      <w:r w:rsidRPr="00E8358C">
        <w:t xml:space="preserve">ciaux et politiques, enjeux économiques. </w:t>
      </w:r>
    </w:p>
    <w:p w:rsidR="004C50DC" w:rsidRPr="00E8358C" w:rsidRDefault="004C50DC" w:rsidP="004C50DC">
      <w:pPr>
        <w:spacing w:before="120" w:after="120"/>
        <w:jc w:val="both"/>
      </w:pPr>
      <w:r w:rsidRPr="00E8358C">
        <w:t>Dans les écoles d’Haïti, le travail de mémoire est dominé par le p</w:t>
      </w:r>
      <w:r w:rsidRPr="00E8358C">
        <w:t>o</w:t>
      </w:r>
      <w:r w:rsidRPr="00E8358C">
        <w:t>litique. La</w:t>
      </w:r>
      <w:r>
        <w:t xml:space="preserve"> [459]</w:t>
      </w:r>
      <w:r w:rsidRPr="00E8358C">
        <w:t xml:space="preserve"> surpolitisation de la vie sociale haïtienne et de l’enseignement ne favorise pas la création d’espaces de réflexions et de recherches pour développer le champ patrimonial. À partir de</w:t>
      </w:r>
      <w:r w:rsidRPr="00E8358C">
        <w:rPr>
          <w:bCs/>
        </w:rPr>
        <w:t xml:space="preserve"> la deuxième moitié des années 1980, on a assisté à un changement dans la</w:t>
      </w:r>
      <w:r w:rsidRPr="00E8358C">
        <w:t xml:space="preserve"> résistance à la dictature des Duvalier ; les enseignants ont été e</w:t>
      </w:r>
      <w:r w:rsidRPr="00E8358C">
        <w:t>n</w:t>
      </w:r>
      <w:r w:rsidRPr="00E8358C">
        <w:t xml:space="preserve">couragés à récupérer le passé colonial et esclavagiste comme un </w:t>
      </w:r>
      <w:r w:rsidRPr="00E8358C">
        <w:rPr>
          <w:bCs/>
        </w:rPr>
        <w:t>outil de lutte</w:t>
      </w:r>
      <w:r w:rsidRPr="00E8358C">
        <w:t>. Les thèmes qu’ils abordent sont, entre autres, le marronnage, l’insurrection servile, l’affranchissement général des esclaves, la R</w:t>
      </w:r>
      <w:r w:rsidRPr="00E8358C">
        <w:t>é</w:t>
      </w:r>
      <w:r w:rsidRPr="00E8358C">
        <w:t>volution haïtienne, l’Indépendance d’Haïti. Il faut lier aujourd’hui les premiers résultats enregistrés dans ce domaine aux efforts et aux tr</w:t>
      </w:r>
      <w:r w:rsidRPr="00E8358C">
        <w:t>a</w:t>
      </w:r>
      <w:r w:rsidRPr="00E8358C">
        <w:t>vaux des historiens, des éducateurs, des écrivains et de nombreux i</w:t>
      </w:r>
      <w:r w:rsidRPr="00E8358C">
        <w:t>n</w:t>
      </w:r>
      <w:r w:rsidRPr="00E8358C">
        <w:t>tellectuels haïtiens contemporains comme Paulette Poujol Oriol, Ode</w:t>
      </w:r>
      <w:r w:rsidRPr="00E8358C">
        <w:t>t</w:t>
      </w:r>
      <w:r w:rsidRPr="00E8358C">
        <w:t>te Roy Fombrun, Suzy Castor, Pradel Pompilus, Joseph Claude Be</w:t>
      </w:r>
      <w:r w:rsidRPr="00E8358C">
        <w:t>r</w:t>
      </w:r>
      <w:r w:rsidRPr="00E8358C">
        <w:t>nard, Wesner Emmanuel, Michel Hector, Claude Moïse... Toutefois, les changements dans les programmes scolaires ne permettent pas d’intégrer l’aspect mémoriel de ce passé à la vie sociale haïtienne. Certains enseignants continuent à faire des choix de thématiques dans le programme d’enseignement de l’histoire et de la littérature en fon</w:t>
      </w:r>
      <w:r w:rsidRPr="00E8358C">
        <w:t>c</w:t>
      </w:r>
      <w:r w:rsidRPr="00E8358C">
        <w:t xml:space="preserve">tion des sujets des examens officiels, mais ce n’est pas une exigence du ministère de l’Éducation nationale. </w:t>
      </w:r>
    </w:p>
    <w:p w:rsidR="004C50DC" w:rsidRPr="00E8358C" w:rsidRDefault="004C50DC" w:rsidP="004C50DC">
      <w:pPr>
        <w:spacing w:before="120" w:after="120"/>
        <w:jc w:val="both"/>
      </w:pPr>
      <w:r w:rsidRPr="00E8358C">
        <w:t>À la lumière de nos enquêtes de terrain, nous remarquons que les acteurs étatiques haïtiens concernés par le projet de la « Route de l’esclave » y voient plus une manne pour le tourisme qu’un outil d’enseignement, de compréhension mutuelle et de « vivre ensemble ». L’implication des communautés locales dans ce convoi de souvenirs est presque nulle. Il est vraiment urgent de faire des communautés l</w:t>
      </w:r>
      <w:r w:rsidRPr="00E8358C">
        <w:t>o</w:t>
      </w:r>
      <w:r w:rsidRPr="00E8358C">
        <w:t>cales les principales actrices des démarches du comité national ha</w:t>
      </w:r>
      <w:r w:rsidRPr="00E8358C">
        <w:t>ï</w:t>
      </w:r>
      <w:r w:rsidRPr="00E8358C">
        <w:t>tien. Haïti doit être porteuse de cette idée nouvelle, car la « Route de l’esclave » aujourd’hui doit concerner de plus en plus les populations locales qui subissent les conséquences de l’esclavage. Il faut donc d</w:t>
      </w:r>
      <w:r w:rsidRPr="00E8358C">
        <w:t>é</w:t>
      </w:r>
      <w:r w:rsidRPr="00E8358C">
        <w:t>finir des stratégies pour qu’elles soient au cœur de toute mise en v</w:t>
      </w:r>
      <w:r w:rsidRPr="00E8358C">
        <w:t>a</w:t>
      </w:r>
      <w:r w:rsidRPr="00E8358C">
        <w:t>leur des sites et des pratiques impliquant les mémoires de l’esclavage, parce qu’elles sont les gardiennes d’une histoire et de mémoires loc</w:t>
      </w:r>
      <w:r w:rsidRPr="00E8358C">
        <w:t>a</w:t>
      </w:r>
      <w:r w:rsidRPr="00E8358C">
        <w:t>les à côté de celles reconnues officiellement – la mémoire officielle ayant par ailleurs un côté trop « européen » (pose de plaques comm</w:t>
      </w:r>
      <w:r w:rsidRPr="00E8358C">
        <w:t>é</w:t>
      </w:r>
      <w:r w:rsidRPr="00E8358C">
        <w:t>moratives, érections de statues, discours élogieux ou de condamn</w:t>
      </w:r>
      <w:r w:rsidRPr="00E8358C">
        <w:t>a</w:t>
      </w:r>
      <w:r w:rsidRPr="00E8358C">
        <w:t xml:space="preserve">tion). </w:t>
      </w:r>
    </w:p>
    <w:p w:rsidR="004C50DC" w:rsidRPr="00E8358C" w:rsidRDefault="004C50DC" w:rsidP="004C50DC">
      <w:pPr>
        <w:spacing w:before="120" w:after="120"/>
        <w:jc w:val="both"/>
      </w:pPr>
      <w:r w:rsidRPr="00E8358C">
        <w:t xml:space="preserve">Si l’on encourageait un modèle de développement patrimonial communautaire, les </w:t>
      </w:r>
      <w:r>
        <w:t xml:space="preserve">[460] </w:t>
      </w:r>
      <w:r w:rsidRPr="00E8358C">
        <w:t>communautés locales pourraient se charger de la sauvegarde et de la mise en valeur des sites, monuments et prat</w:t>
      </w:r>
      <w:r w:rsidRPr="00E8358C">
        <w:t>i</w:t>
      </w:r>
      <w:r w:rsidRPr="00E8358C">
        <w:t>ques inventoriés. La société civile ne peut plus attendre que l’État ha</w:t>
      </w:r>
      <w:r w:rsidRPr="00E8358C">
        <w:t>ï</w:t>
      </w:r>
      <w:r w:rsidRPr="00E8358C">
        <w:t xml:space="preserve">tien vienne au secours des mémoires de l’esclavage ; au contraire, elle doit l’accompagner dans ses démarches et lui apporter son expertise et ses conseils. </w:t>
      </w:r>
    </w:p>
    <w:p w:rsidR="004C50DC" w:rsidRDefault="004C50DC" w:rsidP="004C50DC">
      <w:pPr>
        <w:spacing w:before="120" w:after="120"/>
        <w:jc w:val="both"/>
      </w:pPr>
      <w:r w:rsidRPr="00E8358C">
        <w:t>Néanmoins, le projet de la « Route de l’esclave » a été bénéfique en ce qu’il a amené la question dans l’espace public en Haïti. Nous pouvons dire que, sans ce programme, il n’y aurait pas eu tous ces d</w:t>
      </w:r>
      <w:r w:rsidRPr="00E8358C">
        <w:t>é</w:t>
      </w:r>
      <w:r w:rsidRPr="00E8358C">
        <w:t>bats et ces discours sur les mémoires de l’esclavage dans l’espace p</w:t>
      </w:r>
      <w:r w:rsidRPr="00E8358C">
        <w:t>u</w:t>
      </w:r>
      <w:r w:rsidRPr="00E8358C">
        <w:t>blic mondial. En 2017, Haïti va célébrer le 20</w:t>
      </w:r>
      <w:r w:rsidRPr="00E8358C">
        <w:rPr>
          <w:vertAlign w:val="superscript"/>
        </w:rPr>
        <w:t>e</w:t>
      </w:r>
      <w:r w:rsidRPr="00E8358C">
        <w:t xml:space="preserve"> anniversaire de la cré</w:t>
      </w:r>
      <w:r w:rsidRPr="00E8358C">
        <w:t>a</w:t>
      </w:r>
      <w:r w:rsidRPr="00E8358C">
        <w:t>tion du Comité national haïtien de la « Route de l’esclave ». Cette commémoration doit être l’occasion de faire le bilan du travail a</w:t>
      </w:r>
      <w:r w:rsidRPr="00E8358C">
        <w:t>c</w:t>
      </w:r>
      <w:r w:rsidRPr="00E8358C">
        <w:t>compli et de confirmer le leadership haïtien dans ce projet</w:t>
      </w:r>
      <w:r>
        <w:t xml:space="preserve"> de l’UNESCO.</w:t>
      </w:r>
    </w:p>
    <w:p w:rsidR="004C50DC" w:rsidRPr="00E8358C" w:rsidRDefault="004C50DC" w:rsidP="004C50DC">
      <w:pPr>
        <w:spacing w:before="120" w:after="120"/>
        <w:jc w:val="both"/>
      </w:pPr>
    </w:p>
    <w:p w:rsidR="004C50DC" w:rsidRPr="00767A84" w:rsidRDefault="004C50DC" w:rsidP="004C50DC">
      <w:pPr>
        <w:pStyle w:val="a"/>
      </w:pPr>
      <w:bookmarkStart w:id="577" w:name="_Toc406489792"/>
      <w:bookmarkStart w:id="578" w:name="_Toc442280603"/>
      <w:r w:rsidRPr="00767A84">
        <w:t xml:space="preserve">Expérience de l’esclavage et remise en question </w:t>
      </w:r>
      <w:r>
        <w:br/>
      </w:r>
      <w:r w:rsidRPr="00767A84">
        <w:t>de la touristific</w:t>
      </w:r>
      <w:r w:rsidRPr="00767A84">
        <w:t>a</w:t>
      </w:r>
      <w:r w:rsidRPr="00767A84">
        <w:t>tion des mémoires de l’esclavage</w:t>
      </w:r>
      <w:bookmarkEnd w:id="577"/>
      <w:bookmarkEnd w:id="578"/>
    </w:p>
    <w:p w:rsidR="004C50DC" w:rsidRDefault="004C50DC" w:rsidP="004C50DC">
      <w:pPr>
        <w:spacing w:before="120" w:after="120"/>
        <w:jc w:val="both"/>
      </w:pPr>
    </w:p>
    <w:p w:rsidR="004C50DC" w:rsidRPr="00E8358C" w:rsidRDefault="004C50DC" w:rsidP="004C50DC">
      <w:pPr>
        <w:spacing w:before="120" w:after="120"/>
        <w:jc w:val="both"/>
        <w:rPr>
          <w:b/>
        </w:rPr>
      </w:pPr>
      <w:r w:rsidRPr="00E8358C">
        <w:t>Aujourd’hui, l’expérience de l’esclavage, c’est le traumatisme que ce passé évoque dans le présent, dans la vie du peuple haïtien, et qui exacerbe les sensibilités et se traduit par le conflit. La patrimonialis</w:t>
      </w:r>
      <w:r w:rsidRPr="00E8358C">
        <w:t>a</w:t>
      </w:r>
      <w:r w:rsidRPr="00E8358C">
        <w:t>tion des mémoires de l’esclavage dépend de l’expérience historique, de l’expérience sociale et de l’expérience culturelle qui sont transm</w:t>
      </w:r>
      <w:r w:rsidRPr="00E8358C">
        <w:t>i</w:t>
      </w:r>
      <w:r w:rsidRPr="00E8358C">
        <w:t>ses. Par contre, les outils pour exposer la mémoire de l’esclavage sont plus de l’ordre des espaces d’attraction, comme le montre le Parc n</w:t>
      </w:r>
      <w:r w:rsidRPr="00E8358C">
        <w:t>a</w:t>
      </w:r>
      <w:r w:rsidRPr="00E8358C">
        <w:t>tional historique dans le Nord. Cet espace suscite de véritables ém</w:t>
      </w:r>
      <w:r w:rsidRPr="00E8358C">
        <w:t>o</w:t>
      </w:r>
      <w:r w:rsidRPr="00E8358C">
        <w:t>tions chez les touristes, captivés par l’architecture de la Citadelle He</w:t>
      </w:r>
      <w:r w:rsidRPr="00E8358C">
        <w:t>n</w:t>
      </w:r>
      <w:r w:rsidRPr="00E8358C">
        <w:t xml:space="preserve">ri Christophe qui peut leur faire revivre des sentiments valeureux, même si le discours des guides pour les traduire est presque absent ou paraît peu clair. </w:t>
      </w:r>
    </w:p>
    <w:p w:rsidR="004C50DC" w:rsidRPr="00E8358C" w:rsidRDefault="004C50DC" w:rsidP="004C50DC">
      <w:pPr>
        <w:spacing w:before="120" w:after="120"/>
        <w:jc w:val="both"/>
      </w:pPr>
      <w:r w:rsidRPr="00E8358C">
        <w:t>Dans la mémoire de l’esclavage, deux aspects s’opposent en Haïti : le souvenir de la souffrance et l’orgueil d’en avoir triomphé. La façon de traiter le sujet de la mémoire de l’esclavage en mettant de l’avant la mémoire héroïque peut être bien fondée, mais peut être aussi exag</w:t>
      </w:r>
      <w:r w:rsidRPr="00E8358C">
        <w:t>é</w:t>
      </w:r>
      <w:r w:rsidRPr="00E8358C">
        <w:t>rément fondée. L’orgueil d’en avoir triomphé, c’est ce qui donne cette forteresse qui peut être admirée universellement, la citadelle Henri Christophe. Cependant,</w:t>
      </w:r>
      <w:r>
        <w:t xml:space="preserve"> [461]</w:t>
      </w:r>
      <w:r w:rsidRPr="00E8358C">
        <w:t xml:space="preserve"> la statue du Nègre marron au Champ-de-Mars dialogue mieux avec le visiteur en évoquant la culture ha</w:t>
      </w:r>
      <w:r w:rsidRPr="00E8358C">
        <w:t>ï</w:t>
      </w:r>
      <w:r w:rsidRPr="00E8358C">
        <w:t xml:space="preserve">tienne de la résistance. </w:t>
      </w:r>
    </w:p>
    <w:p w:rsidR="004C50DC" w:rsidRPr="00E8358C" w:rsidRDefault="004C50DC" w:rsidP="004C50DC">
      <w:pPr>
        <w:spacing w:before="120" w:after="120"/>
        <w:jc w:val="both"/>
      </w:pPr>
      <w:r w:rsidRPr="00E8358C">
        <w:t>La touristification des mémoires de l’esclavage dépend des post</w:t>
      </w:r>
      <w:r w:rsidRPr="00E8358C">
        <w:t>u</w:t>
      </w:r>
      <w:r w:rsidRPr="00E8358C">
        <w:t>res. Dans les habitations-musées, le « business du tourisme » est déjà présent. On se rend compte que le public qui se rend dans ces lieux se compose surtout de touristes étrangers. Le prix à payer pour une visite est élevé pour une population majoritairement paupérisée. Par exe</w:t>
      </w:r>
      <w:r w:rsidRPr="00E8358C">
        <w:t>m</w:t>
      </w:r>
      <w:r w:rsidRPr="00E8358C">
        <w:t xml:space="preserve">ple, pour le musée Ogier Fombrun, le tarif est en moyenne de cinq dollars américains, et pour le musée du Parc historique de la canne à sucre, il est de cinquante gourdes pour le visiteur adulte haïtien. </w:t>
      </w:r>
    </w:p>
    <w:p w:rsidR="004C50DC" w:rsidRPr="00E8358C" w:rsidRDefault="004C50DC" w:rsidP="004C50DC">
      <w:pPr>
        <w:spacing w:before="120" w:after="120"/>
        <w:jc w:val="both"/>
      </w:pPr>
      <w:r w:rsidRPr="00E8358C">
        <w:t>La population haïtienne dans sa majorité est peu sensibilisée par la culture de musée comme lieu d’inscription et d’exposition de la m</w:t>
      </w:r>
      <w:r w:rsidRPr="00E8358C">
        <w:t>é</w:t>
      </w:r>
      <w:r w:rsidRPr="00E8358C">
        <w:t>moire. Le musée apparaît comme un lieu élitaire. Dans ce cas, cet o</w:t>
      </w:r>
      <w:r w:rsidRPr="00E8358C">
        <w:t>u</w:t>
      </w:r>
      <w:r w:rsidRPr="00E8358C">
        <w:t>til de transmission crée-t-il réellement chez les Haïtiens un espace de dialogue et de compréhension mutuelle ? Car la patrimonialisation dépasse le cadre normatif de mise en valeur dans les musées, de cré</w:t>
      </w:r>
      <w:r w:rsidRPr="00E8358C">
        <w:t>a</w:t>
      </w:r>
      <w:r w:rsidRPr="00E8358C">
        <w:t>tion de parcs et de construction de mémorial.</w:t>
      </w:r>
    </w:p>
    <w:p w:rsidR="004C50DC" w:rsidRDefault="004C50DC" w:rsidP="004C50DC">
      <w:pPr>
        <w:spacing w:before="120" w:after="120"/>
        <w:jc w:val="both"/>
      </w:pPr>
      <w:r w:rsidRPr="00E8358C">
        <w:t>De toutes les façons, le patrimoine mémoriel, historique et arch</w:t>
      </w:r>
      <w:r w:rsidRPr="00E8358C">
        <w:t>i</w:t>
      </w:r>
      <w:r w:rsidRPr="00E8358C">
        <w:t>tectural de l’esclavage doit être exploité, non pas dans le but principal d’attirer les touristes étrangers, mais surtout du point de vue éducatif, parce qu’un élève haïtien à qui on aura montré un film sur la bataille de Vertières aura une idée de l’habillement des soldats, du bruit des canons, de Capois la Mort qui criait en avant, etc. C’est ce qu’on a</w:t>
      </w:r>
      <w:r w:rsidRPr="00E8358C">
        <w:t>p</w:t>
      </w:r>
      <w:r w:rsidRPr="00E8358C">
        <w:t>pelle l’éducation par le patrimoine. La reconstitution des lieux de mémoire de l’esclavage est une pédagogie pour mieux instruire. Elle doit tenir compte aussi de l’intérêt des communautés locales à s’inspirer d’exemples pour la modernisation de l’agriculture.</w:t>
      </w:r>
    </w:p>
    <w:p w:rsidR="004C50DC" w:rsidRPr="00E8358C" w:rsidRDefault="004C50DC" w:rsidP="004C50DC">
      <w:pPr>
        <w:spacing w:before="120" w:after="120"/>
        <w:jc w:val="both"/>
      </w:pPr>
    </w:p>
    <w:p w:rsidR="004C50DC" w:rsidRPr="00767A84" w:rsidRDefault="004C50DC" w:rsidP="004C50DC">
      <w:pPr>
        <w:pStyle w:val="a"/>
      </w:pPr>
      <w:bookmarkStart w:id="579" w:name="_Toc442280604"/>
      <w:r w:rsidRPr="00767A84">
        <w:t>Représentation et manipulation</w:t>
      </w:r>
      <w:r>
        <w:br/>
      </w:r>
      <w:r w:rsidRPr="00767A84">
        <w:t>du passé colonial et esclavagiste</w:t>
      </w:r>
      <w:bookmarkEnd w:id="579"/>
      <w:r w:rsidRPr="00767A84">
        <w:t xml:space="preserve">  </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Certains s’opposent à la patrimonialisation des mémoires de l’esclavage en Haïti pour des raisons d’ordre économique et politique, de classe et de couleur. Les élites dirigeantes veulent contrôler ces mémoires, car les démocratiser reviendrait à remettre en question leur position dominante. Les circonstances et les conditions de production historique et </w:t>
      </w:r>
      <w:r>
        <w:t xml:space="preserve">[462] </w:t>
      </w:r>
      <w:r w:rsidRPr="00E8358C">
        <w:t>mémorielle du passé colonial témoignent de « l’exercice différentiel du pouvoir qui rend certains récits possibles et réduit les autres au silence »</w:t>
      </w:r>
      <w:r>
        <w:t> </w:t>
      </w:r>
      <w:r>
        <w:rPr>
          <w:rStyle w:val="Appelnotedebasdep"/>
        </w:rPr>
        <w:footnoteReference w:id="1117"/>
      </w:r>
      <w:r w:rsidRPr="00E8358C">
        <w:t>. Ces élites oublient que les communa</w:t>
      </w:r>
      <w:r w:rsidRPr="00E8358C">
        <w:t>u</w:t>
      </w:r>
      <w:r w:rsidRPr="00E8358C">
        <w:t>tés s’approprient depuis plus de deux siècles les mémoires et les transmettent régulièrement en dehors de tout canal officiel. L’exemple le plus concret est celui des pratiques religieuses du vodou qui arr</w:t>
      </w:r>
      <w:r w:rsidRPr="00E8358C">
        <w:t>i</w:t>
      </w:r>
      <w:r w:rsidRPr="00E8358C">
        <w:t>vent encore à exister malgré les multiples campagnes antisuperstitie</w:t>
      </w:r>
      <w:r w:rsidRPr="00E8358C">
        <w:t>u</w:t>
      </w:r>
      <w:r w:rsidRPr="00E8358C">
        <w:t>ses et leur reniement parla société haïtienne. On remarque également un effet de balancier dans les discours des citoyens sur l’esclavage. D’un côté, certains pensent que le deuil serait plus apaisant pour gu</w:t>
      </w:r>
      <w:r w:rsidRPr="00E8358C">
        <w:t>é</w:t>
      </w:r>
      <w:r w:rsidRPr="00E8358C">
        <w:t>rir les traumatismes de l’esclavage ; d’autres pensent au contraire que la patrimonialisation serait un outil de réconciliation et de paix. Dans ce débat, seul un consensus mémoriel pourrait aider réellement à re</w:t>
      </w:r>
      <w:r w:rsidRPr="00E8358C">
        <w:t>n</w:t>
      </w:r>
      <w:r w:rsidRPr="00E8358C">
        <w:t>dre possible le processus d’entrée en patrimoine des mémoires de l’esclavage. En principe, la patrimonialisation des mémoires de l’esclavage doit rendre compte du traumatisme des douleurs subies, de la fierté d’avoir triomphé de cette ignominie et des conséquences de ce passé dans la société haïtienne d’aujourd’hui.</w:t>
      </w:r>
    </w:p>
    <w:p w:rsidR="004C50DC" w:rsidRPr="00E8358C" w:rsidRDefault="004C50DC" w:rsidP="004C50DC">
      <w:pPr>
        <w:spacing w:before="120" w:after="120"/>
        <w:jc w:val="both"/>
        <w:rPr>
          <w:bCs/>
        </w:rPr>
      </w:pPr>
      <w:r w:rsidRPr="00E8358C">
        <w:t xml:space="preserve">L’instrumentalisation des mémoires de l’esclavage est évidente, aussi bien par les politiciens, l’élite économique ou les intellectuels, en fonction de leurs convictions idéologiques. C’est ce dont il faut se garder, sur le plan éthique, dans tout effort de patrimonialisation. Dans le cas haïtien, la patrimonialisation des mémoires de l’esclavage peut amener les communautés à un vouloir « vivre ensemble ». </w:t>
      </w:r>
      <w:r w:rsidRPr="00E8358C">
        <w:rPr>
          <w:bCs/>
        </w:rPr>
        <w:t>La figure de la femme doit être l’âme de cette démarche mémorielle. Elle est la matrice du « vivre ensemble » et de la transmission des mémo</w:t>
      </w:r>
      <w:r w:rsidRPr="00E8358C">
        <w:rPr>
          <w:bCs/>
        </w:rPr>
        <w:t>i</w:t>
      </w:r>
      <w:r w:rsidRPr="00E8358C">
        <w:rPr>
          <w:bCs/>
        </w:rPr>
        <w:t>res en Haïti. Dans la colonie de Saint-Domingue, elle se battait to</w:t>
      </w:r>
      <w:r w:rsidRPr="00E8358C">
        <w:rPr>
          <w:bCs/>
        </w:rPr>
        <w:t>u</w:t>
      </w:r>
      <w:r w:rsidRPr="00E8358C">
        <w:rPr>
          <w:bCs/>
        </w:rPr>
        <w:t>jours pour la reconquête de l’humanité des esclaves dans les plant</w:t>
      </w:r>
      <w:r w:rsidRPr="00E8358C">
        <w:rPr>
          <w:bCs/>
        </w:rPr>
        <w:t>a</w:t>
      </w:r>
      <w:r w:rsidRPr="00E8358C">
        <w:rPr>
          <w:bCs/>
        </w:rPr>
        <w:t xml:space="preserve">tions. </w:t>
      </w:r>
    </w:p>
    <w:p w:rsidR="004C50DC" w:rsidRPr="00E8358C" w:rsidRDefault="004C50DC" w:rsidP="004C50DC">
      <w:pPr>
        <w:spacing w:before="120" w:after="120"/>
        <w:jc w:val="both"/>
      </w:pPr>
      <w:r w:rsidRPr="00E8358C">
        <w:rPr>
          <w:bCs/>
        </w:rPr>
        <w:t xml:space="preserve">La patrimonialisation </w:t>
      </w:r>
      <w:r w:rsidRPr="00E8358C">
        <w:t xml:space="preserve">prendra </w:t>
      </w:r>
      <w:r w:rsidRPr="00E8358C">
        <w:rPr>
          <w:bCs/>
        </w:rPr>
        <w:t>aussi</w:t>
      </w:r>
      <w:r w:rsidRPr="00E8358C">
        <w:t xml:space="preserve"> en compte les pratiques cult</w:t>
      </w:r>
      <w:r w:rsidRPr="00E8358C">
        <w:t>u</w:t>
      </w:r>
      <w:r w:rsidRPr="00E8358C">
        <w:t>relles haïtiennes et le dialogue. Tous les discours muséologiques ou scientifiques sur les mémoires de l’esclavage ne voudront rien dire ou ne vaudront rien pour le développement de la culture de la paix sans dialogue ou communication entre les citoyens. C’est par le dialogue que les citoyens arriveront à exprimer tout ce qu’ils ont à se dire, qu’ils parviendront à faire</w:t>
      </w:r>
      <w:r>
        <w:t xml:space="preserve"> [463]</w:t>
      </w:r>
      <w:r w:rsidRPr="00E8358C">
        <w:t xml:space="preserve"> ressortir leurs préoccupations. La d</w:t>
      </w:r>
      <w:r w:rsidRPr="00E8358C">
        <w:t>i</w:t>
      </w:r>
      <w:r w:rsidRPr="00E8358C">
        <w:t>mension économique peut venir soutenir le dialogue pour atténuer la misère des populations.</w:t>
      </w:r>
    </w:p>
    <w:p w:rsidR="004C50DC" w:rsidRPr="00E8358C" w:rsidRDefault="004C50DC" w:rsidP="004C50DC">
      <w:pPr>
        <w:spacing w:before="120" w:after="120"/>
        <w:jc w:val="both"/>
      </w:pPr>
      <w:r w:rsidRPr="00E8358C">
        <w:t>Les actions patrimoniales doivent avoir des répercussions, des r</w:t>
      </w:r>
      <w:r w:rsidRPr="00E8358C">
        <w:t>é</w:t>
      </w:r>
      <w:r w:rsidRPr="00E8358C">
        <w:t>sonances dans le dialogue « interhaïtien », dans le dialogue intercult</w:t>
      </w:r>
      <w:r w:rsidRPr="00E8358C">
        <w:t>u</w:t>
      </w:r>
      <w:r w:rsidRPr="00E8358C">
        <w:t>rel, dans la pacification, dans le bien-être et dans ce que Paul Ricœur appelle un « oubli heureux » ou un « souvenir joyeux »</w:t>
      </w:r>
      <w:r>
        <w:t> </w:t>
      </w:r>
      <w:r>
        <w:rPr>
          <w:rStyle w:val="Appelnotedebasdep"/>
        </w:rPr>
        <w:footnoteReference w:id="1118"/>
      </w:r>
      <w:r w:rsidRPr="00E8358C">
        <w:t>, ou encore un temps de sérénité qu’il faut arriver à créer. Les approches trop r</w:t>
      </w:r>
      <w:r w:rsidRPr="00E8358C">
        <w:t>é</w:t>
      </w:r>
      <w:r w:rsidRPr="00E8358C">
        <w:t>du</w:t>
      </w:r>
      <w:r w:rsidRPr="00E8358C">
        <w:t>c</w:t>
      </w:r>
      <w:r w:rsidRPr="00E8358C">
        <w:t>tionnistes du fait historique sont à éviter, même si c’est le propre des batailles mémorielles. Interpréter la mémoire dans une perspective de bataille que tel ou tel groupe social voudrait remporter à tout prix en disqualifiant les autres est aussi néfaste à la démocratisation des m</w:t>
      </w:r>
      <w:r w:rsidRPr="00E8358C">
        <w:t>é</w:t>
      </w:r>
      <w:r w:rsidRPr="00E8358C">
        <w:t xml:space="preserve">moires. </w:t>
      </w:r>
    </w:p>
    <w:p w:rsidR="004C50DC" w:rsidRPr="00E8358C" w:rsidRDefault="004C50DC" w:rsidP="004C50DC">
      <w:pPr>
        <w:spacing w:before="120" w:after="120"/>
        <w:jc w:val="both"/>
      </w:pPr>
      <w:r w:rsidRPr="00E8358C">
        <w:t>Il peut y avoir une mémoire dominante, mais cela ne doit pas e</w:t>
      </w:r>
      <w:r w:rsidRPr="00E8358C">
        <w:t>m</w:t>
      </w:r>
      <w:r w:rsidRPr="00E8358C">
        <w:t>pêcher qu’il existe plusieurs autres mémoires qui ne soient pas o</w:t>
      </w:r>
      <w:r w:rsidRPr="00E8358C">
        <w:t>c</w:t>
      </w:r>
      <w:r w:rsidRPr="00E8358C">
        <w:t>cultées collectivement. Certes, la mémoire dominante paraît largement répandue et souvent instrumentalisée ; mais on s’aperçoit, de plus en plus, qu’elle n’est pas vraiment dominante quand on observe comment les individus se l’approprient dans un espace social donné et non dans d’autres, ou encore qu’elle est dominante dans un temps donné et non dans un autre. Lorsque le groupe social dominant ou les élites dir</w:t>
      </w:r>
      <w:r w:rsidRPr="00E8358C">
        <w:t>i</w:t>
      </w:r>
      <w:r w:rsidRPr="00E8358C">
        <w:t>geantes organisent les mémoires et les véhiculent, deux réactions pe</w:t>
      </w:r>
      <w:r w:rsidRPr="00E8358C">
        <w:t>u</w:t>
      </w:r>
      <w:r w:rsidRPr="00E8358C">
        <w:t xml:space="preserve">vent se produire du côté des autres groupes sociaux. Dans un premier temps, ils peuvent se les approprier par mimétisme. Dans le cas contraire, ils peuvent les transformer ou les adapter en créant à leur sujet un autre discours, en fonction de leur propre perception de ces mémoires, ou les rejeter tout simplement en signe d’opposition à ces élites. </w:t>
      </w:r>
    </w:p>
    <w:p w:rsidR="004C50DC" w:rsidRPr="00E8358C" w:rsidRDefault="004C50DC" w:rsidP="004C50DC">
      <w:pPr>
        <w:spacing w:before="120" w:after="120"/>
        <w:jc w:val="both"/>
      </w:pPr>
      <w:r w:rsidRPr="00E8358C">
        <w:t>La cohérence des mémoires pourra permettre aux Haïtiens d’exposer au monde des éléments de leur identité en rapport avec le passé colonial esclavagiste. Chacun des sites et chacune des pratiques culturelles évoque des mémoires différentes qui pourraient participer à la construction d’un discours définissant leur valeur patrimoniale. L’agencement patrimonial de la mémoire est nécessaire, afin d’éviter qu’un choix mémoriel soit surdéterminé dans la définition d’une pol</w:t>
      </w:r>
      <w:r w:rsidRPr="00E8358C">
        <w:t>i</w:t>
      </w:r>
      <w:r w:rsidRPr="00E8358C">
        <w:t>tique culturelle. Il ne faut pas non plus que les autres mémoires subi</w:t>
      </w:r>
      <w:r w:rsidRPr="00E8358C">
        <w:t>s</w:t>
      </w:r>
      <w:r w:rsidRPr="00E8358C">
        <w:t>sent la surdétermination du choix officiel et deviennent « sous-déterminées ». Mentionnons, par exemple, que la mémoire de l’esclavage n’est pas inscrite</w:t>
      </w:r>
      <w:r>
        <w:t xml:space="preserve"> [464]</w:t>
      </w:r>
      <w:r w:rsidRPr="00E8358C">
        <w:t xml:space="preserve"> dans les politiques culturelles ha</w:t>
      </w:r>
      <w:r w:rsidRPr="00E8358C">
        <w:t>ï</w:t>
      </w:r>
      <w:r w:rsidRPr="00E8358C">
        <w:t xml:space="preserve">tiennes comme un lieu pédagogique ou un lieu de reconstruction de la mémoire, ou encore un lieu de reproduction sociale et de construction de la nation haïtienne ; elle est considérée par les autorités étatiques comme un atout touristique. </w:t>
      </w:r>
    </w:p>
    <w:p w:rsidR="004C50DC" w:rsidRPr="00792DC7" w:rsidRDefault="004C50DC" w:rsidP="004C50DC">
      <w:pPr>
        <w:spacing w:before="120" w:after="120"/>
        <w:jc w:val="both"/>
        <w:rPr>
          <w:bCs/>
        </w:rPr>
      </w:pPr>
      <w:r w:rsidRPr="00E8358C">
        <w:rPr>
          <w:bCs/>
        </w:rPr>
        <w:t>Haïti nous apprend à travers ses mémoires de l’esclavage que le patrimoine valorisé, outre les volets du « vivre ensemble » et du to</w:t>
      </w:r>
      <w:r w:rsidRPr="00E8358C">
        <w:rPr>
          <w:bCs/>
        </w:rPr>
        <w:t>u</w:t>
      </w:r>
      <w:r w:rsidRPr="00E8358C">
        <w:rPr>
          <w:bCs/>
        </w:rPr>
        <w:t xml:space="preserve">risme souvent évoqués, est aussi un outil de revendication, de combat perpétuel, de questionnement des rapports sociaux et des inégalités de classes. </w:t>
      </w:r>
      <w:r w:rsidRPr="00792DC7">
        <w:rPr>
          <w:bCs/>
        </w:rPr>
        <w:t>Les précédentes analyses nous portent aussi à présenter la n</w:t>
      </w:r>
      <w:r w:rsidRPr="00792DC7">
        <w:rPr>
          <w:bCs/>
        </w:rPr>
        <w:t>o</w:t>
      </w:r>
      <w:r w:rsidRPr="00792DC7">
        <w:rPr>
          <w:bCs/>
        </w:rPr>
        <w:t xml:space="preserve">tion de </w:t>
      </w:r>
      <w:r w:rsidRPr="00792DC7">
        <w:rPr>
          <w:bCs/>
          <w:i/>
        </w:rPr>
        <w:t>résilience patrimoniale</w:t>
      </w:r>
      <w:r w:rsidRPr="00792DC7">
        <w:rPr>
          <w:bCs/>
        </w:rPr>
        <w:t xml:space="preserve"> pour parler de la mémoire de l’esclavage en Haïti. Cet usage novateur inscrit le patrimoine au cœur des multiples formes de résistance : les nombreux soulèvements org</w:t>
      </w:r>
      <w:r w:rsidRPr="00792DC7">
        <w:rPr>
          <w:bCs/>
        </w:rPr>
        <w:t>a</w:t>
      </w:r>
      <w:r w:rsidRPr="00792DC7">
        <w:rPr>
          <w:bCs/>
        </w:rPr>
        <w:t xml:space="preserve">nisés ou spontanés, le marronnage, la création d’un modèle de vie au milieu de la société esclavagiste avec une langue propre (le créole), une religion (le vodou) à côté du catholicisme, des rythmes musicaux (le rara et ses variantes, kombit, </w:t>
      </w:r>
      <w:r w:rsidRPr="00792DC7">
        <w:t>djouba,kongo</w:t>
      </w:r>
      <w:r w:rsidRPr="00792DC7">
        <w:rPr>
          <w:bCs/>
        </w:rPr>
        <w:t>) et des danses souvent métissées (la contredanse, le yanvalou) défiant ainsi les interdictions du Code noir dans la colonie de Saint-Domingue jusqu’à l’Indépendance haïtienne en 1804.  Les esclaves ont résisté à l’esclavage, et c’est ce point qu’il faut mettre en lumière. La résilience patrimoniale offre une nouvelle manière d’aborder le corpus mémoriel en lien avec le passé colonial esclavagiste et ses conséquences a</w:t>
      </w:r>
      <w:r w:rsidRPr="00792DC7">
        <w:rPr>
          <w:bCs/>
        </w:rPr>
        <w:t>u</w:t>
      </w:r>
      <w:r w:rsidRPr="00792DC7">
        <w:rPr>
          <w:bCs/>
        </w:rPr>
        <w:t xml:space="preserve">jourd’hui dans la société haïtienne.  </w:t>
      </w:r>
    </w:p>
    <w:p w:rsidR="004C50DC" w:rsidRPr="00E8358C" w:rsidRDefault="004C50DC" w:rsidP="004C50DC">
      <w:pPr>
        <w:spacing w:before="120" w:after="120"/>
        <w:jc w:val="both"/>
      </w:pPr>
      <w:r w:rsidRPr="00E8358C">
        <w:rPr>
          <w:bCs/>
        </w:rPr>
        <w:t>Les mémoires sont vivantes, leur patrimonialisation est donc po</w:t>
      </w:r>
      <w:r w:rsidRPr="00E8358C">
        <w:rPr>
          <w:bCs/>
        </w:rPr>
        <w:t>s</w:t>
      </w:r>
      <w:r w:rsidRPr="00E8358C">
        <w:rPr>
          <w:bCs/>
        </w:rPr>
        <w:t>sible, mais les conséquences sont tellement complexes qu’on n’arrive pas à en discerner la profondeur. C’est un fait que la figure mémorie</w:t>
      </w:r>
      <w:r w:rsidRPr="00E8358C">
        <w:rPr>
          <w:bCs/>
        </w:rPr>
        <w:t>l</w:t>
      </w:r>
      <w:r w:rsidRPr="00E8358C">
        <w:rPr>
          <w:bCs/>
        </w:rPr>
        <w:t xml:space="preserve">le de l’esclavage est un iceberg ; on n’en voit que le sommet. Toute la base est sous l’eau. </w:t>
      </w:r>
      <w:r w:rsidRPr="00E8358C">
        <w:t xml:space="preserve">Les </w:t>
      </w:r>
      <w:r w:rsidRPr="00E8358C">
        <w:rPr>
          <w:rFonts w:eastAsia="Calibri"/>
          <w:lang w:eastAsia="en-CA"/>
        </w:rPr>
        <w:t>enjeux de la patrimonialisation des mémoires de l’esclavage</w:t>
      </w:r>
      <w:r w:rsidRPr="00E8358C">
        <w:t xml:space="preserve"> portent aussi sur l’instruction, l’enseignement de l’histoire. C’est une mémoire sensible, mais elle appartient au patr</w:t>
      </w:r>
      <w:r w:rsidRPr="00E8358C">
        <w:t>i</w:t>
      </w:r>
      <w:r w:rsidRPr="00E8358C">
        <w:t>moine culturel de l’humanité. Les hommes politiques haïtiens gagn</w:t>
      </w:r>
      <w:r w:rsidRPr="00E8358C">
        <w:t>e</w:t>
      </w:r>
      <w:r w:rsidRPr="00E8358C">
        <w:t>raient beaucoup à instruire la population et à faire ressortir la portée de la mémoire de l’esclavage, en sorte qu’elle s’en rende compte, comprenne, identifie les absurdités et les évite. Cela aidera à redéfinir et à bien canaliser les différents rapports avec les élites politiques, économiques ou culturelles qui ont tendance à dominer la masse</w:t>
      </w:r>
      <w:r>
        <w:t xml:space="preserve"> [465]</w:t>
      </w:r>
      <w:r w:rsidRPr="00E8358C">
        <w:t xml:space="preserve"> populaire et à faire ressurgir des pratiques du passé colonial et escl</w:t>
      </w:r>
      <w:r w:rsidRPr="00E8358C">
        <w:t>a</w:t>
      </w:r>
      <w:r w:rsidRPr="00E8358C">
        <w:t>vagiste sur le plan interne. Il n’en demeure pas moins vrai que le pe</w:t>
      </w:r>
      <w:r w:rsidRPr="00E8358C">
        <w:t>u</w:t>
      </w:r>
      <w:r w:rsidRPr="00E8358C">
        <w:t xml:space="preserve">ple haïtien doit se réconcilier avec lui-même. Cette patrimonialisation peut aussi contribuer à « construire durablement ensemble », notion qui doit être le pilier d’une société haïtienne plus que jamais indivise et ouverte à l’Autre. </w:t>
      </w:r>
    </w:p>
    <w:p w:rsidR="004C50DC" w:rsidRPr="00E8358C" w:rsidRDefault="004C50DC" w:rsidP="004C50DC">
      <w:pPr>
        <w:pStyle w:val="p"/>
      </w:pPr>
      <w:r w:rsidRPr="00E8358C">
        <w:br w:type="page"/>
        <w:t>[46</w:t>
      </w:r>
      <w:r>
        <w:t>6</w:t>
      </w:r>
      <w:r w:rsidRPr="00E8358C">
        <w:t>]</w:t>
      </w:r>
    </w:p>
    <w:p w:rsidR="004C50DC" w:rsidRDefault="004C50DC" w:rsidP="004C50DC">
      <w:pPr>
        <w:jc w:val="both"/>
      </w:pPr>
    </w:p>
    <w:p w:rsidR="004C50DC" w:rsidRDefault="004C50DC" w:rsidP="004C50DC">
      <w:pPr>
        <w:jc w:val="both"/>
      </w:pPr>
    </w:p>
    <w:p w:rsidR="004C50DC" w:rsidRDefault="004C50DC" w:rsidP="004C50DC">
      <w:pPr>
        <w:jc w:val="both"/>
      </w:pPr>
    </w:p>
    <w:p w:rsidR="004C50DC" w:rsidRPr="00EF76C4" w:rsidRDefault="004C50DC" w:rsidP="004C50DC">
      <w:pPr>
        <w:spacing w:after="120"/>
        <w:ind w:firstLine="0"/>
        <w:jc w:val="center"/>
        <w:rPr>
          <w:b/>
          <w:sz w:val="24"/>
        </w:rPr>
      </w:pPr>
      <w:bookmarkStart w:id="580" w:name="Memoire_biblio"/>
      <w:r w:rsidRPr="00EF76C4">
        <w:rPr>
          <w:b/>
          <w:sz w:val="24"/>
        </w:rPr>
        <w:t>Mémoire de l’esclavage en Haïti.</w:t>
      </w:r>
    </w:p>
    <w:p w:rsidR="004C50DC" w:rsidRPr="002C7A64" w:rsidRDefault="004C50DC" w:rsidP="004C50DC">
      <w:pPr>
        <w:pStyle w:val="planchest"/>
      </w:pPr>
      <w:r>
        <w:t>BIBLIOGRAPHIE</w:t>
      </w:r>
    </w:p>
    <w:bookmarkEnd w:id="580"/>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rPr>
          <w:rFonts w:eastAsia="Calibri"/>
          <w:lang w:eastAsia="en-CA"/>
        </w:rPr>
      </w:pPr>
      <w:r w:rsidRPr="00E8358C">
        <w:rPr>
          <w:rFonts w:eastAsia="Calibri"/>
          <w:lang w:eastAsia="en-CA"/>
        </w:rPr>
        <w:t xml:space="preserve">Agulhon, Maurice et al., </w:t>
      </w:r>
      <w:r w:rsidRPr="00E8358C">
        <w:rPr>
          <w:rFonts w:eastAsia="Calibri"/>
          <w:i/>
          <w:iCs/>
          <w:lang w:eastAsia="en-CA"/>
        </w:rPr>
        <w:t>Ethnologie et Histoire. Forces product</w:t>
      </w:r>
      <w:r w:rsidRPr="00E8358C">
        <w:rPr>
          <w:rFonts w:eastAsia="Calibri"/>
          <w:i/>
          <w:iCs/>
          <w:lang w:eastAsia="en-CA"/>
        </w:rPr>
        <w:t>i</w:t>
      </w:r>
      <w:r w:rsidRPr="00E8358C">
        <w:rPr>
          <w:rFonts w:eastAsia="Calibri"/>
          <w:i/>
          <w:iCs/>
          <w:lang w:eastAsia="en-CA"/>
        </w:rPr>
        <w:t>ves et problèmes de transition</w:t>
      </w:r>
      <w:r w:rsidRPr="00E8358C">
        <w:rPr>
          <w:rFonts w:eastAsia="Calibri"/>
          <w:lang w:eastAsia="en-CA"/>
        </w:rPr>
        <w:t>, Paris, Éditions Sociales, 1975.</w:t>
      </w:r>
    </w:p>
    <w:p w:rsidR="004C50DC" w:rsidRPr="00E8358C" w:rsidRDefault="004C50DC" w:rsidP="004C50DC">
      <w:pPr>
        <w:spacing w:before="120" w:after="120"/>
        <w:jc w:val="both"/>
        <w:rPr>
          <w:rFonts w:eastAsia="Calibri"/>
          <w:lang w:eastAsia="en-CA"/>
        </w:rPr>
      </w:pPr>
      <w:r w:rsidRPr="00E8358C">
        <w:t xml:space="preserve">Alexandre, Guy, </w:t>
      </w:r>
      <w:r w:rsidRPr="00E8358C">
        <w:rPr>
          <w:i/>
        </w:rPr>
        <w:t>Matériaux pour un bilan de la réforme éducative en Haïti</w:t>
      </w:r>
      <w:r w:rsidRPr="00E8358C">
        <w:t>, Port-au-Prince, Ministère de l’Éducation nationale, 1989.</w:t>
      </w:r>
    </w:p>
    <w:p w:rsidR="004C50DC" w:rsidRPr="00E8358C" w:rsidRDefault="004C50DC" w:rsidP="004C50DC">
      <w:pPr>
        <w:spacing w:before="120" w:after="120"/>
        <w:jc w:val="both"/>
      </w:pPr>
      <w:r w:rsidRPr="00E8358C">
        <w:t>Alexis, Darline, « Entre deux langues et deux approches didact</w:t>
      </w:r>
      <w:r w:rsidRPr="00E8358C">
        <w:t>i</w:t>
      </w:r>
      <w:r w:rsidRPr="00E8358C">
        <w:t xml:space="preserve">ques », </w:t>
      </w:r>
      <w:r w:rsidRPr="00E8358C">
        <w:rPr>
          <w:i/>
        </w:rPr>
        <w:t>Revue internationale d’éducation de Sèvres</w:t>
      </w:r>
      <w:r w:rsidRPr="00E8358C">
        <w:t>, n</w:t>
      </w:r>
      <w:r w:rsidRPr="00E8358C">
        <w:rPr>
          <w:vertAlign w:val="superscript"/>
        </w:rPr>
        <w:t>o</w:t>
      </w:r>
      <w:r w:rsidRPr="00E8358C">
        <w:t> 61, 2012, p</w:t>
      </w:r>
      <w:r>
        <w:t>p</w:t>
      </w:r>
      <w:r w:rsidRPr="00E8358C">
        <w:t>. 71-80.</w:t>
      </w:r>
    </w:p>
    <w:p w:rsidR="004C50DC" w:rsidRPr="00E8358C" w:rsidRDefault="004C50DC" w:rsidP="004C50DC">
      <w:pPr>
        <w:spacing w:before="120" w:after="120"/>
        <w:jc w:val="both"/>
      </w:pPr>
      <w:r w:rsidRPr="00E8358C">
        <w:t xml:space="preserve">Alexis, Guetchine, « La soupe joumou », en ligne, </w:t>
      </w:r>
      <w:hyperlink r:id="rId90" w:history="1">
        <w:r w:rsidRPr="00E8358C">
          <w:rPr>
            <w:rStyle w:val="Lienhypertexte"/>
          </w:rPr>
          <w:t>http://www.ipimh.ulaval.ca/fiche-soupe-joumou-36.html</w:t>
        </w:r>
      </w:hyperlink>
    </w:p>
    <w:p w:rsidR="004C50DC" w:rsidRPr="00E8358C" w:rsidRDefault="004C50DC" w:rsidP="004C50DC">
      <w:pPr>
        <w:spacing w:before="120" w:after="120"/>
        <w:jc w:val="both"/>
      </w:pPr>
      <w:r w:rsidRPr="00E8358C">
        <w:t xml:space="preserve">Alphonse, Roberson, « Haïti, pays sans papier », </w:t>
      </w:r>
      <w:r w:rsidRPr="00E8358C">
        <w:rPr>
          <w:i/>
        </w:rPr>
        <w:t>Le Nouvelliste</w:t>
      </w:r>
      <w:r w:rsidRPr="00E8358C">
        <w:t xml:space="preserve">, 15 janvier 2014, en ligne, </w:t>
      </w:r>
      <w:hyperlink r:id="rId91" w:history="1">
        <w:r w:rsidRPr="00E8358C">
          <w:rPr>
            <w:rStyle w:val="Lienhypertexte"/>
          </w:rPr>
          <w:t>http://lenouvelliste.com/.../Haiti-pays-sans-papier.html</w:t>
        </w:r>
      </w:hyperlink>
    </w:p>
    <w:p w:rsidR="004C50DC" w:rsidRPr="00E8358C" w:rsidRDefault="004C50DC" w:rsidP="004C50DC">
      <w:pPr>
        <w:spacing w:before="120" w:after="120"/>
        <w:jc w:val="both"/>
      </w:pPr>
      <w:r w:rsidRPr="00E8358C">
        <w:t xml:space="preserve">Alter Presse, « Haïti-Kita Nago : 700 km parcourus à pied pour stimuler la solidarité et la concertation », mardi 29 janvier 2013, en ligne, </w:t>
      </w:r>
      <w:hyperlink r:id="rId92" w:anchor=".VOjXu_nF-8A" w:history="1">
        <w:r w:rsidRPr="00E8358C">
          <w:rPr>
            <w:rStyle w:val="Lienhypertexte"/>
          </w:rPr>
          <w:t>http://www.alterpresse.org/spip.php? article14015</w:t>
        </w:r>
      </w:hyperlink>
    </w:p>
    <w:p w:rsidR="004C50DC" w:rsidRPr="00E8358C" w:rsidRDefault="004C50DC" w:rsidP="004C50DC">
      <w:pPr>
        <w:spacing w:before="120" w:after="120"/>
        <w:jc w:val="both"/>
      </w:pPr>
      <w:r w:rsidRPr="00E8358C">
        <w:t xml:space="preserve">Amougou, Emmanuel (dir.), </w:t>
      </w:r>
      <w:r w:rsidRPr="00E8358C">
        <w:rPr>
          <w:i/>
        </w:rPr>
        <w:t>La question patrimoniale. De la « patrimonialisation » à l’examen des situations concrètes,</w:t>
      </w:r>
      <w:r w:rsidRPr="00E8358C">
        <w:t xml:space="preserve"> Paris, L’Harmattan, 2004.</w:t>
      </w:r>
    </w:p>
    <w:p w:rsidR="004C50DC" w:rsidRPr="00E8358C" w:rsidRDefault="004C50DC" w:rsidP="004C50DC">
      <w:pPr>
        <w:spacing w:before="120" w:after="120"/>
        <w:jc w:val="both"/>
      </w:pPr>
      <w:r w:rsidRPr="00E8358C">
        <w:t xml:space="preserve">Amselle, Jean-Loup, </w:t>
      </w:r>
      <w:r w:rsidRPr="00E8358C">
        <w:rPr>
          <w:i/>
        </w:rPr>
        <w:t>L’Occident décroché. Enquête sur les postc</w:t>
      </w:r>
      <w:r w:rsidRPr="00E8358C">
        <w:rPr>
          <w:i/>
        </w:rPr>
        <w:t>o</w:t>
      </w:r>
      <w:r w:rsidRPr="00E8358C">
        <w:rPr>
          <w:i/>
        </w:rPr>
        <w:t>lonialismes</w:t>
      </w:r>
      <w:r w:rsidRPr="00E8358C">
        <w:t>, Paris, Stock, 2008.</w:t>
      </w:r>
    </w:p>
    <w:p w:rsidR="004C50DC" w:rsidRPr="00E8358C" w:rsidRDefault="004C50DC" w:rsidP="004C50DC">
      <w:pPr>
        <w:spacing w:before="120" w:after="120"/>
        <w:jc w:val="both"/>
      </w:pPr>
      <w:r w:rsidRPr="00E8358C">
        <w:rPr>
          <w:rFonts w:eastAsia="Calibri"/>
          <w:bCs/>
          <w:lang w:eastAsia="en-CA"/>
        </w:rPr>
        <w:t>Anheim, Étienne, « Le patrimoine. Approches scientifiques et d</w:t>
      </w:r>
      <w:r w:rsidRPr="00E8358C">
        <w:rPr>
          <w:rFonts w:eastAsia="Calibri"/>
          <w:bCs/>
          <w:lang w:eastAsia="en-CA"/>
        </w:rPr>
        <w:t>i</w:t>
      </w:r>
      <w:r w:rsidRPr="00E8358C">
        <w:rPr>
          <w:rFonts w:eastAsia="Calibri"/>
          <w:bCs/>
          <w:lang w:eastAsia="en-CA"/>
        </w:rPr>
        <w:t xml:space="preserve">versité des acteurs sociaux », </w:t>
      </w:r>
      <w:r w:rsidRPr="00E8358C">
        <w:rPr>
          <w:rFonts w:eastAsia="Calibri"/>
          <w:i/>
          <w:iCs/>
          <w:lang w:eastAsia="en-CA"/>
        </w:rPr>
        <w:t xml:space="preserve">PRÉAC-Patrimoines et diversité, </w:t>
      </w:r>
      <w:hyperlink r:id="rId93" w:history="1">
        <w:r w:rsidRPr="00E8358C">
          <w:rPr>
            <w:rStyle w:val="Lienhypertexte"/>
            <w:rFonts w:eastAsia="Calibri"/>
            <w:lang w:eastAsia="en-CA"/>
          </w:rPr>
          <w:t>http://crdp.ac-paris.fr/preacpatrimoinesetdiversite</w:t>
        </w:r>
      </w:hyperlink>
    </w:p>
    <w:p w:rsidR="004C50DC" w:rsidRPr="00E8358C" w:rsidRDefault="004C50DC" w:rsidP="004C50DC">
      <w:pPr>
        <w:spacing w:before="120" w:after="120"/>
        <w:jc w:val="both"/>
      </w:pPr>
      <w:r w:rsidRPr="00E8358C">
        <w:t>Anonyme, « </w:t>
      </w:r>
      <w:r w:rsidRPr="00E8358C">
        <w:rPr>
          <w:i/>
        </w:rPr>
        <w:t>Ainsi parla l’oncle</w:t>
      </w:r>
      <w:r w:rsidRPr="00E8358C">
        <w:t xml:space="preserve"> du Dr. Price-Mars IV », dans </w:t>
      </w:r>
      <w:r w:rsidRPr="00E8358C">
        <w:rPr>
          <w:i/>
        </w:rPr>
        <w:t>Le Matin,</w:t>
      </w:r>
      <w:r w:rsidRPr="00E8358C">
        <w:t xml:space="preserve"> 22</w:t>
      </w:r>
      <w:r w:rsidRPr="00E8358C">
        <w:rPr>
          <w:vertAlign w:val="superscript"/>
        </w:rPr>
        <w:t xml:space="preserve">e </w:t>
      </w:r>
      <w:r w:rsidRPr="00E8358C">
        <w:t>année, n</w:t>
      </w:r>
      <w:r w:rsidRPr="00E8358C">
        <w:rPr>
          <w:vertAlign w:val="superscript"/>
        </w:rPr>
        <w:t>o</w:t>
      </w:r>
      <w:r w:rsidRPr="00E8358C">
        <w:t> 6548, lundi 19 novembre 1928.</w:t>
      </w:r>
    </w:p>
    <w:p w:rsidR="004C50DC" w:rsidRPr="00E8358C" w:rsidRDefault="004C50DC" w:rsidP="004C50DC">
      <w:pPr>
        <w:spacing w:before="120" w:after="120"/>
        <w:jc w:val="both"/>
      </w:pPr>
      <w:r w:rsidRPr="00E8358C">
        <w:t xml:space="preserve">Ans, André Marcel d’, </w:t>
      </w:r>
      <w:r w:rsidRPr="00E8358C">
        <w:rPr>
          <w:i/>
        </w:rPr>
        <w:t>Haïti.Paysage et société</w:t>
      </w:r>
      <w:r w:rsidRPr="00E8358C">
        <w:t>, Paris, Karthala, 1987.</w:t>
      </w:r>
    </w:p>
    <w:p w:rsidR="004C50DC" w:rsidRPr="00E8358C" w:rsidRDefault="004C50DC" w:rsidP="004C50DC">
      <w:pPr>
        <w:spacing w:before="120" w:after="120"/>
        <w:jc w:val="both"/>
        <w:rPr>
          <w:rFonts w:eastAsia="Calibri"/>
        </w:rPr>
      </w:pPr>
      <w:r w:rsidRPr="00E8358C">
        <w:rPr>
          <w:rFonts w:eastAsia="Calibri"/>
        </w:rPr>
        <w:t xml:space="preserve">Antze, Paul et Michael Lambek, </w:t>
      </w:r>
      <w:r w:rsidRPr="00E8358C">
        <w:rPr>
          <w:i/>
        </w:rPr>
        <w:t>Tense Past. Cultural Essays in Trauma and Memory</w:t>
      </w:r>
      <w:r w:rsidRPr="00E8358C">
        <w:t xml:space="preserve">, New York et Londres, Routledge, </w:t>
      </w:r>
      <w:r w:rsidRPr="00E8358C">
        <w:rPr>
          <w:rFonts w:eastAsia="Calibri"/>
        </w:rPr>
        <w:t>1996.</w:t>
      </w:r>
    </w:p>
    <w:p w:rsidR="004C50DC" w:rsidRPr="00E8358C" w:rsidRDefault="004C50DC" w:rsidP="004C50DC">
      <w:pPr>
        <w:spacing w:before="120" w:after="120"/>
        <w:jc w:val="both"/>
        <w:rPr>
          <w:rFonts w:eastAsia="Calibri"/>
        </w:rPr>
      </w:pPr>
      <w:r w:rsidRPr="00E8358C">
        <w:t xml:space="preserve">Appadurai, Arjun, </w:t>
      </w:r>
      <w:r w:rsidRPr="00E8358C">
        <w:rPr>
          <w:i/>
          <w:iCs/>
        </w:rPr>
        <w:t>Après le colonialisme. Les conséquences cult</w:t>
      </w:r>
      <w:r w:rsidRPr="00E8358C">
        <w:rPr>
          <w:i/>
          <w:iCs/>
        </w:rPr>
        <w:t>u</w:t>
      </w:r>
      <w:r w:rsidRPr="00E8358C">
        <w:rPr>
          <w:i/>
          <w:iCs/>
        </w:rPr>
        <w:t>relles de la globalisation</w:t>
      </w:r>
      <w:r w:rsidRPr="00E8358C">
        <w:t>, Paris, Payot, 2001.</w:t>
      </w:r>
    </w:p>
    <w:p w:rsidR="004C50DC" w:rsidRPr="00E8358C" w:rsidRDefault="004C50DC" w:rsidP="004C50DC">
      <w:pPr>
        <w:spacing w:before="120" w:after="120"/>
        <w:jc w:val="both"/>
      </w:pPr>
      <w:r w:rsidRPr="00E8358C">
        <w:t xml:space="preserve">Appollon, Willy, </w:t>
      </w:r>
      <w:r w:rsidRPr="00E8358C">
        <w:rPr>
          <w:i/>
        </w:rPr>
        <w:t>Le vaudou. Un espace pour les « voix »</w:t>
      </w:r>
      <w:r w:rsidRPr="00E8358C">
        <w:t>, Paris, Galilée, 1976.</w:t>
      </w:r>
    </w:p>
    <w:p w:rsidR="004C50DC" w:rsidRPr="00E8358C" w:rsidRDefault="004C50DC" w:rsidP="004C50DC">
      <w:pPr>
        <w:spacing w:before="120" w:after="120"/>
        <w:jc w:val="both"/>
      </w:pPr>
      <w:r w:rsidRPr="00E8358C">
        <w:t xml:space="preserve">Araujo, Ana Lucia, </w:t>
      </w:r>
      <w:r w:rsidRPr="00E8358C">
        <w:rPr>
          <w:i/>
        </w:rPr>
        <w:t>Mémoires de l’esclavage et de la traite des e</w:t>
      </w:r>
      <w:r w:rsidRPr="00E8358C">
        <w:rPr>
          <w:i/>
        </w:rPr>
        <w:t>s</w:t>
      </w:r>
      <w:r w:rsidRPr="00E8358C">
        <w:rPr>
          <w:i/>
        </w:rPr>
        <w:t>claves dans l’Atlantique Sud. Enjeux de la patrimonialisation au Br</w:t>
      </w:r>
      <w:r w:rsidRPr="00E8358C">
        <w:rPr>
          <w:i/>
        </w:rPr>
        <w:t>é</w:t>
      </w:r>
      <w:r w:rsidRPr="00E8358C">
        <w:rPr>
          <w:i/>
        </w:rPr>
        <w:t>sil et au Bénin,</w:t>
      </w:r>
      <w:r w:rsidRPr="00E8358C">
        <w:t xml:space="preserve"> Thèse de doctorat, Département d’histoire, Université Laval, Québec, 2007.</w:t>
      </w:r>
    </w:p>
    <w:p w:rsidR="004C50DC" w:rsidRPr="00E8358C" w:rsidRDefault="004C50DC" w:rsidP="004C50DC">
      <w:pPr>
        <w:spacing w:before="120" w:after="120"/>
        <w:jc w:val="both"/>
      </w:pPr>
      <w:r w:rsidRPr="00E8358C">
        <w:t>-------, « Enjeux politiques de la mémoire de l’esclavage dans l’Atlantique Sud. La reconstruction de la biographie de Francisco F</w:t>
      </w:r>
      <w:r w:rsidRPr="00E8358C">
        <w:t>é</w:t>
      </w:r>
      <w:r w:rsidRPr="00E8358C">
        <w:t xml:space="preserve">lix Souza », en ligne, </w:t>
      </w:r>
      <w:hyperlink r:id="rId94" w:history="1">
        <w:r w:rsidRPr="00E8358C">
          <w:rPr>
            <w:rStyle w:val="Lienhypertexte"/>
          </w:rPr>
          <w:t>http://www.analuciaaraujo.org/wp-content/uploads/2010/08/Araujo-Lusotopie.pdf</w:t>
        </w:r>
      </w:hyperlink>
    </w:p>
    <w:p w:rsidR="004C50DC" w:rsidRPr="00E8358C" w:rsidRDefault="004C50DC" w:rsidP="004C50DC">
      <w:pPr>
        <w:spacing w:before="120" w:after="120"/>
        <w:jc w:val="both"/>
      </w:pPr>
      <w:r w:rsidRPr="00E8358C">
        <w:t xml:space="preserve">Araujo, Ana Lucia et Anna Seiderer, « Passé colonial et  modalités de mise en mémoire de l’esclavage », </w:t>
      </w:r>
      <w:r w:rsidRPr="00E8358C">
        <w:rPr>
          <w:i/>
        </w:rPr>
        <w:t>Conserveries mémorielles</w:t>
      </w:r>
      <w:r w:rsidRPr="00E8358C">
        <w:t>, vol. 3, 2007, en ligne, http//cm.revues.org/109</w:t>
      </w:r>
    </w:p>
    <w:p w:rsidR="004C50DC" w:rsidRPr="00E8358C" w:rsidRDefault="004C50DC" w:rsidP="004C50DC">
      <w:pPr>
        <w:spacing w:before="120" w:after="120"/>
        <w:jc w:val="both"/>
      </w:pPr>
      <w:r w:rsidRPr="00E8358C">
        <w:t xml:space="preserve">Ardouin, Alexis-Beaubrun, </w:t>
      </w:r>
      <w:r w:rsidRPr="00E8358C">
        <w:rPr>
          <w:i/>
        </w:rPr>
        <w:t>Études sur l’histoire d’Haïti,</w:t>
      </w:r>
      <w:r w:rsidRPr="00E8358C">
        <w:t xml:space="preserve"> tome dixième, Paris, Dezobry et E. Magdeleine, 1860.</w:t>
      </w:r>
    </w:p>
    <w:p w:rsidR="004C50DC" w:rsidRPr="00E8358C" w:rsidRDefault="004C50DC" w:rsidP="004C50DC">
      <w:pPr>
        <w:spacing w:before="120" w:after="120"/>
        <w:jc w:val="both"/>
      </w:pPr>
      <w:r w:rsidRPr="00E8358C">
        <w:t xml:space="preserve">-------, </w:t>
      </w:r>
      <w:r w:rsidRPr="00E8358C">
        <w:rPr>
          <w:i/>
          <w:lang w:eastAsia="fr-FR"/>
        </w:rPr>
        <w:t>Études sur l’histoire d’Haïti</w:t>
      </w:r>
      <w:r w:rsidRPr="00E8358C">
        <w:rPr>
          <w:lang w:eastAsia="fr-FR"/>
        </w:rPr>
        <w:t xml:space="preserve">, </w:t>
      </w:r>
      <w:r w:rsidRPr="00E8358C">
        <w:rPr>
          <w:i/>
          <w:lang w:eastAsia="fr-FR"/>
        </w:rPr>
        <w:t>suivies de la vie du général J.M. Borgella</w:t>
      </w:r>
      <w:r w:rsidRPr="00E8358C">
        <w:rPr>
          <w:lang w:eastAsia="fr-FR"/>
        </w:rPr>
        <w:t>, tome premier, Paris, Dezobry et E. Magdeleine, 1853</w:t>
      </w:r>
      <w:r w:rsidRPr="00E8358C">
        <w:t>.</w:t>
      </w:r>
    </w:p>
    <w:p w:rsidR="004C50DC" w:rsidRPr="00E8358C" w:rsidRDefault="004C50DC" w:rsidP="004C50DC">
      <w:pPr>
        <w:spacing w:before="120" w:after="120"/>
        <w:jc w:val="both"/>
      </w:pPr>
      <w:r w:rsidRPr="00E8358C">
        <w:t xml:space="preserve">Aristote, </w:t>
      </w:r>
      <w:r w:rsidRPr="00E8358C">
        <w:rPr>
          <w:i/>
        </w:rPr>
        <w:t>Politique</w:t>
      </w:r>
      <w:r w:rsidRPr="00E8358C">
        <w:t xml:space="preserve">, </w:t>
      </w:r>
      <w:r w:rsidRPr="00E8358C">
        <w:rPr>
          <w:lang w:eastAsia="fr-FR"/>
        </w:rPr>
        <w:t>Paris, Librairie philosophique Lagrange, 1863</w:t>
      </w:r>
      <w:r w:rsidRPr="00E8358C">
        <w:t>.</w:t>
      </w:r>
    </w:p>
    <w:p w:rsidR="004C50DC" w:rsidRPr="00E8358C" w:rsidRDefault="004C50DC" w:rsidP="004C50DC">
      <w:pPr>
        <w:spacing w:before="120" w:after="120"/>
        <w:jc w:val="both"/>
        <w:rPr>
          <w:rFonts w:eastAsia="Calibri"/>
        </w:rPr>
      </w:pPr>
      <w:r w:rsidRPr="00E8358C">
        <w:t xml:space="preserve">-------, </w:t>
      </w:r>
      <w:hyperlink r:id="rId95" w:history="1">
        <w:r w:rsidRPr="00E8358C">
          <w:rPr>
            <w:rStyle w:val="Lienhypertexte"/>
            <w:i/>
          </w:rPr>
          <w:t>Éthique à Nicomaque</w:t>
        </w:r>
      </w:hyperlink>
      <w:r w:rsidRPr="00E8358C">
        <w:t xml:space="preserve">, Paris, </w:t>
      </w:r>
      <w:r w:rsidRPr="00E8358C">
        <w:rPr>
          <w:rFonts w:eastAsia="Calibri"/>
        </w:rPr>
        <w:t>Vrin, 1979.</w:t>
      </w:r>
    </w:p>
    <w:p w:rsidR="004C50DC" w:rsidRPr="00E8358C" w:rsidRDefault="004C50DC" w:rsidP="004C50DC">
      <w:pPr>
        <w:spacing w:before="120" w:after="120"/>
        <w:jc w:val="both"/>
      </w:pPr>
      <w:r w:rsidRPr="00E8358C">
        <w:t>Augustin, Jean Ronald, « La mémoire de l’esclavage dans l’espace public. Initiatives pour</w:t>
      </w:r>
      <w:r>
        <w:t xml:space="preserve"> [467]</w:t>
      </w:r>
      <w:r w:rsidRPr="00E8358C">
        <w:t xml:space="preserve"> sa patrimonialisation à Bordeaux (Fra</w:t>
      </w:r>
      <w:r w:rsidRPr="00E8358C">
        <w:t>n</w:t>
      </w:r>
      <w:r w:rsidRPr="00E8358C">
        <w:t xml:space="preserve">ce) et à Port-au-Prince (Haïti) », dans </w:t>
      </w:r>
      <w:r w:rsidRPr="00E8358C">
        <w:rPr>
          <w:i/>
        </w:rPr>
        <w:t>Ethnologies</w:t>
      </w:r>
      <w:r w:rsidRPr="00E8358C">
        <w:t>, vol. 34, n</w:t>
      </w:r>
      <w:r w:rsidRPr="00E8358C">
        <w:rPr>
          <w:vertAlign w:val="superscript"/>
        </w:rPr>
        <w:t>os</w:t>
      </w:r>
      <w:r w:rsidRPr="00E8358C">
        <w:t> 1-2, 2012, p</w:t>
      </w:r>
      <w:r>
        <w:t>p</w:t>
      </w:r>
      <w:r w:rsidRPr="00E8358C">
        <w:t>. 205-226.</w:t>
      </w:r>
    </w:p>
    <w:p w:rsidR="004C50DC" w:rsidRPr="00E8358C" w:rsidRDefault="004C50DC" w:rsidP="004C50DC">
      <w:pPr>
        <w:spacing w:before="120" w:after="120"/>
        <w:jc w:val="both"/>
      </w:pPr>
      <w:r w:rsidRPr="00E8358C">
        <w:t xml:space="preserve">-------, « Tambou marengwen », 2010, en ligne, </w:t>
      </w:r>
      <w:hyperlink r:id="rId96" w:history="1">
        <w:r w:rsidRPr="00E8358C">
          <w:rPr>
            <w:rStyle w:val="Lienhypertexte"/>
          </w:rPr>
          <w:t>http://www.ipimh.ulaval.ca/fiche-tanbou-marengwen-24.html</w:t>
        </w:r>
      </w:hyperlink>
    </w:p>
    <w:p w:rsidR="004C50DC" w:rsidRPr="00E8358C" w:rsidRDefault="004C50DC" w:rsidP="004C50DC">
      <w:pPr>
        <w:spacing w:before="120" w:after="120"/>
        <w:jc w:val="both"/>
      </w:pPr>
      <w:r w:rsidRPr="00E8358C">
        <w:t xml:space="preserve">-------, </w:t>
      </w:r>
      <w:r w:rsidRPr="00E8358C">
        <w:rPr>
          <w:i/>
        </w:rPr>
        <w:t>L’habitation sucrière en Haïti. Enjeu historique et mémoire de l’esclavage. (Cas de Camp Gérard aux Cayes)</w:t>
      </w:r>
      <w:r w:rsidRPr="00E8358C">
        <w:t>, mémoire présenté au programme des Études post-graduées de l’Université d’État d’Haïti p</w:t>
      </w:r>
      <w:r w:rsidRPr="00E8358C">
        <w:rPr>
          <w:bCs/>
        </w:rPr>
        <w:t>our l’obtention du grade de Maître en Histoire, Mémoire et Patr</w:t>
      </w:r>
      <w:r w:rsidRPr="00E8358C">
        <w:rPr>
          <w:bCs/>
        </w:rPr>
        <w:t>i</w:t>
      </w:r>
      <w:r w:rsidRPr="00E8358C">
        <w:rPr>
          <w:bCs/>
        </w:rPr>
        <w:t xml:space="preserve">moine, </w:t>
      </w:r>
      <w:r w:rsidRPr="00E8358C">
        <w:t xml:space="preserve">Maîtrise interdisciplinaire en sciences sociales et humaines (MISSH), </w:t>
      </w:r>
      <w:r w:rsidRPr="00E8358C">
        <w:rPr>
          <w:bCs/>
        </w:rPr>
        <w:t>mars 2010.</w:t>
      </w:r>
    </w:p>
    <w:p w:rsidR="004C50DC" w:rsidRPr="00E8358C" w:rsidRDefault="004C50DC" w:rsidP="004C50DC">
      <w:pPr>
        <w:spacing w:before="120" w:after="120"/>
        <w:jc w:val="both"/>
      </w:pPr>
      <w:r w:rsidRPr="00E8358C">
        <w:t xml:space="preserve">Avril, Prosper, </w:t>
      </w:r>
      <w:r w:rsidRPr="00E8358C">
        <w:rPr>
          <w:i/>
        </w:rPr>
        <w:t>Le MUPANAH : un monde à découvrir. Haïti, 1983-2013,</w:t>
      </w:r>
      <w:r w:rsidRPr="00E8358C">
        <w:t xml:space="preserve"> Port-au-Prince, L’Imprimeur, 2013.</w:t>
      </w:r>
    </w:p>
    <w:p w:rsidR="004C50DC" w:rsidRPr="00E8358C" w:rsidRDefault="004C50DC" w:rsidP="004C50DC">
      <w:pPr>
        <w:spacing w:before="120" w:after="120"/>
        <w:jc w:val="both"/>
      </w:pPr>
      <w:r w:rsidRPr="00E8358C">
        <w:t xml:space="preserve">Badie, Bertrand, </w:t>
      </w:r>
      <w:r w:rsidRPr="00E8358C">
        <w:rPr>
          <w:i/>
        </w:rPr>
        <w:t>L’État importé. Essai sur l’occidentalisation de l’ordre politique</w:t>
      </w:r>
      <w:r w:rsidRPr="00E8358C">
        <w:t>, Paris, Fayard, 1992.</w:t>
      </w:r>
    </w:p>
    <w:p w:rsidR="004C50DC" w:rsidRPr="00E8358C" w:rsidRDefault="004C50DC" w:rsidP="004C50DC">
      <w:pPr>
        <w:spacing w:before="120" w:after="120"/>
        <w:jc w:val="both"/>
      </w:pPr>
      <w:r w:rsidRPr="00E8358C">
        <w:t>Baggioni-Lopez Nadine, « De la Perle des Antilles au temps de la première colonisation au pays le plus pauvre du continent américain. De l’esclavage au sous-développement, une construction de la dom</w:t>
      </w:r>
      <w:r w:rsidRPr="00E8358C">
        <w:t>i</w:t>
      </w:r>
      <w:r w:rsidRPr="00E8358C">
        <w:t xml:space="preserve">nation », dans le cours Saint-Domingue/Haïti : histoire, géographie, enseignement (collèges, lycée professionnel), en ligne, </w:t>
      </w:r>
      <w:hyperlink r:id="rId97" w:history="1">
        <w:r w:rsidRPr="00E8358C">
          <w:rPr>
            <w:rStyle w:val="Lienhypertexte"/>
          </w:rPr>
          <w:t>https://www2.ac-lyon.fr/.../Haïti_histoire_geographie_enseignement_1_.do</w:t>
        </w:r>
      </w:hyperlink>
      <w:r w:rsidRPr="00E8358C">
        <w:t>...</w:t>
      </w:r>
    </w:p>
    <w:p w:rsidR="004C50DC" w:rsidRPr="00E8358C" w:rsidRDefault="004C50DC" w:rsidP="004C50DC">
      <w:pPr>
        <w:spacing w:before="120" w:after="120"/>
        <w:jc w:val="both"/>
      </w:pPr>
      <w:r w:rsidRPr="00E8358C">
        <w:t xml:space="preserve">Baguidy, Joseph D., </w:t>
      </w:r>
      <w:r w:rsidRPr="00E8358C">
        <w:rPr>
          <w:i/>
        </w:rPr>
        <w:t>Dynamique d’une Révolution. 1946 à Haïti</w:t>
      </w:r>
      <w:r w:rsidRPr="00E8358C">
        <w:t>, Berne, Coloroffset, 1972.</w:t>
      </w:r>
    </w:p>
    <w:p w:rsidR="004C50DC" w:rsidRPr="00E8358C" w:rsidRDefault="004C50DC" w:rsidP="004C50DC">
      <w:pPr>
        <w:spacing w:before="120" w:after="120"/>
        <w:jc w:val="both"/>
      </w:pPr>
      <w:r w:rsidRPr="00E8358C">
        <w:t xml:space="preserve">Balibar, Étienne et Immanuel Wallerstein, </w:t>
      </w:r>
      <w:r w:rsidRPr="00E8358C">
        <w:rPr>
          <w:i/>
        </w:rPr>
        <w:t>Race, nation, classe. Les identités ambiguës</w:t>
      </w:r>
      <w:r w:rsidRPr="00E8358C">
        <w:t>, Paris, La Découverte/Poche, [1988] 1997.</w:t>
      </w:r>
    </w:p>
    <w:p w:rsidR="004C50DC" w:rsidRPr="00E8358C" w:rsidRDefault="004C50DC" w:rsidP="004C50DC">
      <w:pPr>
        <w:spacing w:before="120" w:after="120"/>
        <w:jc w:val="both"/>
      </w:pPr>
      <w:r w:rsidRPr="00E8358C">
        <w:t xml:space="preserve">Bambou, Pierre, « Le concept d’oraliture », </w:t>
      </w:r>
      <w:r w:rsidRPr="00E8358C">
        <w:rPr>
          <w:i/>
        </w:rPr>
        <w:t>Le Nouvelliste</w:t>
      </w:r>
      <w:r w:rsidRPr="00E8358C">
        <w:t>, 12 mai 1974.</w:t>
      </w:r>
    </w:p>
    <w:p w:rsidR="004C50DC" w:rsidRPr="00E8358C" w:rsidRDefault="004C50DC" w:rsidP="004C50DC">
      <w:pPr>
        <w:spacing w:before="120" w:after="120"/>
        <w:jc w:val="both"/>
      </w:pPr>
      <w:r w:rsidRPr="00E8358C">
        <w:t xml:space="preserve">Bandura, Albert, </w:t>
      </w:r>
      <w:r w:rsidRPr="00E8358C">
        <w:rPr>
          <w:i/>
        </w:rPr>
        <w:t>In social learning theory</w:t>
      </w:r>
      <w:r w:rsidRPr="00E8358C">
        <w:t>, Englewood Cliffs, NJ: Prentice Hall,1977.</w:t>
      </w:r>
    </w:p>
    <w:p w:rsidR="004C50DC" w:rsidRPr="00E8358C" w:rsidRDefault="004C50DC" w:rsidP="004C50DC">
      <w:pPr>
        <w:spacing w:before="120" w:after="120"/>
        <w:jc w:val="both"/>
      </w:pPr>
      <w:r w:rsidRPr="00E8358C">
        <w:t>Barthélémy, Dominique</w:t>
      </w:r>
      <w:r w:rsidRPr="00E8358C">
        <w:rPr>
          <w:lang w:eastAsia="fr-FR"/>
        </w:rPr>
        <w:t xml:space="preserve">, « Serf », dans Claude Gauvard, Alain de Libera et Michel Zink (dir.), </w:t>
      </w:r>
      <w:r w:rsidRPr="00E8358C">
        <w:rPr>
          <w:i/>
          <w:iCs/>
          <w:lang w:eastAsia="fr-FR"/>
        </w:rPr>
        <w:t>Dictionnaire du Moyen Âge</w:t>
      </w:r>
      <w:r w:rsidRPr="00E8358C">
        <w:rPr>
          <w:lang w:eastAsia="fr-FR"/>
        </w:rPr>
        <w:t>, Paris, Pre</w:t>
      </w:r>
      <w:r w:rsidRPr="00E8358C">
        <w:rPr>
          <w:lang w:eastAsia="fr-FR"/>
        </w:rPr>
        <w:t>s</w:t>
      </w:r>
      <w:r w:rsidRPr="00E8358C">
        <w:rPr>
          <w:lang w:eastAsia="fr-FR"/>
        </w:rPr>
        <w:t>ses Universitaires de France, 2002, p. 1325.</w:t>
      </w:r>
    </w:p>
    <w:p w:rsidR="004C50DC" w:rsidRPr="00E8358C" w:rsidRDefault="004C50DC" w:rsidP="004C50DC">
      <w:pPr>
        <w:spacing w:before="120" w:after="120"/>
        <w:jc w:val="both"/>
      </w:pPr>
      <w:r w:rsidRPr="00E8358C">
        <w:t>Barthélemy, Gérard, « Réflexions sur deux mémoires inconcili</w:t>
      </w:r>
      <w:r w:rsidRPr="00E8358C">
        <w:t>a</w:t>
      </w:r>
      <w:r w:rsidRPr="00E8358C">
        <w:t xml:space="preserve">bles : celle du maître et celle de l’esclave. Le cas d’Haïti », </w:t>
      </w:r>
      <w:r w:rsidRPr="00E8358C">
        <w:rPr>
          <w:i/>
        </w:rPr>
        <w:t>Cahiers d’Études africaines</w:t>
      </w:r>
      <w:r w:rsidRPr="00E8358C">
        <w:t>, vol. XLIV, n</w:t>
      </w:r>
      <w:r w:rsidRPr="00E8358C">
        <w:rPr>
          <w:vertAlign w:val="superscript"/>
        </w:rPr>
        <w:t>os</w:t>
      </w:r>
      <w:r w:rsidRPr="00E8358C">
        <w:t xml:space="preserve"> 173-174, 2004, p</w:t>
      </w:r>
      <w:r>
        <w:t>p</w:t>
      </w:r>
      <w:r w:rsidRPr="00E8358C">
        <w:t xml:space="preserve">. 117-129. </w:t>
      </w:r>
    </w:p>
    <w:p w:rsidR="004C50DC" w:rsidRPr="00E8358C" w:rsidRDefault="004C50DC" w:rsidP="004C50DC">
      <w:pPr>
        <w:spacing w:before="120" w:after="120"/>
        <w:jc w:val="both"/>
      </w:pPr>
      <w:r w:rsidRPr="00E8358C">
        <w:t>-------, « Le rôle des Bossales dans  l’émergence d’une culture de marronnage en Haïti »,</w:t>
      </w:r>
      <w:r w:rsidRPr="00E8358C">
        <w:rPr>
          <w:i/>
        </w:rPr>
        <w:t xml:space="preserve"> Cahiers d’études africaines</w:t>
      </w:r>
      <w:r w:rsidRPr="00E8358C">
        <w:t>, numéro thémat</w:t>
      </w:r>
      <w:r w:rsidRPr="00E8358C">
        <w:t>i</w:t>
      </w:r>
      <w:r w:rsidRPr="00E8358C">
        <w:t xml:space="preserve">que </w:t>
      </w:r>
      <w:r w:rsidRPr="00E8358C">
        <w:rPr>
          <w:i/>
        </w:rPr>
        <w:t>La Caraïbe. Des îles au continent,</w:t>
      </w:r>
      <w:r w:rsidRPr="00E8358C">
        <w:t xml:space="preserve"> vol. 37, n</w:t>
      </w:r>
      <w:r w:rsidRPr="00E8358C">
        <w:rPr>
          <w:vertAlign w:val="superscript"/>
        </w:rPr>
        <w:t>o </w:t>
      </w:r>
      <w:r w:rsidRPr="00E8358C">
        <w:t xml:space="preserve">148, 1997, </w:t>
      </w:r>
      <w:r>
        <w:t>p</w:t>
      </w:r>
      <w:r w:rsidRPr="00E8358C">
        <w:t>p. 839-862.</w:t>
      </w:r>
    </w:p>
    <w:p w:rsidR="004C50DC" w:rsidRPr="00E8358C" w:rsidRDefault="004C50DC" w:rsidP="004C50DC">
      <w:pPr>
        <w:spacing w:before="120" w:after="120"/>
        <w:jc w:val="both"/>
      </w:pPr>
      <w:r w:rsidRPr="00E8358C">
        <w:t xml:space="preserve">-------, « Paradoxes de la mémoire paysanne », </w:t>
      </w:r>
      <w:r w:rsidRPr="00E8358C">
        <w:rPr>
          <w:i/>
        </w:rPr>
        <w:t>Chemins critiques</w:t>
      </w:r>
      <w:r w:rsidRPr="00E8358C">
        <w:t>, vol. 1, n</w:t>
      </w:r>
      <w:r w:rsidRPr="00E8358C">
        <w:rPr>
          <w:vertAlign w:val="superscript"/>
        </w:rPr>
        <w:t>o</w:t>
      </w:r>
      <w:r w:rsidRPr="00E8358C">
        <w:t> 4, 1990, p</w:t>
      </w:r>
      <w:r>
        <w:t>p</w:t>
      </w:r>
      <w:r w:rsidRPr="00E8358C">
        <w:t>. 71-87.</w:t>
      </w:r>
    </w:p>
    <w:p w:rsidR="004C50DC" w:rsidRPr="00E8358C" w:rsidRDefault="004C50DC" w:rsidP="004C50DC">
      <w:pPr>
        <w:spacing w:before="120" w:after="120"/>
        <w:jc w:val="both"/>
      </w:pPr>
      <w:r w:rsidRPr="00E8358C">
        <w:t xml:space="preserve">-------, </w:t>
      </w:r>
      <w:r w:rsidRPr="00E8358C">
        <w:rPr>
          <w:i/>
        </w:rPr>
        <w:t>Le pays en dehors. Essai sur l’univers rural haïtien</w:t>
      </w:r>
      <w:r w:rsidRPr="00E8358C">
        <w:t>, Port-au-Prince, Henri Deschamps et Cidhica, 1989.</w:t>
      </w:r>
    </w:p>
    <w:p w:rsidR="004C50DC" w:rsidRPr="00E8358C" w:rsidRDefault="004C50DC" w:rsidP="004C50DC">
      <w:pPr>
        <w:spacing w:before="120" w:after="120"/>
        <w:jc w:val="both"/>
      </w:pPr>
      <w:r w:rsidRPr="00E8358C">
        <w:t xml:space="preserve">Barthélemy, Mimi, </w:t>
      </w:r>
      <w:r w:rsidRPr="00E8358C">
        <w:rPr>
          <w:i/>
        </w:rPr>
        <w:t>Tézin, le poisson d’eau douce</w:t>
      </w:r>
      <w:r w:rsidRPr="00E8358C">
        <w:t>, Paris, L’Harmattan,  1995.</w:t>
      </w:r>
    </w:p>
    <w:p w:rsidR="004C50DC" w:rsidRPr="00E8358C" w:rsidRDefault="004C50DC" w:rsidP="004C50DC">
      <w:pPr>
        <w:spacing w:before="120" w:after="120"/>
        <w:jc w:val="both"/>
      </w:pPr>
      <w:r w:rsidRPr="00E8358C">
        <w:t>Barthes, Roland, « Réflexions sur un manuel », dans Serge Do</w:t>
      </w:r>
      <w:r w:rsidRPr="00E8358C">
        <w:t>u</w:t>
      </w:r>
      <w:r w:rsidRPr="00E8358C">
        <w:t xml:space="preserve">brovsky et Tzvetan Todorov (dir.), </w:t>
      </w:r>
      <w:r w:rsidRPr="00E8358C">
        <w:rPr>
          <w:i/>
        </w:rPr>
        <w:t xml:space="preserve">L’Enseignement de la </w:t>
      </w:r>
      <w:r w:rsidRPr="00792DC7">
        <w:t>littérature</w:t>
      </w:r>
      <w:r w:rsidRPr="00E8358C">
        <w:t>, Paris, Plon, 1971, p</w:t>
      </w:r>
      <w:r>
        <w:t>p</w:t>
      </w:r>
      <w:r w:rsidRPr="00E8358C">
        <w:t xml:space="preserve">. 170-177. </w:t>
      </w:r>
    </w:p>
    <w:p w:rsidR="004C50DC" w:rsidRPr="00E8358C" w:rsidRDefault="004C50DC" w:rsidP="004C50DC">
      <w:pPr>
        <w:spacing w:before="120" w:after="120"/>
        <w:jc w:val="both"/>
      </w:pPr>
      <w:r w:rsidRPr="00E8358C">
        <w:t xml:space="preserve">-------, </w:t>
      </w:r>
      <w:r w:rsidRPr="00792DC7">
        <w:rPr>
          <w:i/>
        </w:rPr>
        <w:t>Mythologies</w:t>
      </w:r>
      <w:r w:rsidRPr="00E8358C">
        <w:t>, Paris, Seuil, 1957.</w:t>
      </w:r>
    </w:p>
    <w:p w:rsidR="004C50DC" w:rsidRPr="00E8358C" w:rsidRDefault="004C50DC" w:rsidP="004C50DC">
      <w:pPr>
        <w:spacing w:before="120" w:after="120"/>
        <w:jc w:val="both"/>
      </w:pPr>
      <w:r w:rsidRPr="00E8358C">
        <w:t xml:space="preserve">Bastide, Roger, </w:t>
      </w:r>
      <w:r w:rsidRPr="00792DC7">
        <w:rPr>
          <w:i/>
        </w:rPr>
        <w:t>Brésil, terre des contrastes</w:t>
      </w:r>
      <w:r w:rsidRPr="00792DC7">
        <w:t xml:space="preserve">, </w:t>
      </w:r>
      <w:r w:rsidRPr="00E8358C">
        <w:t xml:space="preserve">Paris, </w:t>
      </w:r>
      <w:r w:rsidRPr="00792DC7">
        <w:t>L’Harmathan, [</w:t>
      </w:r>
      <w:r w:rsidRPr="00E8358C">
        <w:t>1957]</w:t>
      </w:r>
      <w:r>
        <w:t xml:space="preserve"> </w:t>
      </w:r>
      <w:r w:rsidRPr="00E8358C">
        <w:t>2000.</w:t>
      </w:r>
    </w:p>
    <w:p w:rsidR="004C50DC" w:rsidRPr="00E8358C" w:rsidRDefault="004C50DC" w:rsidP="004C50DC">
      <w:pPr>
        <w:spacing w:before="120" w:after="120"/>
        <w:jc w:val="both"/>
      </w:pPr>
      <w:r w:rsidRPr="00E8358C">
        <w:t xml:space="preserve">-------, </w:t>
      </w:r>
      <w:r w:rsidRPr="00792DC7">
        <w:rPr>
          <w:i/>
        </w:rPr>
        <w:t>Le Candomblé de Bahia</w:t>
      </w:r>
      <w:r w:rsidRPr="00792DC7">
        <w:t xml:space="preserve">, </w:t>
      </w:r>
      <w:r w:rsidRPr="00E8358C">
        <w:t>Paris, PUF, 1958.</w:t>
      </w:r>
    </w:p>
    <w:p w:rsidR="004C50DC" w:rsidRPr="00E8358C" w:rsidRDefault="004C50DC" w:rsidP="004C50DC">
      <w:pPr>
        <w:spacing w:before="120" w:after="120"/>
        <w:jc w:val="both"/>
      </w:pPr>
      <w:r w:rsidRPr="00E8358C">
        <w:t xml:space="preserve">-------, </w:t>
      </w:r>
      <w:r w:rsidRPr="00792DC7">
        <w:rPr>
          <w:i/>
        </w:rPr>
        <w:t>Les Religions africaines au Brésil</w:t>
      </w:r>
      <w:r w:rsidRPr="00792DC7">
        <w:t xml:space="preserve">, </w:t>
      </w:r>
      <w:r w:rsidRPr="00E8358C">
        <w:t>Paris, PUF, 1960.</w:t>
      </w:r>
    </w:p>
    <w:p w:rsidR="004C50DC" w:rsidRPr="00E8358C" w:rsidRDefault="004C50DC" w:rsidP="004C50DC">
      <w:pPr>
        <w:spacing w:before="120" w:after="120"/>
        <w:jc w:val="both"/>
      </w:pPr>
      <w:r w:rsidRPr="00E8358C">
        <w:t xml:space="preserve">-------, </w:t>
      </w:r>
      <w:r w:rsidRPr="00792DC7">
        <w:rPr>
          <w:i/>
        </w:rPr>
        <w:t>Les</w:t>
      </w:r>
      <w:r w:rsidRPr="00792DC7">
        <w:t xml:space="preserve"> </w:t>
      </w:r>
      <w:r w:rsidRPr="00792DC7">
        <w:rPr>
          <w:i/>
        </w:rPr>
        <w:t>civilisations africaines dans le Nouveau Monde</w:t>
      </w:r>
      <w:r w:rsidRPr="00792DC7">
        <w:t>, Paris, Payot, 1967.</w:t>
      </w:r>
    </w:p>
    <w:p w:rsidR="004C50DC" w:rsidRPr="00792DC7" w:rsidRDefault="004C50DC" w:rsidP="004C50DC">
      <w:pPr>
        <w:spacing w:before="120" w:after="120"/>
        <w:jc w:val="both"/>
      </w:pPr>
      <w:r w:rsidRPr="00E8358C">
        <w:t xml:space="preserve">-------, </w:t>
      </w:r>
      <w:r w:rsidRPr="00792DC7">
        <w:rPr>
          <w:i/>
        </w:rPr>
        <w:t>Les Amériques noires</w:t>
      </w:r>
      <w:r w:rsidRPr="00792DC7">
        <w:t>, Paris, L’Harmattan, 1996.</w:t>
      </w:r>
    </w:p>
    <w:p w:rsidR="004C50DC" w:rsidRPr="00E8358C" w:rsidRDefault="004C50DC" w:rsidP="004C50DC">
      <w:pPr>
        <w:spacing w:before="120" w:after="120"/>
        <w:jc w:val="both"/>
      </w:pPr>
      <w:r w:rsidRPr="00E8358C">
        <w:t xml:space="preserve">Bastien, Rémy, </w:t>
      </w:r>
      <w:r w:rsidRPr="00E8358C">
        <w:rPr>
          <w:i/>
        </w:rPr>
        <w:t>Le paysan haïtien</w:t>
      </w:r>
      <w:r w:rsidRPr="00E8358C">
        <w:t>, Paris, Karthala, 1985.</w:t>
      </w:r>
    </w:p>
    <w:p w:rsidR="004C50DC" w:rsidRDefault="004C50DC" w:rsidP="004C50DC">
      <w:pPr>
        <w:spacing w:before="120" w:after="120"/>
        <w:jc w:val="both"/>
      </w:pPr>
      <w:r>
        <w:t>[468]</w:t>
      </w:r>
    </w:p>
    <w:p w:rsidR="004C50DC" w:rsidRPr="00E8358C" w:rsidRDefault="004C50DC" w:rsidP="004C50DC">
      <w:pPr>
        <w:spacing w:before="120" w:after="120"/>
        <w:jc w:val="both"/>
      </w:pPr>
      <w:r w:rsidRPr="00E8358C">
        <w:t xml:space="preserve">Baudrillard, Jean, </w:t>
      </w:r>
      <w:r w:rsidRPr="00E8358C">
        <w:rPr>
          <w:i/>
        </w:rPr>
        <w:t>Pour une critique de l’économie politique  du s</w:t>
      </w:r>
      <w:r w:rsidRPr="00E8358C">
        <w:rPr>
          <w:i/>
        </w:rPr>
        <w:t>i</w:t>
      </w:r>
      <w:r w:rsidRPr="00E8358C">
        <w:rPr>
          <w:i/>
        </w:rPr>
        <w:t>gne</w:t>
      </w:r>
      <w:r w:rsidRPr="00E8358C">
        <w:t xml:space="preserve">, Paris, Gallimard, 1972. </w:t>
      </w:r>
    </w:p>
    <w:p w:rsidR="004C50DC" w:rsidRPr="00E8358C" w:rsidRDefault="004C50DC" w:rsidP="004C50DC">
      <w:pPr>
        <w:spacing w:before="120" w:after="120"/>
        <w:jc w:val="both"/>
      </w:pPr>
      <w:r w:rsidRPr="00E8358C">
        <w:t xml:space="preserve">-------, </w:t>
      </w:r>
      <w:r w:rsidRPr="00E8358C">
        <w:rPr>
          <w:i/>
        </w:rPr>
        <w:t>Le système des objets</w:t>
      </w:r>
      <w:r w:rsidRPr="00E8358C">
        <w:t>, Paris, Gallimard, 1968.</w:t>
      </w:r>
    </w:p>
    <w:p w:rsidR="004C50DC" w:rsidRPr="00E8358C" w:rsidRDefault="004C50DC" w:rsidP="004C50DC">
      <w:pPr>
        <w:spacing w:before="120" w:after="120"/>
        <w:jc w:val="both"/>
      </w:pPr>
      <w:r w:rsidRPr="00E8358C">
        <w:t xml:space="preserve">Bazin, Jean et Albin Bensa, « Les objets et la chose : des objets à la chose », </w:t>
      </w:r>
      <w:r w:rsidRPr="00E8358C">
        <w:rPr>
          <w:i/>
        </w:rPr>
        <w:t>Genèse</w:t>
      </w:r>
      <w:r w:rsidRPr="00E8358C">
        <w:t xml:space="preserve">, vol. 17, 1994, </w:t>
      </w:r>
      <w:r>
        <w:t>p</w:t>
      </w:r>
      <w:r w:rsidRPr="00E8358C">
        <w:t>p. 4-7.</w:t>
      </w:r>
    </w:p>
    <w:p w:rsidR="004C50DC" w:rsidRPr="00E8358C" w:rsidRDefault="004C50DC" w:rsidP="004C50DC">
      <w:pPr>
        <w:spacing w:before="120" w:after="120"/>
        <w:jc w:val="both"/>
      </w:pPr>
      <w:r w:rsidRPr="00E8358C">
        <w:t xml:space="preserve">Beauvoir, Max G., </w:t>
      </w:r>
      <w:r w:rsidRPr="00E8358C">
        <w:rPr>
          <w:i/>
        </w:rPr>
        <w:t>Le grand recueil sacré ou répertoire des cha</w:t>
      </w:r>
      <w:r w:rsidRPr="00E8358C">
        <w:rPr>
          <w:i/>
        </w:rPr>
        <w:t>n</w:t>
      </w:r>
      <w:r w:rsidRPr="00E8358C">
        <w:rPr>
          <w:i/>
        </w:rPr>
        <w:t>sons du vodou haïtien</w:t>
      </w:r>
      <w:r w:rsidRPr="00E8358C">
        <w:t>, Port-au-Prince, Presses nationales, 2008.</w:t>
      </w:r>
    </w:p>
    <w:p w:rsidR="004C50DC" w:rsidRPr="00E8358C" w:rsidRDefault="004C50DC" w:rsidP="004C50DC">
      <w:pPr>
        <w:spacing w:before="120" w:after="120"/>
        <w:jc w:val="both"/>
      </w:pPr>
      <w:r w:rsidRPr="00E8358C">
        <w:t xml:space="preserve">Beauvoir-Dominique, Rachel et Eddy Lubin, </w:t>
      </w:r>
      <w:r w:rsidRPr="00E8358C">
        <w:rPr>
          <w:i/>
        </w:rPr>
        <w:t xml:space="preserve">Investigations autour du site historique du Bois-Caïman, </w:t>
      </w:r>
      <w:r w:rsidRPr="00E8358C">
        <w:t>Rapport, Cap-Haïtien, janvier 2000.</w:t>
      </w:r>
    </w:p>
    <w:p w:rsidR="004C50DC" w:rsidRPr="00E8358C" w:rsidRDefault="004C50DC" w:rsidP="004C50DC">
      <w:pPr>
        <w:spacing w:before="120" w:after="120"/>
        <w:jc w:val="both"/>
      </w:pPr>
      <w:r w:rsidRPr="00E8358C">
        <w:t>Béchacq, Dimitri, « Le secteur vodou en Haïti. Esthétique politique d’un militantisme religieux (1986-2010) », dans Lewis Ampidu Clo</w:t>
      </w:r>
      <w:r w:rsidRPr="00E8358C">
        <w:t>r</w:t>
      </w:r>
      <w:r w:rsidRPr="00E8358C">
        <w:t xml:space="preserve">méus (dir.), </w:t>
      </w:r>
      <w:r w:rsidRPr="00E8358C">
        <w:rPr>
          <w:i/>
        </w:rPr>
        <w:t>État, religions et politique en Haïti, XVIII</w:t>
      </w:r>
      <w:r w:rsidRPr="00E8358C">
        <w:rPr>
          <w:i/>
          <w:vertAlign w:val="superscript"/>
        </w:rPr>
        <w:t>e</w:t>
      </w:r>
      <w:r w:rsidRPr="00E8358C">
        <w:rPr>
          <w:i/>
        </w:rPr>
        <w:t>-XXI</w:t>
      </w:r>
      <w:r w:rsidRPr="00E8358C">
        <w:rPr>
          <w:i/>
          <w:vertAlign w:val="superscript"/>
        </w:rPr>
        <w:t>e</w:t>
      </w:r>
      <w:r w:rsidRPr="00E8358C">
        <w:rPr>
          <w:i/>
        </w:rPr>
        <w:t xml:space="preserve"> siècles</w:t>
      </w:r>
      <w:r w:rsidRPr="00E8358C">
        <w:t xml:space="preserve">, numéro thématique de </w:t>
      </w:r>
      <w:r w:rsidRPr="00E8358C">
        <w:rPr>
          <w:i/>
        </w:rPr>
        <w:t>Histoire, Monde et Cultures religieuses</w:t>
      </w:r>
      <w:r w:rsidRPr="00E8358C">
        <w:t>, n</w:t>
      </w:r>
      <w:r w:rsidRPr="00E8358C">
        <w:rPr>
          <w:vertAlign w:val="superscript"/>
        </w:rPr>
        <w:t>o </w:t>
      </w:r>
      <w:r w:rsidRPr="00E8358C">
        <w:t xml:space="preserve">29, 2014, </w:t>
      </w:r>
      <w:r>
        <w:t>p</w:t>
      </w:r>
      <w:r w:rsidRPr="00E8358C">
        <w:t>p. 101-118.</w:t>
      </w:r>
    </w:p>
    <w:p w:rsidR="004C50DC" w:rsidRPr="00E8358C" w:rsidRDefault="004C50DC" w:rsidP="004C50DC">
      <w:pPr>
        <w:spacing w:before="120" w:after="120"/>
        <w:jc w:val="both"/>
      </w:pPr>
      <w:r w:rsidRPr="00E8358C">
        <w:t>-------, « Les parcours du marronnage dans l’histoire haïtienne. E</w:t>
      </w:r>
      <w:r w:rsidRPr="00E8358C">
        <w:t>n</w:t>
      </w:r>
      <w:r w:rsidRPr="00E8358C">
        <w:t xml:space="preserve">tre instrumentalisation politique et réinterprétation sociale », dans </w:t>
      </w:r>
      <w:r w:rsidRPr="00E8358C">
        <w:rPr>
          <w:i/>
        </w:rPr>
        <w:t xml:space="preserve">Ethnologies. Haïti face au passé, </w:t>
      </w:r>
      <w:r w:rsidRPr="00E8358C">
        <w:t>vol. 28, n</w:t>
      </w:r>
      <w:r w:rsidRPr="00E8358C">
        <w:rPr>
          <w:vertAlign w:val="superscript"/>
        </w:rPr>
        <w:t>o</w:t>
      </w:r>
      <w:r w:rsidRPr="00E8358C">
        <w:t> 1, 2006, p</w:t>
      </w:r>
      <w:r>
        <w:t>p</w:t>
      </w:r>
      <w:r w:rsidRPr="00E8358C">
        <w:t>. 203-240.</w:t>
      </w:r>
    </w:p>
    <w:p w:rsidR="004C50DC" w:rsidRPr="00E8358C" w:rsidRDefault="004C50DC" w:rsidP="004C50DC">
      <w:pPr>
        <w:spacing w:before="120" w:after="120"/>
        <w:jc w:val="both"/>
      </w:pPr>
      <w:r w:rsidRPr="00E8358C">
        <w:t xml:space="preserve">Belaën, Florence, </w:t>
      </w:r>
      <w:r w:rsidRPr="00E8358C">
        <w:rPr>
          <w:i/>
        </w:rPr>
        <w:t>L’expérience de visite dans les expositions scie</w:t>
      </w:r>
      <w:r w:rsidRPr="00E8358C">
        <w:rPr>
          <w:i/>
        </w:rPr>
        <w:t>n</w:t>
      </w:r>
      <w:r w:rsidRPr="00E8358C">
        <w:rPr>
          <w:i/>
        </w:rPr>
        <w:t>tifiques et techniques à scénographie d’immersion,</w:t>
      </w:r>
      <w:r w:rsidRPr="00E8358C">
        <w:t xml:space="preserve"> thèse de doctorat, Faculté des Sciences de l’information et de la communication », Un</w:t>
      </w:r>
      <w:r w:rsidRPr="00E8358C">
        <w:t>i</w:t>
      </w:r>
      <w:r w:rsidRPr="00E8358C">
        <w:t xml:space="preserve">versité de Bourgogne, 2002. </w:t>
      </w:r>
    </w:p>
    <w:p w:rsidR="004C50DC" w:rsidRPr="00E8358C" w:rsidRDefault="004C50DC" w:rsidP="004C50DC">
      <w:pPr>
        <w:spacing w:before="120" w:after="120"/>
        <w:jc w:val="both"/>
      </w:pPr>
      <w:r w:rsidRPr="00E8358C">
        <w:t>-------, « L’immersion comme nouveau mode de médiation au m</w:t>
      </w:r>
      <w:r w:rsidRPr="00E8358C">
        <w:t>u</w:t>
      </w:r>
      <w:r w:rsidRPr="00E8358C">
        <w:t>sée des Sciences. Étude de cas : la présentation du changement clim</w:t>
      </w:r>
      <w:r w:rsidRPr="00E8358C">
        <w:t>a</w:t>
      </w:r>
      <w:r w:rsidRPr="00E8358C">
        <w:t>tique », colloque « Sciences, Médias et Société », 15-17 juin 2004, Lyon, ENS-LSH, en ligne, http://sciences-medias.ens-lsh.fr/article.php3 ?id_article=70</w:t>
      </w:r>
    </w:p>
    <w:p w:rsidR="004C50DC" w:rsidRPr="00E8358C" w:rsidRDefault="004C50DC" w:rsidP="004C50DC">
      <w:pPr>
        <w:spacing w:before="120" w:after="120"/>
        <w:jc w:val="both"/>
      </w:pPr>
      <w:r w:rsidRPr="00E8358C">
        <w:t xml:space="preserve">Benjamin, Walter, « Sur le concept d’histoire », </w:t>
      </w:r>
      <w:r w:rsidRPr="00E8358C">
        <w:rPr>
          <w:rStyle w:val="Accentuation"/>
        </w:rPr>
        <w:t xml:space="preserve">Œuvres, </w:t>
      </w:r>
      <w:r w:rsidRPr="00E8358C">
        <w:t>tome III, Gallimard, 2000.</w:t>
      </w:r>
    </w:p>
    <w:p w:rsidR="004C50DC" w:rsidRPr="00E8358C" w:rsidRDefault="004C50DC" w:rsidP="004C50DC">
      <w:pPr>
        <w:spacing w:before="120" w:after="120"/>
        <w:jc w:val="both"/>
      </w:pPr>
      <w:r w:rsidRPr="00E8358C">
        <w:t xml:space="preserve">Benot, Yves, </w:t>
      </w:r>
      <w:r w:rsidRPr="00E8358C">
        <w:rPr>
          <w:i/>
        </w:rPr>
        <w:t>La modernité de l’esclavage. Essai sur la servitude au cœur du capitalisme</w:t>
      </w:r>
      <w:r w:rsidRPr="00E8358C">
        <w:t xml:space="preserve">, Paris, La Découverte, 2003. </w:t>
      </w:r>
    </w:p>
    <w:p w:rsidR="004C50DC" w:rsidRPr="00E8358C" w:rsidRDefault="004C50DC" w:rsidP="004C50DC">
      <w:pPr>
        <w:spacing w:before="120" w:after="120"/>
        <w:jc w:val="both"/>
      </w:pPr>
      <w:r w:rsidRPr="00E8358C">
        <w:t xml:space="preserve">-------, </w:t>
      </w:r>
      <w:r w:rsidRPr="00E8358C">
        <w:rPr>
          <w:i/>
          <w:iCs/>
        </w:rPr>
        <w:t>La démence coloniale sous Napoléon</w:t>
      </w:r>
      <w:r w:rsidRPr="00E8358C">
        <w:t>, Paris, La Découverte, 1992.</w:t>
      </w:r>
    </w:p>
    <w:p w:rsidR="004C50DC" w:rsidRPr="00E8358C" w:rsidRDefault="004C50DC" w:rsidP="004C50DC">
      <w:pPr>
        <w:spacing w:before="120" w:after="120"/>
        <w:jc w:val="both"/>
        <w:rPr>
          <w:rFonts w:eastAsia="Calibri"/>
        </w:rPr>
      </w:pPr>
      <w:r w:rsidRPr="00E8358C">
        <w:rPr>
          <w:rFonts w:eastAsia="Calibri"/>
        </w:rPr>
        <w:t xml:space="preserve">Bernabé, Jean, « Contribution à l’étude de la diglossie littéraire créole-française : le cas de </w:t>
      </w:r>
      <w:r w:rsidRPr="00E8358C">
        <w:rPr>
          <w:rFonts w:eastAsia="Calibri"/>
          <w:i/>
        </w:rPr>
        <w:t>Gouverneurs de la rosée</w:t>
      </w:r>
      <w:r w:rsidRPr="00E8358C">
        <w:rPr>
          <w:rFonts w:eastAsia="Calibri"/>
        </w:rPr>
        <w:t xml:space="preserve"> », </w:t>
      </w:r>
      <w:r w:rsidRPr="00E8358C">
        <w:rPr>
          <w:rFonts w:eastAsia="Calibri"/>
          <w:i/>
        </w:rPr>
        <w:t>Textes, études et documents</w:t>
      </w:r>
      <w:r w:rsidRPr="00E8358C">
        <w:rPr>
          <w:rFonts w:eastAsia="Calibri"/>
        </w:rPr>
        <w:t>, n</w:t>
      </w:r>
      <w:r w:rsidRPr="00E8358C">
        <w:rPr>
          <w:rFonts w:eastAsia="Calibri"/>
          <w:vertAlign w:val="superscript"/>
        </w:rPr>
        <w:t>o</w:t>
      </w:r>
      <w:r w:rsidRPr="00E8358C">
        <w:rPr>
          <w:rFonts w:eastAsia="Calibri"/>
        </w:rPr>
        <w:t> 1, mai 1978, Centre universitaire Antilles-Guyane.</w:t>
      </w:r>
    </w:p>
    <w:p w:rsidR="004C50DC" w:rsidRPr="00E8358C" w:rsidRDefault="004C50DC" w:rsidP="004C50DC">
      <w:pPr>
        <w:spacing w:before="120" w:after="120"/>
        <w:jc w:val="both"/>
        <w:rPr>
          <w:rFonts w:eastAsia="Calibri"/>
        </w:rPr>
      </w:pPr>
      <w:r w:rsidRPr="00BD1ABE">
        <w:rPr>
          <w:rFonts w:eastAsia="Calibri"/>
        </w:rPr>
        <w:t>Bertheau, Gilles, « Les enjeux de la mémoire dans</w:t>
      </w:r>
      <w:r w:rsidRPr="00BD1ABE">
        <w:rPr>
          <w:rFonts w:eastAsia="Calibri"/>
          <w:i/>
          <w:iCs/>
        </w:rPr>
        <w:t>The Conspiracy and Tragedy of Byron</w:t>
      </w:r>
      <w:r w:rsidRPr="00BD1ABE">
        <w:rPr>
          <w:rFonts w:eastAsia="Calibri"/>
        </w:rPr>
        <w:t xml:space="preserve">de George Chapman (1608) », </w:t>
      </w:r>
      <w:r w:rsidRPr="00BD1ABE">
        <w:rPr>
          <w:rFonts w:eastAsia="Calibri"/>
          <w:i/>
          <w:iCs/>
        </w:rPr>
        <w:t>Actes des congrès de la Société française Shakespeare</w:t>
      </w:r>
      <w:r w:rsidRPr="00BD1ABE">
        <w:rPr>
          <w:rFonts w:eastAsia="Calibri"/>
        </w:rPr>
        <w:t xml:space="preserve">, no 30, 2013, en ligne, </w:t>
      </w:r>
      <w:hyperlink r:id="rId98" w:history="1">
        <w:r w:rsidRPr="00BD1ABE">
          <w:rPr>
            <w:rFonts w:eastAsia="Calibri"/>
          </w:rPr>
          <w:t>http://shakespeare.revues.org/1919</w:t>
        </w:r>
      </w:hyperlink>
    </w:p>
    <w:p w:rsidR="004C50DC" w:rsidRPr="00E8358C" w:rsidRDefault="004C50DC" w:rsidP="004C50DC">
      <w:pPr>
        <w:spacing w:before="120" w:after="120"/>
        <w:jc w:val="both"/>
      </w:pPr>
      <w:r w:rsidRPr="00E8358C">
        <w:t>Berthelot, Philippe, « Qu’est-ce que le conte traditionnel ? », en l</w:t>
      </w:r>
      <w:r w:rsidRPr="00E8358C">
        <w:t>i</w:t>
      </w:r>
      <w:r w:rsidRPr="00E8358C">
        <w:t xml:space="preserve">gne, </w:t>
      </w:r>
      <w:hyperlink r:id="rId99" w:history="1">
        <w:r w:rsidRPr="00E8358C">
          <w:rPr>
            <w:rStyle w:val="Lienhypertexte"/>
          </w:rPr>
          <w:t>http://www.philippe-berthelot-conteur.com/le-conte-traditionnel-d%C3%A9finition/</w:t>
        </w:r>
      </w:hyperlink>
    </w:p>
    <w:p w:rsidR="004C50DC" w:rsidRPr="00E8358C" w:rsidRDefault="004C50DC" w:rsidP="004C50DC">
      <w:pPr>
        <w:spacing w:before="120" w:after="120"/>
        <w:jc w:val="both"/>
      </w:pPr>
      <w:r w:rsidRPr="00E8358C">
        <w:t xml:space="preserve">Bessière, Jacinthe, </w:t>
      </w:r>
      <w:r w:rsidRPr="00E8358C">
        <w:rPr>
          <w:i/>
        </w:rPr>
        <w:t>Innovation et patrimoine alimentaire en espace rural</w:t>
      </w:r>
      <w:r w:rsidRPr="00E8358C">
        <w:t>, Versailles, Quae, 2012.</w:t>
      </w:r>
    </w:p>
    <w:p w:rsidR="004C50DC" w:rsidRPr="00E8358C" w:rsidRDefault="004C50DC" w:rsidP="004C50DC">
      <w:pPr>
        <w:spacing w:before="120" w:after="120"/>
        <w:jc w:val="both"/>
      </w:pPr>
      <w:r w:rsidRPr="00E8358C">
        <w:t xml:space="preserve">Bhabha, Homi K., </w:t>
      </w:r>
      <w:r w:rsidRPr="00E8358C">
        <w:rPr>
          <w:i/>
        </w:rPr>
        <w:t>Les lieux de la culture. Une théorie postcoloni</w:t>
      </w:r>
      <w:r w:rsidRPr="00E8358C">
        <w:rPr>
          <w:i/>
        </w:rPr>
        <w:t>a</w:t>
      </w:r>
      <w:r w:rsidRPr="00E8358C">
        <w:rPr>
          <w:i/>
        </w:rPr>
        <w:t>le</w:t>
      </w:r>
      <w:r w:rsidRPr="00E8358C">
        <w:t>, Paris, Payot, 2007.</w:t>
      </w:r>
    </w:p>
    <w:p w:rsidR="004C50DC" w:rsidRPr="00E8358C" w:rsidRDefault="004C50DC" w:rsidP="004C50DC">
      <w:pPr>
        <w:spacing w:before="120" w:after="120"/>
        <w:jc w:val="both"/>
      </w:pPr>
      <w:r w:rsidRPr="00E8358C">
        <w:t xml:space="preserve">-------, </w:t>
      </w:r>
      <w:r w:rsidRPr="00E8358C">
        <w:rPr>
          <w:i/>
        </w:rPr>
        <w:t>The location of culture</w:t>
      </w:r>
      <w:r w:rsidRPr="00E8358C">
        <w:t>, Routledge, Londres et New York, 1994.</w:t>
      </w:r>
    </w:p>
    <w:p w:rsidR="004C50DC" w:rsidRPr="00E8358C" w:rsidRDefault="004C50DC" w:rsidP="004C50DC">
      <w:pPr>
        <w:spacing w:before="120" w:after="120"/>
        <w:jc w:val="both"/>
      </w:pPr>
      <w:r w:rsidRPr="00E8358C">
        <w:t xml:space="preserve">Blanchard, Pascal (dir.), </w:t>
      </w:r>
      <w:r w:rsidRPr="00E8358C">
        <w:rPr>
          <w:i/>
        </w:rPr>
        <w:t>Sud-Ouest, porte des outre-mers. Histoire coloniale et immigration des suds, du Midi à l’Aquitaine</w:t>
      </w:r>
      <w:r w:rsidRPr="00E8358C">
        <w:t>, Toulouse, Milan, 2006.</w:t>
      </w:r>
    </w:p>
    <w:p w:rsidR="004C50DC" w:rsidRPr="00E8358C" w:rsidRDefault="004C50DC" w:rsidP="004C50DC">
      <w:pPr>
        <w:spacing w:before="120" w:after="120"/>
        <w:jc w:val="both"/>
      </w:pPr>
      <w:r w:rsidRPr="00BD1ABE">
        <w:t>Boisvert, Georges, « La dénomination de l’Autre africain au</w:t>
      </w:r>
      <w:r w:rsidRPr="00BD1ABE">
        <w:t>x</w:t>
      </w:r>
      <w:r w:rsidRPr="00BD1ABE">
        <w:t xml:space="preserve">ve siècle dans les récits des découvertes portugaises », </w:t>
      </w:r>
      <w:r w:rsidRPr="00BD1ABE">
        <w:rPr>
          <w:i/>
          <w:iCs/>
        </w:rPr>
        <w:t>L’Homme</w:t>
      </w:r>
      <w:r w:rsidRPr="00BD1ABE">
        <w:t>, no 153, 2000, p. 165-172.</w:t>
      </w:r>
    </w:p>
    <w:p w:rsidR="004C50DC" w:rsidRDefault="004C50DC" w:rsidP="004C50DC">
      <w:pPr>
        <w:spacing w:before="120" w:after="120"/>
        <w:jc w:val="both"/>
      </w:pPr>
      <w:r w:rsidRPr="00E8358C">
        <w:t xml:space="preserve">Bonniol, Jean-Luc, « Les usages publics de la mémoire de l’esclavage colonial », </w:t>
      </w:r>
      <w:r w:rsidRPr="00E8358C">
        <w:rPr>
          <w:i/>
        </w:rPr>
        <w:t>Matériaux pour l’histoire de notre temps</w:t>
      </w:r>
      <w:r w:rsidRPr="00E8358C">
        <w:t>, vol. 1, n</w:t>
      </w:r>
      <w:r w:rsidRPr="00E8358C">
        <w:rPr>
          <w:vertAlign w:val="superscript"/>
        </w:rPr>
        <w:t>o</w:t>
      </w:r>
      <w:r w:rsidRPr="00E8358C">
        <w:t xml:space="preserve"> 85, 2007, en ligne, </w:t>
      </w:r>
      <w:hyperlink r:id="rId100" w:history="1">
        <w:r w:rsidRPr="00107601">
          <w:rPr>
            <w:rStyle w:val="Lienhypertexte"/>
          </w:rPr>
          <w:t>https://www.cairn.info/revue-materiaux-pour-l-histoire-de-notre-temps-2007-1-page-14.htm</w:t>
        </w:r>
      </w:hyperlink>
      <w:r>
        <w:t>.</w:t>
      </w:r>
    </w:p>
    <w:p w:rsidR="004C50DC" w:rsidRPr="00E8358C" w:rsidRDefault="004C50DC" w:rsidP="004C50DC">
      <w:pPr>
        <w:spacing w:before="120" w:after="120"/>
        <w:jc w:val="both"/>
      </w:pPr>
      <w:r>
        <w:t>[469]</w:t>
      </w:r>
    </w:p>
    <w:p w:rsidR="004C50DC" w:rsidRPr="00E8358C" w:rsidRDefault="004C50DC" w:rsidP="004C50DC">
      <w:pPr>
        <w:spacing w:before="120" w:after="120"/>
        <w:jc w:val="both"/>
      </w:pPr>
      <w:r w:rsidRPr="00E8358C">
        <w:t>-------, « De la construction d’une mémoire historique aux figur</w:t>
      </w:r>
      <w:r w:rsidRPr="00E8358C">
        <w:t>a</w:t>
      </w:r>
      <w:r w:rsidRPr="00E8358C">
        <w:t xml:space="preserve">tions de la traite et de l’esclavage dans l’espace public antillais », dans Jean-Luc Bonniol et Maryline Crivello (dir.), </w:t>
      </w:r>
      <w:r w:rsidRPr="00E8358C">
        <w:rPr>
          <w:i/>
        </w:rPr>
        <w:t>Façonner le passé. R</w:t>
      </w:r>
      <w:r w:rsidRPr="00E8358C">
        <w:rPr>
          <w:i/>
        </w:rPr>
        <w:t>e</w:t>
      </w:r>
      <w:r w:rsidRPr="00E8358C">
        <w:rPr>
          <w:i/>
        </w:rPr>
        <w:t>présentations et cultures de l’histoire (XVI</w:t>
      </w:r>
      <w:r w:rsidRPr="00E8358C">
        <w:rPr>
          <w:i/>
          <w:vertAlign w:val="superscript"/>
        </w:rPr>
        <w:t>e</w:t>
      </w:r>
      <w:r w:rsidRPr="00E8358C">
        <w:rPr>
          <w:i/>
        </w:rPr>
        <w:t>-XXI</w:t>
      </w:r>
      <w:r w:rsidRPr="00E8358C">
        <w:rPr>
          <w:i/>
          <w:vertAlign w:val="superscript"/>
        </w:rPr>
        <w:t>e</w:t>
      </w:r>
      <w:r w:rsidRPr="00E8358C">
        <w:rPr>
          <w:i/>
        </w:rPr>
        <w:t xml:space="preserve"> siècle)</w:t>
      </w:r>
      <w:r w:rsidRPr="00E8358C">
        <w:t>, Aix-en-Provence, Presses de l’Université de Provence, 2004, p</w:t>
      </w:r>
      <w:r>
        <w:t>p</w:t>
      </w:r>
      <w:r w:rsidRPr="00E8358C">
        <w:t>. 263-284.</w:t>
      </w:r>
    </w:p>
    <w:p w:rsidR="004C50DC" w:rsidRPr="00E8358C" w:rsidRDefault="004C50DC" w:rsidP="004C50DC">
      <w:pPr>
        <w:spacing w:before="120" w:after="120"/>
        <w:jc w:val="both"/>
      </w:pPr>
      <w:r w:rsidRPr="00E8358C">
        <w:t xml:space="preserve">Bouard, Carl, </w:t>
      </w:r>
      <w:r w:rsidRPr="00E8358C">
        <w:rPr>
          <w:i/>
        </w:rPr>
        <w:t xml:space="preserve">Les aventures de Malice et de Bouqui, </w:t>
      </w:r>
      <w:r w:rsidRPr="00E8358C">
        <w:t xml:space="preserve"> Port-au-Prince, Christophe, 2000.</w:t>
      </w:r>
    </w:p>
    <w:p w:rsidR="004C50DC" w:rsidRPr="00E8358C" w:rsidRDefault="004C50DC" w:rsidP="004C50DC">
      <w:pPr>
        <w:spacing w:before="120" w:after="120"/>
        <w:jc w:val="both"/>
      </w:pPr>
      <w:r w:rsidRPr="00BD1ABE">
        <w:t xml:space="preserve">Bourdieu, Pierre, </w:t>
      </w:r>
      <w:r w:rsidRPr="00BD1ABE">
        <w:rPr>
          <w:i/>
        </w:rPr>
        <w:t>Le sens pratique</w:t>
      </w:r>
      <w:r w:rsidRPr="00E8358C">
        <w:t>, Paris, Minuit, 1980.</w:t>
      </w:r>
    </w:p>
    <w:p w:rsidR="004C50DC" w:rsidRPr="00E8358C" w:rsidRDefault="004C50DC" w:rsidP="004C50DC">
      <w:pPr>
        <w:spacing w:before="120" w:after="120"/>
        <w:jc w:val="both"/>
      </w:pPr>
      <w:r w:rsidRPr="00E8358C">
        <w:t xml:space="preserve">-------, </w:t>
      </w:r>
      <w:r w:rsidRPr="00E8358C">
        <w:rPr>
          <w:i/>
          <w:iCs/>
        </w:rPr>
        <w:t xml:space="preserve">La Distinction, </w:t>
      </w:r>
      <w:r w:rsidRPr="00E8358C">
        <w:rPr>
          <w:iCs/>
        </w:rPr>
        <w:t xml:space="preserve">Paris, </w:t>
      </w:r>
      <w:r w:rsidRPr="00E8358C">
        <w:t>Éditions de Minuit, Paris</w:t>
      </w:r>
      <w:r w:rsidRPr="00E8358C">
        <w:rPr>
          <w:i/>
          <w:iCs/>
        </w:rPr>
        <w:t xml:space="preserve">, </w:t>
      </w:r>
      <w:r w:rsidRPr="00E8358C">
        <w:rPr>
          <w:iCs/>
        </w:rPr>
        <w:t>1979</w:t>
      </w:r>
      <w:r w:rsidRPr="00E8358C">
        <w:t>.</w:t>
      </w:r>
    </w:p>
    <w:p w:rsidR="004C50DC" w:rsidRPr="00E8358C" w:rsidRDefault="004C50DC" w:rsidP="004C50DC">
      <w:pPr>
        <w:spacing w:before="120" w:after="120"/>
        <w:jc w:val="both"/>
        <w:rPr>
          <w:rFonts w:eastAsia="Calibri"/>
          <w:lang w:eastAsia="en-CA"/>
        </w:rPr>
      </w:pPr>
      <w:r w:rsidRPr="00E8358C">
        <w:rPr>
          <w:lang w:eastAsia="ja-JP"/>
        </w:rPr>
        <w:t>Bourdieu, Pierre</w:t>
      </w:r>
      <w:r w:rsidRPr="00E8358C">
        <w:rPr>
          <w:rFonts w:eastAsia="Calibri"/>
          <w:lang w:eastAsia="en-CA"/>
        </w:rPr>
        <w:t xml:space="preserve"> et Loïc Wacquant, </w:t>
      </w:r>
      <w:r w:rsidRPr="00E8358C">
        <w:rPr>
          <w:rFonts w:eastAsia="Calibri"/>
          <w:i/>
          <w:iCs/>
          <w:lang w:eastAsia="en-CA"/>
        </w:rPr>
        <w:t>Réponses</w:t>
      </w:r>
      <w:r w:rsidRPr="00E8358C">
        <w:rPr>
          <w:rFonts w:eastAsia="Calibri"/>
          <w:lang w:eastAsia="en-CA"/>
        </w:rPr>
        <w:t>, Paris, Seuil, 1992.</w:t>
      </w:r>
    </w:p>
    <w:p w:rsidR="004C50DC" w:rsidRPr="00E8358C" w:rsidRDefault="004C50DC" w:rsidP="004C50DC">
      <w:pPr>
        <w:spacing w:before="120" w:after="120"/>
        <w:jc w:val="both"/>
      </w:pPr>
      <w:r w:rsidRPr="00E8358C">
        <w:t xml:space="preserve">Brière, Jean-François, « La France et la reconnaissance de l’Indépendance haïtienne : le débat sur l’Ordonnance de 1825 », </w:t>
      </w:r>
      <w:r w:rsidRPr="00E8358C">
        <w:rPr>
          <w:i/>
        </w:rPr>
        <w:t>French Colonial History</w:t>
      </w:r>
      <w:r w:rsidRPr="00E8358C">
        <w:t>, volume 5, 2004.</w:t>
      </w:r>
    </w:p>
    <w:p w:rsidR="004C50DC" w:rsidRPr="00E8358C" w:rsidRDefault="004C50DC" w:rsidP="004C50DC">
      <w:pPr>
        <w:spacing w:before="120" w:after="120"/>
        <w:jc w:val="both"/>
      </w:pPr>
      <w:r w:rsidRPr="00E8358C">
        <w:t xml:space="preserve">Brown, David, </w:t>
      </w:r>
      <w:r w:rsidRPr="00E8358C">
        <w:rPr>
          <w:bCs/>
        </w:rPr>
        <w:t>« Ethnic Revival: Perspective on State and Soci</w:t>
      </w:r>
      <w:r w:rsidRPr="00E8358C">
        <w:rPr>
          <w:bCs/>
        </w:rPr>
        <w:t>e</w:t>
      </w:r>
      <w:r w:rsidRPr="00E8358C">
        <w:rPr>
          <w:bCs/>
        </w:rPr>
        <w:t xml:space="preserve">ty », </w:t>
      </w:r>
      <w:r w:rsidRPr="00E8358C">
        <w:rPr>
          <w:bCs/>
          <w:i/>
        </w:rPr>
        <w:t>Third World Quarterly</w:t>
      </w:r>
      <w:r w:rsidRPr="00E8358C">
        <w:rPr>
          <w:bCs/>
        </w:rPr>
        <w:t>, vol. 11, n</w:t>
      </w:r>
      <w:r w:rsidRPr="00E8358C">
        <w:rPr>
          <w:bCs/>
          <w:vertAlign w:val="superscript"/>
        </w:rPr>
        <w:t>o</w:t>
      </w:r>
      <w:r w:rsidRPr="00E8358C">
        <w:rPr>
          <w:bCs/>
        </w:rPr>
        <w:t xml:space="preserve"> 4, </w:t>
      </w:r>
      <w:r w:rsidRPr="00E8358C">
        <w:t>1989, p</w:t>
      </w:r>
      <w:r>
        <w:t>p</w:t>
      </w:r>
      <w:r w:rsidRPr="00E8358C">
        <w:t>. 1-17.</w:t>
      </w:r>
    </w:p>
    <w:p w:rsidR="004C50DC" w:rsidRPr="00E8358C" w:rsidRDefault="004C50DC" w:rsidP="004C50DC">
      <w:pPr>
        <w:spacing w:before="120" w:after="120"/>
        <w:jc w:val="both"/>
      </w:pPr>
      <w:r w:rsidRPr="00E8358C">
        <w:rPr>
          <w:lang w:eastAsia="en-CA"/>
        </w:rPr>
        <w:t xml:space="preserve">Bruckner, Pascal, </w:t>
      </w:r>
      <w:r w:rsidRPr="00E8358C">
        <w:rPr>
          <w:i/>
          <w:lang w:eastAsia="en-CA"/>
        </w:rPr>
        <w:t>La tyrannie de la pénitence. Essai sur le mas</w:t>
      </w:r>
      <w:r w:rsidRPr="00E8358C">
        <w:rPr>
          <w:i/>
          <w:lang w:eastAsia="en-CA"/>
        </w:rPr>
        <w:t>o</w:t>
      </w:r>
      <w:r w:rsidRPr="00E8358C">
        <w:rPr>
          <w:i/>
          <w:lang w:eastAsia="en-CA"/>
        </w:rPr>
        <w:t>chisme occidental</w:t>
      </w:r>
      <w:r w:rsidRPr="00E8358C">
        <w:rPr>
          <w:lang w:eastAsia="en-CA"/>
        </w:rPr>
        <w:t>, Paris, Grasset, 2006.</w:t>
      </w:r>
    </w:p>
    <w:p w:rsidR="004C50DC" w:rsidRPr="00E8358C" w:rsidRDefault="004C50DC" w:rsidP="004C50DC">
      <w:pPr>
        <w:spacing w:before="120" w:after="120"/>
        <w:jc w:val="both"/>
      </w:pPr>
      <w:r w:rsidRPr="00E8358C">
        <w:t xml:space="preserve">Brulé, Pierre, Raymond Descat, Patrice Brun, Jean-Luc Lamboley, Sylvie Le Bohec et Jacques Oulhen, </w:t>
      </w:r>
      <w:r w:rsidRPr="00E8358C">
        <w:rPr>
          <w:i/>
        </w:rPr>
        <w:t>Le Monde grec aux temps class</w:t>
      </w:r>
      <w:r w:rsidRPr="00E8358C">
        <w:rPr>
          <w:i/>
        </w:rPr>
        <w:t>i</w:t>
      </w:r>
      <w:r w:rsidRPr="00E8358C">
        <w:rPr>
          <w:i/>
        </w:rPr>
        <w:t>ques</w:t>
      </w:r>
      <w:r w:rsidRPr="00E8358C">
        <w:t xml:space="preserve">, tome 2, </w:t>
      </w:r>
      <w:r w:rsidRPr="00E8358C">
        <w:rPr>
          <w:i/>
        </w:rPr>
        <w:t>Le IV</w:t>
      </w:r>
      <w:r w:rsidRPr="00E8358C">
        <w:rPr>
          <w:i/>
          <w:vertAlign w:val="superscript"/>
        </w:rPr>
        <w:t>e</w:t>
      </w:r>
      <w:r w:rsidRPr="00E8358C">
        <w:rPr>
          <w:i/>
        </w:rPr>
        <w:t> siècle</w:t>
      </w:r>
      <w:r w:rsidRPr="00E8358C">
        <w:t>, Paris, PUF, « Nouvelle Clio », 2004.</w:t>
      </w:r>
    </w:p>
    <w:p w:rsidR="004C50DC" w:rsidRPr="00BD1ABE" w:rsidRDefault="004C50DC" w:rsidP="004C50DC">
      <w:pPr>
        <w:spacing w:before="120" w:after="120"/>
        <w:jc w:val="both"/>
      </w:pPr>
      <w:r w:rsidRPr="00BD1ABE">
        <w:t xml:space="preserve">Brutus, Edner, Instruction publique en </w:t>
      </w:r>
      <w:r w:rsidRPr="00BD1ABE">
        <w:rPr>
          <w:i/>
        </w:rPr>
        <w:t xml:space="preserve">Haïti </w:t>
      </w:r>
      <w:r w:rsidRPr="00BD1ABE">
        <w:t>(1492-1945), Port-au-Prince,Imprimerie de l’État, 1979.</w:t>
      </w:r>
    </w:p>
    <w:p w:rsidR="004C50DC" w:rsidRPr="00E8358C" w:rsidRDefault="004C50DC" w:rsidP="004C50DC">
      <w:pPr>
        <w:spacing w:before="120" w:after="120"/>
        <w:jc w:val="both"/>
      </w:pPr>
      <w:r w:rsidRPr="00E8358C">
        <w:t xml:space="preserve">Buteau, Jean-Hénold, « À propos des vêpres de Jérémie », </w:t>
      </w:r>
      <w:r w:rsidRPr="00E8358C">
        <w:rPr>
          <w:i/>
        </w:rPr>
        <w:t>Le No</w:t>
      </w:r>
      <w:r w:rsidRPr="00E8358C">
        <w:rPr>
          <w:i/>
        </w:rPr>
        <w:t>u</w:t>
      </w:r>
      <w:r w:rsidRPr="00E8358C">
        <w:rPr>
          <w:i/>
        </w:rPr>
        <w:t>velliste</w:t>
      </w:r>
      <w:r w:rsidRPr="00E8358C">
        <w:t xml:space="preserve">, 22 août 2014, en ligne, </w:t>
      </w:r>
      <w:hyperlink r:id="rId101" w:history="1">
        <w:r w:rsidRPr="00E8358C">
          <w:rPr>
            <w:rStyle w:val="Lienhypertexte"/>
          </w:rPr>
          <w:t>http://lenouvelliste.com/lenouvelliste/article/134823/A-propos-des-vepres-de-Jeremie</w:t>
        </w:r>
      </w:hyperlink>
    </w:p>
    <w:p w:rsidR="004C50DC" w:rsidRPr="00E8358C" w:rsidRDefault="004C50DC" w:rsidP="004C50DC">
      <w:pPr>
        <w:spacing w:before="120" w:after="120"/>
        <w:jc w:val="both"/>
      </w:pPr>
      <w:r w:rsidRPr="00E8358C">
        <w:t xml:space="preserve">Byron, Jhon-Picard, </w:t>
      </w:r>
      <w:r w:rsidRPr="00E8358C">
        <w:rPr>
          <w:i/>
        </w:rPr>
        <w:t xml:space="preserve">L’engagement ethnologique de Jean Price-Mars et son engagement politique, </w:t>
      </w:r>
      <w:r w:rsidRPr="00E8358C">
        <w:t>thèse de doctorat en Ethnologie et patrimoine, Département d’histoire, Université Laval, Québec, 2012.</w:t>
      </w:r>
    </w:p>
    <w:p w:rsidR="004C50DC" w:rsidRPr="00E8358C" w:rsidRDefault="004C50DC" w:rsidP="004C50DC">
      <w:pPr>
        <w:spacing w:before="120" w:after="120"/>
        <w:jc w:val="both"/>
      </w:pPr>
      <w:r w:rsidRPr="00E8358C">
        <w:t xml:space="preserve">-------, </w:t>
      </w:r>
      <w:r w:rsidRPr="00E8358C">
        <w:rPr>
          <w:bCs/>
          <w:i/>
          <w:iCs/>
        </w:rPr>
        <w:t>Séquelles de l’esclavage, identité culturelle et construction de la citoyenneté en Haïti dans l’œuvre de Jean Price-Mars</w:t>
      </w:r>
      <w:r w:rsidRPr="00E8358C">
        <w:rPr>
          <w:bCs/>
          <w:iCs/>
        </w:rPr>
        <w:t xml:space="preserve">, mémoire de maîtrise, </w:t>
      </w:r>
      <w:r w:rsidRPr="00E8358C">
        <w:t>Université d’État d’Haïti (École normale supérie</w:t>
      </w:r>
      <w:r w:rsidRPr="00E8358C">
        <w:t>u</w:t>
      </w:r>
      <w:r w:rsidRPr="00E8358C">
        <w:t>re/Maîtrise « Histoire, mémoire et patrimoine ») et Université Laval (CÉLAT), 2011.</w:t>
      </w:r>
    </w:p>
    <w:p w:rsidR="004C50DC" w:rsidRPr="00E8358C" w:rsidRDefault="004C50DC" w:rsidP="004C50DC">
      <w:pPr>
        <w:spacing w:before="120" w:after="120"/>
        <w:jc w:val="both"/>
      </w:pPr>
      <w:r w:rsidRPr="00E8358C">
        <w:t xml:space="preserve">-------, « Le nationalisme haïtien et la mémoire de l’esclavage », dans Vincent Auzas et Bogumil Jewsiewicki (dir.), </w:t>
      </w:r>
      <w:r w:rsidRPr="00E8358C">
        <w:rPr>
          <w:i/>
        </w:rPr>
        <w:t>Traumatisme co</w:t>
      </w:r>
      <w:r w:rsidRPr="00E8358C">
        <w:rPr>
          <w:i/>
        </w:rPr>
        <w:t>l</w:t>
      </w:r>
      <w:r w:rsidRPr="00E8358C">
        <w:rPr>
          <w:i/>
        </w:rPr>
        <w:t>lectif pour patrimoine. Regard sur un mouvement transnational</w:t>
      </w:r>
      <w:r w:rsidRPr="00E8358C">
        <w:t>, Qu</w:t>
      </w:r>
      <w:r w:rsidRPr="00E8358C">
        <w:t>é</w:t>
      </w:r>
      <w:r w:rsidRPr="00E8358C">
        <w:t>bec, Presses de l’Université de Laval, 2008, p</w:t>
      </w:r>
      <w:r>
        <w:t>p</w:t>
      </w:r>
      <w:r w:rsidRPr="00E8358C">
        <w:t>. 187-197.</w:t>
      </w:r>
    </w:p>
    <w:p w:rsidR="004C50DC" w:rsidRPr="00E8358C" w:rsidRDefault="004C50DC" w:rsidP="004C50DC">
      <w:pPr>
        <w:spacing w:before="120" w:after="120"/>
        <w:jc w:val="both"/>
      </w:pPr>
      <w:r w:rsidRPr="00E8358C">
        <w:t xml:space="preserve">Cadeo, Rinaldo, </w:t>
      </w:r>
      <w:r w:rsidRPr="00E8358C">
        <w:rPr>
          <w:i/>
        </w:rPr>
        <w:t xml:space="preserve"> Journal de Christophe Colomb (1412-1493),</w:t>
      </w:r>
      <w:r w:rsidRPr="00E8358C">
        <w:t xml:space="preserve"> tr</w:t>
      </w:r>
      <w:r w:rsidRPr="00E8358C">
        <w:t>a</w:t>
      </w:r>
      <w:r w:rsidRPr="00E8358C">
        <w:t>duit de l’italien par Georges Petit, Paris-Bruxelles, Charles Dessart, 1943.</w:t>
      </w:r>
    </w:p>
    <w:p w:rsidR="004C50DC" w:rsidRPr="00E8358C" w:rsidRDefault="004C50DC" w:rsidP="004C50DC">
      <w:pPr>
        <w:spacing w:before="120" w:after="120"/>
        <w:jc w:val="both"/>
      </w:pPr>
      <w:r w:rsidRPr="00E8358C">
        <w:rPr>
          <w:rStyle w:val="text"/>
        </w:rPr>
        <w:t xml:space="preserve">Candau, Joël, </w:t>
      </w:r>
      <w:r w:rsidRPr="00E8358C">
        <w:rPr>
          <w:rStyle w:val="Accentuation"/>
        </w:rPr>
        <w:t xml:space="preserve">Anthropologie de la mémoire, </w:t>
      </w:r>
      <w:r w:rsidRPr="00E8358C">
        <w:t>Paris, Armand Colin, 2005.</w:t>
      </w:r>
    </w:p>
    <w:p w:rsidR="004C50DC" w:rsidRPr="00E8358C" w:rsidRDefault="004C50DC" w:rsidP="004C50DC">
      <w:pPr>
        <w:spacing w:before="120" w:after="120"/>
        <w:jc w:val="both"/>
      </w:pPr>
      <w:r w:rsidRPr="00E8358C">
        <w:t xml:space="preserve">-------, </w:t>
      </w:r>
      <w:r w:rsidRPr="00E8358C">
        <w:rPr>
          <w:i/>
          <w:iCs/>
        </w:rPr>
        <w:t>Mémoire et identité</w:t>
      </w:r>
      <w:r w:rsidRPr="00E8358C">
        <w:t>, Paris, Presses universitaires de France, 1998.</w:t>
      </w:r>
    </w:p>
    <w:p w:rsidR="004C50DC" w:rsidRPr="00E8358C" w:rsidRDefault="004C50DC" w:rsidP="004C50DC">
      <w:pPr>
        <w:spacing w:before="120" w:after="120"/>
        <w:jc w:val="both"/>
      </w:pPr>
      <w:r w:rsidRPr="00E8358C">
        <w:t>Casimir, Jean</w:t>
      </w:r>
      <w:r w:rsidRPr="00BD1ABE">
        <w:t xml:space="preserve">, </w:t>
      </w:r>
      <w:r w:rsidRPr="00BD1ABE">
        <w:rPr>
          <w:i/>
        </w:rPr>
        <w:t>Haïti et ses élites, l’interminable dialogue de sourds</w:t>
      </w:r>
      <w:r w:rsidRPr="00E8358C">
        <w:t xml:space="preserve">, Port-au-Prince, </w:t>
      </w:r>
      <w:r w:rsidRPr="00BD1ABE">
        <w:t>Presses de l’Université d’État d’Haïti, 2009.</w:t>
      </w:r>
    </w:p>
    <w:p w:rsidR="004C50DC" w:rsidRPr="00E8358C" w:rsidRDefault="004C50DC" w:rsidP="004C50DC">
      <w:pPr>
        <w:spacing w:before="120" w:after="120"/>
        <w:jc w:val="both"/>
      </w:pPr>
      <w:r w:rsidRPr="00E8358C">
        <w:t xml:space="preserve">Castera, Justin Emmanuel, </w:t>
      </w:r>
      <w:r w:rsidRPr="00E8358C">
        <w:rPr>
          <w:i/>
        </w:rPr>
        <w:t>Bref coup d’œil sur les origines de la presse haïtienne (1764-1850)</w:t>
      </w:r>
      <w:r w:rsidRPr="00E8358C">
        <w:t>, Port-au-Prince, Henri Deschamps, 1986.</w:t>
      </w:r>
    </w:p>
    <w:p w:rsidR="004C50DC" w:rsidRDefault="004C50DC" w:rsidP="004C50DC">
      <w:pPr>
        <w:spacing w:before="120" w:after="120"/>
        <w:jc w:val="both"/>
        <w:rPr>
          <w:rFonts w:eastAsia="Calibri"/>
          <w:lang w:eastAsia="en-CA"/>
        </w:rPr>
      </w:pPr>
      <w:r w:rsidRPr="00E8358C">
        <w:rPr>
          <w:rFonts w:eastAsia="Calibri"/>
          <w:lang w:eastAsia="en-CA"/>
        </w:rPr>
        <w:t xml:space="preserve">Castoriadis, Cornelius, </w:t>
      </w:r>
      <w:r w:rsidRPr="00E8358C">
        <w:rPr>
          <w:rFonts w:eastAsia="Calibri"/>
          <w:i/>
          <w:iCs/>
          <w:lang w:eastAsia="en-CA"/>
        </w:rPr>
        <w:t>L’institution imaginaire de la société</w:t>
      </w:r>
      <w:r w:rsidRPr="00E8358C">
        <w:rPr>
          <w:rFonts w:eastAsia="Calibri"/>
          <w:lang w:eastAsia="en-CA"/>
        </w:rPr>
        <w:t>, Paris, Seuil, 1975.</w:t>
      </w:r>
    </w:p>
    <w:p w:rsidR="004C50DC" w:rsidRPr="00E8358C" w:rsidRDefault="004C50DC" w:rsidP="004C50DC">
      <w:pPr>
        <w:spacing w:before="120" w:after="120"/>
        <w:jc w:val="both"/>
        <w:rPr>
          <w:rFonts w:eastAsia="Calibri"/>
          <w:lang w:eastAsia="en-CA"/>
        </w:rPr>
      </w:pPr>
      <w:r>
        <w:rPr>
          <w:rFonts w:eastAsia="Calibri"/>
          <w:lang w:eastAsia="en-CA"/>
        </w:rPr>
        <w:t>[470]</w:t>
      </w:r>
    </w:p>
    <w:p w:rsidR="004C50DC" w:rsidRPr="00E8358C" w:rsidRDefault="004C50DC" w:rsidP="004C50DC">
      <w:pPr>
        <w:spacing w:before="120" w:after="120"/>
        <w:jc w:val="both"/>
      </w:pPr>
      <w:r w:rsidRPr="00E8358C">
        <w:t>Cauna, Jacques de, « Patrimoine et mémoire de l’esclavage en Ha</w:t>
      </w:r>
      <w:r w:rsidRPr="00E8358C">
        <w:t>ï</w:t>
      </w:r>
      <w:r w:rsidRPr="00E8358C">
        <w:t xml:space="preserve">ti : les vestiges de la société  d’habitation coloniale », </w:t>
      </w:r>
      <w:r w:rsidRPr="00E8358C">
        <w:rPr>
          <w:i/>
        </w:rPr>
        <w:t>In Situ</w:t>
      </w:r>
      <w:r w:rsidRPr="00E8358C">
        <w:t>, n</w:t>
      </w:r>
      <w:r w:rsidRPr="00E8358C">
        <w:rPr>
          <w:vertAlign w:val="superscript"/>
        </w:rPr>
        <w:t>o</w:t>
      </w:r>
      <w:r w:rsidRPr="00E8358C">
        <w:t> 20, 2013, en ligne : http://insitu.revues.org/10107 ; DOI : 10.4000/in s</w:t>
      </w:r>
      <w:r w:rsidRPr="00E8358C">
        <w:t>i</w:t>
      </w:r>
      <w:r w:rsidRPr="00E8358C">
        <w:t>tu.10107</w:t>
      </w:r>
    </w:p>
    <w:p w:rsidR="004C50DC" w:rsidRPr="00E8358C" w:rsidRDefault="004C50DC" w:rsidP="004C50DC">
      <w:pPr>
        <w:spacing w:before="120" w:after="120"/>
        <w:jc w:val="both"/>
      </w:pPr>
      <w:r w:rsidRPr="00E8358C">
        <w:t xml:space="preserve">-------, </w:t>
      </w:r>
      <w:r w:rsidRPr="00E8358C">
        <w:rPr>
          <w:i/>
        </w:rPr>
        <w:t>Au temps des Isles à sucre. Histoire d’une plantation de Saint-Domingue au XVIII</w:t>
      </w:r>
      <w:r w:rsidRPr="00E8358C">
        <w:rPr>
          <w:i/>
          <w:vertAlign w:val="superscript"/>
        </w:rPr>
        <w:t>e</w:t>
      </w:r>
      <w:r w:rsidRPr="00E8358C">
        <w:rPr>
          <w:i/>
        </w:rPr>
        <w:t xml:space="preserve"> siècle,</w:t>
      </w:r>
      <w:r w:rsidRPr="00E8358C">
        <w:t xml:space="preserve"> Paris, Karthala, 2003.</w:t>
      </w:r>
    </w:p>
    <w:p w:rsidR="004C50DC" w:rsidRPr="00E8358C" w:rsidRDefault="004C50DC" w:rsidP="004C50DC">
      <w:pPr>
        <w:spacing w:before="120" w:after="120"/>
        <w:jc w:val="both"/>
      </w:pPr>
      <w:r w:rsidRPr="00E8358C">
        <w:t xml:space="preserve">-------, </w:t>
      </w:r>
      <w:r w:rsidRPr="00E8358C">
        <w:rPr>
          <w:i/>
        </w:rPr>
        <w:t xml:space="preserve">L’Eldorado des Aquitains. </w:t>
      </w:r>
      <w:r w:rsidRPr="00E8358C">
        <w:rPr>
          <w:bCs/>
          <w:i/>
        </w:rPr>
        <w:t>Gascons, Basques et Béarnais aux îles d’Amérique (XVII</w:t>
      </w:r>
      <w:r w:rsidRPr="00E8358C">
        <w:rPr>
          <w:bCs/>
          <w:i/>
          <w:vertAlign w:val="superscript"/>
        </w:rPr>
        <w:t>e</w:t>
      </w:r>
      <w:r w:rsidRPr="00E8358C">
        <w:rPr>
          <w:bCs/>
          <w:i/>
        </w:rPr>
        <w:t>-XVIII</w:t>
      </w:r>
      <w:r w:rsidRPr="00E8358C">
        <w:rPr>
          <w:bCs/>
          <w:i/>
          <w:vertAlign w:val="superscript"/>
        </w:rPr>
        <w:t>e</w:t>
      </w:r>
      <w:r w:rsidRPr="00E8358C">
        <w:rPr>
          <w:bCs/>
          <w:i/>
        </w:rPr>
        <w:t xml:space="preserve"> siècles</w:t>
      </w:r>
      <w:r w:rsidRPr="00BD1ABE">
        <w:t>), Biarritz, Atlantica</w:t>
      </w:r>
      <w:r w:rsidRPr="00E8358C">
        <w:rPr>
          <w:bCs/>
        </w:rPr>
        <w:t>, 1998.</w:t>
      </w:r>
    </w:p>
    <w:p w:rsidR="004C50DC" w:rsidRPr="00E8358C" w:rsidRDefault="004C50DC" w:rsidP="004C50DC">
      <w:pPr>
        <w:spacing w:before="120" w:after="120"/>
        <w:jc w:val="both"/>
      </w:pPr>
      <w:r w:rsidRPr="00E8358C">
        <w:t>-------, « Les comptes de la sucrerie Fleuriau. Analyse de la rent</w:t>
      </w:r>
      <w:r w:rsidRPr="00E8358C">
        <w:t>a</w:t>
      </w:r>
      <w:r w:rsidRPr="00E8358C">
        <w:t>bilité d’une plantation de Saint-Domingue au XVIII</w:t>
      </w:r>
      <w:r w:rsidRPr="00E8358C">
        <w:rPr>
          <w:vertAlign w:val="superscript"/>
        </w:rPr>
        <w:t>e</w:t>
      </w:r>
      <w:r w:rsidRPr="00E8358C">
        <w:t xml:space="preserve"> siècle », dans Paul Butel (dir.), </w:t>
      </w:r>
      <w:r w:rsidRPr="00E8358C">
        <w:rPr>
          <w:i/>
          <w:iCs/>
        </w:rPr>
        <w:t>Commerce et plantation dans la Caraïbe, XVIII</w:t>
      </w:r>
      <w:r w:rsidRPr="00E8358C">
        <w:rPr>
          <w:i/>
          <w:iCs/>
          <w:vertAlign w:val="superscript"/>
        </w:rPr>
        <w:t>e</w:t>
      </w:r>
      <w:r w:rsidRPr="00E8358C">
        <w:rPr>
          <w:i/>
          <w:iCs/>
        </w:rPr>
        <w:t>-XIX</w:t>
      </w:r>
      <w:r w:rsidRPr="00E8358C">
        <w:rPr>
          <w:i/>
          <w:iCs/>
          <w:vertAlign w:val="superscript"/>
        </w:rPr>
        <w:t>e</w:t>
      </w:r>
      <w:r w:rsidRPr="00E8358C">
        <w:rPr>
          <w:i/>
          <w:iCs/>
        </w:rPr>
        <w:t xml:space="preserve"> siècles</w:t>
      </w:r>
      <w:r w:rsidRPr="00E8358C">
        <w:rPr>
          <w:i/>
        </w:rPr>
        <w:t>, Actes du colloque de Bordeaux, 15-16 mars 1991</w:t>
      </w:r>
      <w:r w:rsidRPr="00E8358C">
        <w:t>, Bo</w:t>
      </w:r>
      <w:r w:rsidRPr="00E8358C">
        <w:t>r</w:t>
      </w:r>
      <w:r w:rsidRPr="00E8358C">
        <w:t xml:space="preserve">deaux, Maison des pays ibériques, 1992, </w:t>
      </w:r>
      <w:r>
        <w:t>p</w:t>
      </w:r>
      <w:r w:rsidRPr="00E8358C">
        <w:t>p. 143-156.</w:t>
      </w:r>
    </w:p>
    <w:p w:rsidR="004C50DC" w:rsidRPr="00E8358C" w:rsidRDefault="004C50DC" w:rsidP="004C50DC">
      <w:pPr>
        <w:spacing w:before="120" w:after="120"/>
        <w:jc w:val="both"/>
      </w:pPr>
      <w:r w:rsidRPr="00E8358C">
        <w:t xml:space="preserve">-------, « L’habitation d’un Béarnais à Saint-Domingue. La sucrerie Nolivos à la Croix-des-Bouquets », </w:t>
      </w:r>
      <w:r w:rsidRPr="00E8358C">
        <w:rPr>
          <w:i/>
          <w:iCs/>
        </w:rPr>
        <w:t>Revue de Pau et du Béarn</w:t>
      </w:r>
      <w:r w:rsidRPr="00E8358C">
        <w:t xml:space="preserve">, n° 12, 1985, </w:t>
      </w:r>
      <w:r>
        <w:t>p</w:t>
      </w:r>
      <w:r w:rsidRPr="00E8358C">
        <w:t>p. 213-232.</w:t>
      </w:r>
    </w:p>
    <w:p w:rsidR="004C50DC" w:rsidRPr="00E8358C" w:rsidRDefault="004C50DC" w:rsidP="004C50DC">
      <w:pPr>
        <w:spacing w:before="120" w:after="120"/>
        <w:jc w:val="both"/>
      </w:pPr>
      <w:r w:rsidRPr="00E8358C">
        <w:t xml:space="preserve">-------, « Vestiges de sucreries dans la Plaine du Cul-de-Sac », part. 1, </w:t>
      </w:r>
      <w:r w:rsidRPr="00E8358C">
        <w:rPr>
          <w:i/>
          <w:iCs/>
        </w:rPr>
        <w:t xml:space="preserve">Conjonction, </w:t>
      </w:r>
      <w:r w:rsidRPr="00E8358C">
        <w:rPr>
          <w:iCs/>
        </w:rPr>
        <w:t>n</w:t>
      </w:r>
      <w:r w:rsidRPr="00E8358C">
        <w:rPr>
          <w:iCs/>
          <w:vertAlign w:val="superscript"/>
        </w:rPr>
        <w:t>o </w:t>
      </w:r>
      <w:r w:rsidRPr="00E8358C">
        <w:rPr>
          <w:iCs/>
        </w:rPr>
        <w:t xml:space="preserve">149, </w:t>
      </w:r>
      <w:r w:rsidRPr="00E8358C">
        <w:t xml:space="preserve">1981, p. 63-104 ; part. 2, </w:t>
      </w:r>
      <w:r w:rsidRPr="00E8358C">
        <w:rPr>
          <w:i/>
          <w:iCs/>
        </w:rPr>
        <w:t>Conjonction</w:t>
      </w:r>
      <w:r w:rsidRPr="00E8358C">
        <w:t xml:space="preserve"> n</w:t>
      </w:r>
      <w:r w:rsidRPr="00E8358C">
        <w:rPr>
          <w:vertAlign w:val="superscript"/>
        </w:rPr>
        <w:t>o</w:t>
      </w:r>
      <w:r w:rsidRPr="00E8358C">
        <w:t xml:space="preserve"> 165, </w:t>
      </w:r>
      <w:r>
        <w:t>p</w:t>
      </w:r>
      <w:r w:rsidRPr="00E8358C">
        <w:t>p. 4-32.</w:t>
      </w:r>
    </w:p>
    <w:p w:rsidR="004C50DC" w:rsidRPr="00E8358C" w:rsidRDefault="004C50DC" w:rsidP="004C50DC">
      <w:pPr>
        <w:spacing w:before="120" w:after="120"/>
        <w:jc w:val="both"/>
      </w:pPr>
      <w:r w:rsidRPr="00E8358C">
        <w:t xml:space="preserve">Cauvin, Jean, </w:t>
      </w:r>
      <w:r w:rsidRPr="00E8358C">
        <w:rPr>
          <w:i/>
        </w:rPr>
        <w:t xml:space="preserve">Comprendre les Contes, </w:t>
      </w:r>
      <w:r w:rsidRPr="00E8358C">
        <w:t>Issy-les-Moulineaux, Saint-Paul, 1980.</w:t>
      </w:r>
    </w:p>
    <w:p w:rsidR="004C50DC" w:rsidRPr="00E8358C" w:rsidRDefault="004C50DC" w:rsidP="004C50DC">
      <w:pPr>
        <w:spacing w:before="120" w:after="120"/>
        <w:jc w:val="both"/>
        <w:rPr>
          <w:lang w:eastAsia="en-CA"/>
        </w:rPr>
      </w:pPr>
      <w:r w:rsidRPr="00E8358C">
        <w:t>Célius, Carlo Avierl, « Consolider et développer l’exposition de l’esclavage », dans</w:t>
      </w:r>
      <w:r w:rsidRPr="00E8358C">
        <w:rPr>
          <w:lang w:eastAsia="en-CA"/>
        </w:rPr>
        <w:t xml:space="preserve"> Françoise Vergès (dir.), </w:t>
      </w:r>
      <w:r w:rsidRPr="00E8358C">
        <w:rPr>
          <w:i/>
          <w:lang w:eastAsia="en-CA"/>
        </w:rPr>
        <w:t>Exposer l’esclavage : m</w:t>
      </w:r>
      <w:r w:rsidRPr="00E8358C">
        <w:rPr>
          <w:i/>
          <w:lang w:eastAsia="en-CA"/>
        </w:rPr>
        <w:t>é</w:t>
      </w:r>
      <w:r w:rsidRPr="00E8358C">
        <w:rPr>
          <w:i/>
          <w:lang w:eastAsia="en-CA"/>
        </w:rPr>
        <w:t>thodologies et pratiques</w:t>
      </w:r>
      <w:r w:rsidRPr="00E8358C">
        <w:rPr>
          <w:lang w:eastAsia="en-CA"/>
        </w:rPr>
        <w:t xml:space="preserve">. </w:t>
      </w:r>
      <w:r w:rsidRPr="00E8358C">
        <w:rPr>
          <w:i/>
          <w:lang w:eastAsia="en-CA"/>
        </w:rPr>
        <w:t>Colloque international en hommage à Édouard Glissant (1928-2011), Africultures</w:t>
      </w:r>
      <w:r w:rsidRPr="00E8358C">
        <w:rPr>
          <w:lang w:eastAsia="en-CA"/>
        </w:rPr>
        <w:t>, numéro thématique, 2013, p</w:t>
      </w:r>
      <w:r>
        <w:rPr>
          <w:lang w:eastAsia="en-CA"/>
        </w:rPr>
        <w:t>p</w:t>
      </w:r>
      <w:r w:rsidRPr="00E8358C">
        <w:rPr>
          <w:lang w:eastAsia="en-CA"/>
        </w:rPr>
        <w:t>. 31-36.</w:t>
      </w:r>
    </w:p>
    <w:p w:rsidR="004C50DC" w:rsidRPr="00E8358C" w:rsidRDefault="004C50DC" w:rsidP="004C50DC">
      <w:pPr>
        <w:spacing w:before="120" w:after="120"/>
        <w:jc w:val="both"/>
      </w:pPr>
      <w:r w:rsidRPr="00E8358C">
        <w:t>-------, « D’un nationalisme héroïque. Haïti et son panthéon nati</w:t>
      </w:r>
      <w:r w:rsidRPr="00E8358C">
        <w:t>o</w:t>
      </w:r>
      <w:r w:rsidRPr="00E8358C">
        <w:t xml:space="preserve">nal », conférence à l’Université Laval, 11 avril 2011, en ligne, </w:t>
      </w:r>
      <w:hyperlink r:id="rId102" w:history="1">
        <w:r w:rsidRPr="00E8358C">
          <w:rPr>
            <w:rStyle w:val="Lienhypertexte"/>
          </w:rPr>
          <w:t>https://vimeo.com/22572070</w:t>
        </w:r>
      </w:hyperlink>
    </w:p>
    <w:p w:rsidR="004C50DC" w:rsidRPr="00E8358C" w:rsidRDefault="004C50DC" w:rsidP="004C50DC">
      <w:pPr>
        <w:spacing w:before="120" w:after="120"/>
        <w:jc w:val="both"/>
      </w:pPr>
      <w:r w:rsidRPr="00E8358C">
        <w:t xml:space="preserve">-------, </w:t>
      </w:r>
      <w:r w:rsidRPr="00E8358C">
        <w:rPr>
          <w:i/>
        </w:rPr>
        <w:t>Langage plastique et énonciation identitaire. L’invention de l’art haïtien,</w:t>
      </w:r>
      <w:r w:rsidRPr="00E8358C">
        <w:t xml:space="preserve"> Québec, Les Presses de l’Université Laval, 2007.</w:t>
      </w:r>
    </w:p>
    <w:p w:rsidR="004C50DC" w:rsidRPr="00E8358C" w:rsidRDefault="004C50DC" w:rsidP="004C50DC">
      <w:pPr>
        <w:spacing w:before="120" w:after="120"/>
        <w:jc w:val="both"/>
      </w:pPr>
      <w:r w:rsidRPr="00E8358C">
        <w:t>-------, « La création plastique et le tournant ethnologique en Ha</w:t>
      </w:r>
      <w:r w:rsidRPr="00E8358C">
        <w:t>ï</w:t>
      </w:r>
      <w:r w:rsidRPr="00E8358C">
        <w:t xml:space="preserve">ti », </w:t>
      </w:r>
      <w:r w:rsidRPr="00E8358C">
        <w:rPr>
          <w:i/>
        </w:rPr>
        <w:t>Gradhiva</w:t>
      </w:r>
      <w:r w:rsidRPr="00E8358C">
        <w:t>, n</w:t>
      </w:r>
      <w:r w:rsidRPr="00E8358C">
        <w:rPr>
          <w:vertAlign w:val="superscript"/>
        </w:rPr>
        <w:t>o </w:t>
      </w:r>
      <w:r w:rsidRPr="00E8358C">
        <w:t xml:space="preserve">1, 2005, en ligne, </w:t>
      </w:r>
      <w:hyperlink r:id="rId103" w:history="1">
        <w:r w:rsidRPr="00E8358C">
          <w:t>http://gradhiva.revues.org/301</w:t>
        </w:r>
      </w:hyperlink>
    </w:p>
    <w:p w:rsidR="004C50DC" w:rsidRPr="00E8358C" w:rsidRDefault="004C50DC" w:rsidP="004C50DC">
      <w:pPr>
        <w:spacing w:before="120" w:after="120"/>
        <w:jc w:val="both"/>
      </w:pPr>
      <w:r w:rsidRPr="00E8358C">
        <w:t xml:space="preserve">-------, « Haïti : histoire, mémoire, patrimoine », </w:t>
      </w:r>
      <w:r w:rsidRPr="00E8358C">
        <w:rPr>
          <w:i/>
        </w:rPr>
        <w:t>Haïti, matières premières</w:t>
      </w:r>
      <w:r w:rsidRPr="00E8358C">
        <w:t xml:space="preserve">, </w:t>
      </w:r>
      <w:r w:rsidRPr="00E8358C">
        <w:rPr>
          <w:i/>
        </w:rPr>
        <w:t>Cahiers des Anneaux de la mémoire</w:t>
      </w:r>
      <w:r w:rsidRPr="00E8358C">
        <w:t>, n</w:t>
      </w:r>
      <w:r w:rsidRPr="00E8358C">
        <w:rPr>
          <w:vertAlign w:val="superscript"/>
        </w:rPr>
        <w:t>o</w:t>
      </w:r>
      <w:r w:rsidRPr="00E8358C">
        <w:t> 6, 2004, p</w:t>
      </w:r>
      <w:r>
        <w:t>p</w:t>
      </w:r>
      <w:r w:rsidRPr="00E8358C">
        <w:t>. 187-221.</w:t>
      </w:r>
    </w:p>
    <w:p w:rsidR="004C50DC" w:rsidRPr="00E8358C" w:rsidRDefault="004C50DC" w:rsidP="004C50DC">
      <w:pPr>
        <w:spacing w:before="120" w:after="120"/>
        <w:jc w:val="both"/>
      </w:pPr>
      <w:r w:rsidRPr="00E8358C">
        <w:t xml:space="preserve">-------, « L’esclavage au musée. Récit d’un refoulement », </w:t>
      </w:r>
      <w:r w:rsidRPr="00E8358C">
        <w:rPr>
          <w:i/>
          <w:iCs/>
        </w:rPr>
        <w:t>L’Homme</w:t>
      </w:r>
      <w:r w:rsidRPr="00E8358C">
        <w:t xml:space="preserve">, numéro thématique </w:t>
      </w:r>
      <w:r w:rsidRPr="00E8358C">
        <w:rPr>
          <w:i/>
        </w:rPr>
        <w:t>De l’esclavage</w:t>
      </w:r>
      <w:r w:rsidRPr="00E8358C">
        <w:t>, tome 38, n</w:t>
      </w:r>
      <w:r w:rsidRPr="00E8358C">
        <w:rPr>
          <w:vertAlign w:val="superscript"/>
        </w:rPr>
        <w:t>o </w:t>
      </w:r>
      <w:r w:rsidRPr="00E8358C">
        <w:t xml:space="preserve">145, 1998, en ligne, </w:t>
      </w:r>
      <w:hyperlink r:id="rId104" w:history="1">
        <w:r w:rsidRPr="00E8358C">
          <w:rPr>
            <w:rStyle w:val="Lienhypertexte"/>
          </w:rPr>
          <w:t>http://www.persee.fr/doc/hom_0439-4216_1998_num_38_145_370431</w:t>
        </w:r>
      </w:hyperlink>
    </w:p>
    <w:p w:rsidR="004C50DC" w:rsidRPr="00E8358C" w:rsidRDefault="004C50DC" w:rsidP="004C50DC">
      <w:pPr>
        <w:spacing w:before="120" w:after="120"/>
        <w:jc w:val="both"/>
      </w:pPr>
      <w:r w:rsidRPr="00E8358C">
        <w:t xml:space="preserve">-------, « Modernité artistique en Haïti », </w:t>
      </w:r>
      <w:r w:rsidRPr="00E8358C">
        <w:rPr>
          <w:i/>
        </w:rPr>
        <w:t>Haïti au toit de la Grande Arche</w:t>
      </w:r>
      <w:r w:rsidRPr="00E8358C">
        <w:t>, catalogue des expositions « Haïti : Femmes et Création » et « De l’esclavage d’hier à notre culture d’aujourd’hui », Paris, 10 se</w:t>
      </w:r>
      <w:r w:rsidRPr="00E8358C">
        <w:t>p</w:t>
      </w:r>
      <w:r w:rsidRPr="00E8358C">
        <w:t>tembre-18 octobre 1998, Port-au-Prince, Henri Deschamps, 1998, p</w:t>
      </w:r>
      <w:r>
        <w:t>p</w:t>
      </w:r>
      <w:r w:rsidRPr="00E8358C">
        <w:t>. 48-59.</w:t>
      </w:r>
    </w:p>
    <w:p w:rsidR="004C50DC" w:rsidRPr="00E8358C" w:rsidRDefault="004C50DC" w:rsidP="004C50DC">
      <w:pPr>
        <w:spacing w:before="120" w:after="120"/>
        <w:jc w:val="both"/>
      </w:pPr>
      <w:r w:rsidRPr="00E8358C">
        <w:t xml:space="preserve">Césaire, Aimé, </w:t>
      </w:r>
      <w:r w:rsidRPr="00E8358C">
        <w:rPr>
          <w:i/>
          <w:iCs/>
        </w:rPr>
        <w:t>Moi laminaire</w:t>
      </w:r>
      <w:r w:rsidRPr="00E8358C">
        <w:t>, Paris, Seuil, 1981.</w:t>
      </w:r>
    </w:p>
    <w:p w:rsidR="004C50DC" w:rsidRPr="00E8358C" w:rsidRDefault="004C50DC" w:rsidP="004C50DC">
      <w:pPr>
        <w:spacing w:before="120" w:after="120"/>
        <w:jc w:val="both"/>
      </w:pPr>
      <w:r w:rsidRPr="00E8358C">
        <w:rPr>
          <w:lang w:eastAsia="en-CA"/>
        </w:rPr>
        <w:t xml:space="preserve">-------, </w:t>
      </w:r>
      <w:r w:rsidRPr="00E8358C">
        <w:rPr>
          <w:i/>
          <w:lang w:eastAsia="en-CA"/>
        </w:rPr>
        <w:t>La tragédie du roi Christophe</w:t>
      </w:r>
      <w:r w:rsidRPr="00E8358C">
        <w:rPr>
          <w:lang w:eastAsia="en-CA"/>
        </w:rPr>
        <w:t>, Paris, Présence africaine, 1963.</w:t>
      </w:r>
    </w:p>
    <w:p w:rsidR="004C50DC" w:rsidRPr="00E8358C" w:rsidRDefault="004C50DC" w:rsidP="004C50DC">
      <w:pPr>
        <w:spacing w:before="120" w:after="120"/>
        <w:jc w:val="both"/>
        <w:rPr>
          <w:iCs/>
        </w:rPr>
      </w:pPr>
      <w:r w:rsidRPr="00E8358C">
        <w:t xml:space="preserve">-------, </w:t>
      </w:r>
      <w:r w:rsidRPr="00E8358C">
        <w:rPr>
          <w:i/>
        </w:rPr>
        <w:t>Discours sur le colonialisme</w:t>
      </w:r>
      <w:r w:rsidRPr="00E8358C">
        <w:t xml:space="preserve">, Paris, Présence Africaine, </w:t>
      </w:r>
      <w:r w:rsidRPr="00E8358C">
        <w:rPr>
          <w:iCs/>
        </w:rPr>
        <w:t>1955.</w:t>
      </w:r>
    </w:p>
    <w:p w:rsidR="004C50DC" w:rsidRPr="00E8358C" w:rsidRDefault="004C50DC" w:rsidP="004C50DC">
      <w:pPr>
        <w:spacing w:before="120" w:after="120"/>
        <w:jc w:val="both"/>
      </w:pPr>
      <w:r w:rsidRPr="00E8358C">
        <w:rPr>
          <w:iCs/>
        </w:rPr>
        <w:t xml:space="preserve">-------, </w:t>
      </w:r>
      <w:r w:rsidRPr="00E8358C">
        <w:rPr>
          <w:i/>
        </w:rPr>
        <w:t>Cahier d’un retour au pays natal</w:t>
      </w:r>
      <w:r w:rsidRPr="00E8358C">
        <w:t>, revue</w:t>
      </w:r>
      <w:r w:rsidRPr="00E8358C">
        <w:rPr>
          <w:i/>
          <w:iCs/>
        </w:rPr>
        <w:t>Volontés</w:t>
      </w:r>
      <w:r w:rsidRPr="00E8358C">
        <w:t xml:space="preserve">, Paris, Présence Africaine, </w:t>
      </w:r>
      <w:r w:rsidRPr="00E8358C">
        <w:rPr>
          <w:iCs/>
        </w:rPr>
        <w:t xml:space="preserve">1939 </w:t>
      </w:r>
      <w:r w:rsidRPr="00E8358C">
        <w:t>[1956].</w:t>
      </w:r>
    </w:p>
    <w:p w:rsidR="004C50DC" w:rsidRPr="00E8358C" w:rsidRDefault="004C50DC" w:rsidP="004C50DC">
      <w:pPr>
        <w:spacing w:before="120" w:after="120"/>
        <w:jc w:val="both"/>
      </w:pPr>
      <w:r w:rsidRPr="00E8358C">
        <w:t xml:space="preserve">Cham, P., colonel, « Vertières ou l’héroïsme », </w:t>
      </w:r>
      <w:r w:rsidRPr="00E8358C">
        <w:rPr>
          <w:i/>
        </w:rPr>
        <w:t>Le Matin</w:t>
      </w:r>
      <w:r w:rsidRPr="00E8358C">
        <w:t>, 8-9 mars 1953.</w:t>
      </w:r>
    </w:p>
    <w:p w:rsidR="004C50DC" w:rsidRPr="00E8358C" w:rsidRDefault="004C50DC" w:rsidP="004C50DC">
      <w:pPr>
        <w:spacing w:before="120" w:after="120"/>
        <w:jc w:val="both"/>
      </w:pPr>
      <w:r w:rsidRPr="00E8358C">
        <w:t xml:space="preserve">Chanlatte, Juste, </w:t>
      </w:r>
      <w:r w:rsidRPr="00E8358C">
        <w:rPr>
          <w:rStyle w:val="a-size-large"/>
          <w:bCs/>
          <w:i/>
        </w:rPr>
        <w:t>Histoire de la catastrophe de Saint-Domingue</w:t>
      </w:r>
      <w:r w:rsidRPr="00E8358C">
        <w:rPr>
          <w:rStyle w:val="a-size-large"/>
          <w:bCs/>
        </w:rPr>
        <w:t xml:space="preserve">, Paris, Librairie de Peytieux, 1824, </w:t>
      </w:r>
      <w:r w:rsidRPr="00E8358C">
        <w:t xml:space="preserve">en ligne, </w:t>
      </w:r>
      <w:hyperlink r:id="rId105" w:history="1">
        <w:r w:rsidRPr="00E8358C">
          <w:rPr>
            <w:rStyle w:val="Lienhypertexte"/>
            <w:bCs/>
          </w:rPr>
          <w:t>http://gallica.bnf.fr/ark:/12148/</w:t>
        </w:r>
      </w:hyperlink>
    </w:p>
    <w:p w:rsidR="004C50DC" w:rsidRPr="00E8358C" w:rsidRDefault="004C50DC" w:rsidP="004C50DC">
      <w:pPr>
        <w:spacing w:before="120" w:after="120"/>
        <w:jc w:val="both"/>
        <w:rPr>
          <w:lang w:eastAsia="en-CA"/>
        </w:rPr>
      </w:pPr>
      <w:r w:rsidRPr="00E8358C">
        <w:t>Chan Low, Laval Jocelyn</w:t>
      </w:r>
      <w:r w:rsidRPr="00E8358C">
        <w:rPr>
          <w:lang w:eastAsia="en-CA"/>
        </w:rPr>
        <w:t xml:space="preserve">, « Les enjeux actuels des débats sur la mémoire et la réparation pour l’esclavage à l’île Maurice », </w:t>
      </w:r>
      <w:r w:rsidRPr="00E8358C">
        <w:rPr>
          <w:i/>
          <w:lang w:eastAsia="en-CA"/>
        </w:rPr>
        <w:t>Cahiers d’Études Africaines,</w:t>
      </w:r>
      <w:r w:rsidRPr="00E8358C">
        <w:rPr>
          <w:lang w:eastAsia="en-CA"/>
        </w:rPr>
        <w:t xml:space="preserve"> numéro thématique </w:t>
      </w:r>
      <w:r w:rsidRPr="00E8358C">
        <w:rPr>
          <w:i/>
          <w:lang w:eastAsia="en-CA"/>
        </w:rPr>
        <w:t>Réparations, restitutions, réconciliations. Entre Afriques, Europe et Amériques</w:t>
      </w:r>
      <w:r w:rsidRPr="00E8358C">
        <w:rPr>
          <w:lang w:eastAsia="en-CA"/>
        </w:rPr>
        <w:t>, vol. 44, cahier 173/174, 2004, p</w:t>
      </w:r>
      <w:r>
        <w:rPr>
          <w:lang w:eastAsia="en-CA"/>
        </w:rPr>
        <w:t>p</w:t>
      </w:r>
      <w:r w:rsidRPr="00E8358C">
        <w:rPr>
          <w:lang w:eastAsia="en-CA"/>
        </w:rPr>
        <w:t>. 401-418.</w:t>
      </w:r>
    </w:p>
    <w:p w:rsidR="004C50DC" w:rsidRDefault="004C50DC" w:rsidP="004C50DC">
      <w:pPr>
        <w:spacing w:before="120" w:after="120"/>
        <w:jc w:val="both"/>
      </w:pPr>
      <w:r>
        <w:t>[471]</w:t>
      </w:r>
    </w:p>
    <w:p w:rsidR="004C50DC" w:rsidRPr="00E8358C" w:rsidRDefault="004C50DC" w:rsidP="004C50DC">
      <w:pPr>
        <w:spacing w:before="120" w:after="120"/>
        <w:jc w:val="both"/>
        <w:rPr>
          <w:lang w:eastAsia="en-CA"/>
        </w:rPr>
      </w:pPr>
      <w:r w:rsidRPr="00E8358C">
        <w:t xml:space="preserve">Charles, Christophe Philippe, </w:t>
      </w:r>
      <w:r w:rsidRPr="00E8358C">
        <w:rPr>
          <w:i/>
        </w:rPr>
        <w:t>Conversations avec Émile Roumer et Franckétienne</w:t>
      </w:r>
      <w:r w:rsidRPr="00E8358C">
        <w:t>, Port-au-Prince, Choucoune, 2012.</w:t>
      </w:r>
    </w:p>
    <w:p w:rsidR="004C50DC" w:rsidRPr="00E8358C" w:rsidRDefault="004C50DC" w:rsidP="004C50DC">
      <w:pPr>
        <w:spacing w:before="120" w:after="120"/>
        <w:jc w:val="both"/>
        <w:rPr>
          <w:lang w:eastAsia="en-CA"/>
        </w:rPr>
      </w:pPr>
      <w:r w:rsidRPr="00E8358C">
        <w:t xml:space="preserve">-------, </w:t>
      </w:r>
      <w:r w:rsidRPr="00E8358C">
        <w:rPr>
          <w:i/>
        </w:rPr>
        <w:t>Littérature haïtienne. Les pionniers, l’école de 1836</w:t>
      </w:r>
      <w:r w:rsidRPr="00E8358C">
        <w:t>, tome 1, Port-au-Prince, Choucoune, 2001.</w:t>
      </w:r>
    </w:p>
    <w:p w:rsidR="004C50DC" w:rsidRPr="00E8358C" w:rsidRDefault="004C50DC" w:rsidP="004C50DC">
      <w:pPr>
        <w:spacing w:before="120" w:after="120"/>
        <w:jc w:val="both"/>
      </w:pPr>
      <w:r w:rsidRPr="00E8358C">
        <w:t>Charlier-Doucet, Rachelle, « Anthropologie, politique et engag</w:t>
      </w:r>
      <w:r w:rsidRPr="00E8358C">
        <w:t>e</w:t>
      </w:r>
      <w:r w:rsidRPr="00E8358C">
        <w:t xml:space="preserve">ment social », </w:t>
      </w:r>
      <w:r w:rsidRPr="00E8358C">
        <w:rPr>
          <w:i/>
        </w:rPr>
        <w:t>Gradhiva</w:t>
      </w:r>
      <w:r w:rsidRPr="00E8358C">
        <w:t>, n</w:t>
      </w:r>
      <w:r w:rsidRPr="00E8358C">
        <w:rPr>
          <w:vertAlign w:val="superscript"/>
        </w:rPr>
        <w:t>o</w:t>
      </w:r>
      <w:r w:rsidRPr="00E8358C">
        <w:t xml:space="preserve"> 1, 2005, en ligne, </w:t>
      </w:r>
      <w:hyperlink r:id="rId106" w:history="1">
        <w:r w:rsidRPr="00E8358C">
          <w:rPr>
            <w:rStyle w:val="Lienhypertexte"/>
          </w:rPr>
          <w:t>http://gradhiva.revues.org/313</w:t>
        </w:r>
      </w:hyperlink>
    </w:p>
    <w:p w:rsidR="004C50DC" w:rsidRPr="00E8358C" w:rsidRDefault="004C50DC" w:rsidP="004C50DC">
      <w:pPr>
        <w:spacing w:before="120" w:after="120"/>
        <w:jc w:val="both"/>
      </w:pPr>
      <w:r w:rsidRPr="00E8358C">
        <w:t xml:space="preserve">-------, « Les musées en Haïti », </w:t>
      </w:r>
      <w:r w:rsidRPr="00E8358C">
        <w:rPr>
          <w:i/>
        </w:rPr>
        <w:t>Conjonction</w:t>
      </w:r>
      <w:r w:rsidRPr="00E8358C">
        <w:t>, n</w:t>
      </w:r>
      <w:r w:rsidRPr="00E8358C">
        <w:rPr>
          <w:vertAlign w:val="superscript"/>
        </w:rPr>
        <w:t>o</w:t>
      </w:r>
      <w:r w:rsidRPr="00E8358C">
        <w:t> 206, 2001, p. 57-73</w:t>
      </w:r>
    </w:p>
    <w:p w:rsidR="004C50DC" w:rsidRPr="00BD1ABE" w:rsidRDefault="004C50DC" w:rsidP="004C50DC">
      <w:pPr>
        <w:spacing w:before="120" w:after="120"/>
        <w:jc w:val="both"/>
        <w:rPr>
          <w:lang w:eastAsia="en-CA"/>
        </w:rPr>
      </w:pPr>
      <w:r w:rsidRPr="00BD1ABE">
        <w:t xml:space="preserve">Charbonneau, André et Laurier Turgeon (dir.), </w:t>
      </w:r>
      <w:r w:rsidRPr="00BD1ABE">
        <w:rPr>
          <w:i/>
        </w:rPr>
        <w:t>Patrimoines et</w:t>
      </w:r>
      <w:r w:rsidRPr="00E8358C">
        <w:rPr>
          <w:i/>
        </w:rPr>
        <w:t xml:space="preserve"> identités en Amérique française, </w:t>
      </w:r>
      <w:r w:rsidRPr="00E8358C">
        <w:t xml:space="preserve">Québec, Presses de l’Université </w:t>
      </w:r>
      <w:r w:rsidRPr="00E8358C">
        <w:rPr>
          <w:lang w:eastAsia="en-CA"/>
        </w:rPr>
        <w:t>L</w:t>
      </w:r>
      <w:r w:rsidRPr="00E8358C">
        <w:rPr>
          <w:lang w:eastAsia="en-CA"/>
        </w:rPr>
        <w:t>a</w:t>
      </w:r>
      <w:r w:rsidRPr="00E8358C">
        <w:rPr>
          <w:lang w:eastAsia="en-CA"/>
        </w:rPr>
        <w:t xml:space="preserve">val, </w:t>
      </w:r>
      <w:r w:rsidRPr="00BD1ABE">
        <w:rPr>
          <w:lang w:eastAsia="en-CA"/>
        </w:rPr>
        <w:t>2010.</w:t>
      </w:r>
    </w:p>
    <w:p w:rsidR="004C50DC" w:rsidRPr="00E8358C" w:rsidRDefault="004C50DC" w:rsidP="004C50DC">
      <w:pPr>
        <w:spacing w:before="120" w:after="120"/>
        <w:jc w:val="both"/>
        <w:rPr>
          <w:lang w:eastAsia="en-CA"/>
        </w:rPr>
      </w:pPr>
      <w:r w:rsidRPr="00E8358C">
        <w:rPr>
          <w:lang w:eastAsia="en-CA"/>
        </w:rPr>
        <w:t xml:space="preserve">Charpentreau, Jacques, </w:t>
      </w:r>
      <w:r w:rsidRPr="00E8358C">
        <w:rPr>
          <w:i/>
          <w:iCs/>
          <w:lang w:eastAsia="en-CA"/>
        </w:rPr>
        <w:t>Pour une politique culturelle</w:t>
      </w:r>
      <w:r w:rsidRPr="00E8358C">
        <w:rPr>
          <w:lang w:eastAsia="en-CA"/>
        </w:rPr>
        <w:t>, Paris, les Éditions ouvrières, 1967.</w:t>
      </w:r>
    </w:p>
    <w:p w:rsidR="004C50DC" w:rsidRPr="00E8358C" w:rsidRDefault="004C50DC" w:rsidP="004C50DC">
      <w:pPr>
        <w:spacing w:before="120" w:after="120"/>
        <w:jc w:val="both"/>
      </w:pPr>
      <w:r w:rsidRPr="00E8358C">
        <w:t xml:space="preserve">Chérubin, Ginette, « Patrimoine National : enfin le déclic ! », </w:t>
      </w:r>
      <w:r w:rsidRPr="00E8358C">
        <w:rPr>
          <w:i/>
        </w:rPr>
        <w:t>Le Nouvelliste</w:t>
      </w:r>
      <w:r w:rsidRPr="00E8358C">
        <w:t xml:space="preserve">, 19 mai 2006, en ligne, </w:t>
      </w:r>
      <w:hyperlink r:id="rId107" w:history="1">
        <w:r w:rsidRPr="00E8358C">
          <w:rPr>
            <w:rStyle w:val="Lienhypertexte"/>
          </w:rPr>
          <w:t>http://lenouvelliste.com/lenouvelliste/article/29379/Patrimoine-National-enfin-le-declic</w:t>
        </w:r>
      </w:hyperlink>
    </w:p>
    <w:p w:rsidR="004C50DC" w:rsidRPr="00BD1ABE" w:rsidRDefault="004C50DC" w:rsidP="004C50DC">
      <w:pPr>
        <w:spacing w:before="120" w:after="120"/>
        <w:jc w:val="both"/>
        <w:rPr>
          <w:rStyle w:val="familyname"/>
          <w:bCs/>
        </w:rPr>
      </w:pPr>
      <w:r w:rsidRPr="00BD1ABE">
        <w:rPr>
          <w:rStyle w:val="familyname"/>
          <w:bCs/>
        </w:rPr>
        <w:t>Chiarelotto, Fabio, « Le vodou. Campagnes anti-superstitieus</w:t>
      </w:r>
      <w:r w:rsidRPr="00BD1ABE">
        <w:rPr>
          <w:rStyle w:val="familyname"/>
        </w:rPr>
        <w:t>es », S</w:t>
      </w:r>
      <w:r w:rsidRPr="00BD1ABE">
        <w:rPr>
          <w:rStyle w:val="familyname"/>
          <w:bCs/>
        </w:rPr>
        <w:t>cience des religions, cours de second cycle, Domuni campus virtuel Saint-Jérôme, en ligne, http://stjerome.domuni.org, 2003</w:t>
      </w:r>
    </w:p>
    <w:p w:rsidR="004C50DC" w:rsidRPr="00E8358C" w:rsidRDefault="004C50DC" w:rsidP="004C50DC">
      <w:pPr>
        <w:spacing w:before="120" w:after="120"/>
        <w:jc w:val="both"/>
      </w:pPr>
      <w:r w:rsidRPr="00E8358C">
        <w:rPr>
          <w:rStyle w:val="familyname"/>
          <w:bCs/>
        </w:rPr>
        <w:t>Chivallon</w:t>
      </w:r>
      <w:r w:rsidRPr="00E8358C">
        <w:t>, Christine, « Le point de départ : recherche sur la m</w:t>
      </w:r>
      <w:r w:rsidRPr="00E8358C">
        <w:t>é</w:t>
      </w:r>
      <w:r w:rsidRPr="00E8358C">
        <w:t xml:space="preserve">moire de l’esclavage en milieu antillais », </w:t>
      </w:r>
      <w:r w:rsidRPr="00E8358C">
        <w:rPr>
          <w:rStyle w:val="Accentuation"/>
        </w:rPr>
        <w:t>Nuevo Mundo Mundos Nuevos</w:t>
      </w:r>
      <w:r w:rsidRPr="00E8358C">
        <w:t>, Comptes rendus et essais historiographiques, 2014, en ligne, http://nuevomundo.revues.org/67275 ; DOI : 10.4000/nuevomundo.67275</w:t>
      </w:r>
    </w:p>
    <w:p w:rsidR="004C50DC" w:rsidRPr="00E8358C" w:rsidRDefault="004C50DC" w:rsidP="004C50DC">
      <w:pPr>
        <w:spacing w:before="120" w:after="120"/>
        <w:jc w:val="both"/>
      </w:pPr>
      <w:r w:rsidRPr="00E8358C">
        <w:t xml:space="preserve">-------, </w:t>
      </w:r>
      <w:r w:rsidRPr="00E8358C">
        <w:rPr>
          <w:i/>
        </w:rPr>
        <w:t>L’esclavage, du souvenir à la mémoire. Contribution à une anthropologie de la Caraïbe</w:t>
      </w:r>
      <w:r w:rsidRPr="00E8358C">
        <w:t>, Paris, Karthala, 2012.</w:t>
      </w:r>
    </w:p>
    <w:p w:rsidR="004C50DC" w:rsidRPr="00E8358C" w:rsidRDefault="004C50DC" w:rsidP="004C50DC">
      <w:pPr>
        <w:spacing w:before="120" w:after="120"/>
        <w:jc w:val="both"/>
      </w:pPr>
      <w:r w:rsidRPr="00E8358C">
        <w:t xml:space="preserve">-------, « Mémoires de l’esclavage à la Martinique. L’explosion mémorielle et la révélation de mémoires anonymes », </w:t>
      </w:r>
      <w:r w:rsidRPr="00E8358C">
        <w:rPr>
          <w:i/>
        </w:rPr>
        <w:t>Cahiers d’études africaines</w:t>
      </w:r>
      <w:r w:rsidRPr="00E8358C">
        <w:t>, vol. 1, n</w:t>
      </w:r>
      <w:r w:rsidRPr="00E8358C">
        <w:rPr>
          <w:vertAlign w:val="superscript"/>
        </w:rPr>
        <w:t>o</w:t>
      </w:r>
      <w:r w:rsidRPr="00E8358C">
        <w:t> 197, 2010, p</w:t>
      </w:r>
      <w:r>
        <w:t>p</w:t>
      </w:r>
      <w:r w:rsidRPr="00E8358C">
        <w:t>. 235-261.</w:t>
      </w:r>
    </w:p>
    <w:p w:rsidR="004C50DC" w:rsidRPr="00E8358C" w:rsidRDefault="004C50DC" w:rsidP="004C50DC">
      <w:pPr>
        <w:spacing w:before="120" w:after="120"/>
        <w:jc w:val="both"/>
        <w:rPr>
          <w:rFonts w:eastAsia="Calibri"/>
          <w:lang w:eastAsia="en-CA"/>
        </w:rPr>
      </w:pPr>
      <w:r w:rsidRPr="00E8358C">
        <w:t>-------</w:t>
      </w:r>
      <w:r w:rsidRPr="00E8358C">
        <w:rPr>
          <w:rFonts w:eastAsia="Calibri"/>
          <w:lang w:eastAsia="en-CA"/>
        </w:rPr>
        <w:t xml:space="preserve">, « La quête pathétique des </w:t>
      </w:r>
      <w:r w:rsidRPr="00E8358C">
        <w:rPr>
          <w:rFonts w:eastAsia="Calibri"/>
          <w:i/>
          <w:lang w:eastAsia="en-CA"/>
        </w:rPr>
        <w:t>postcolonial studies</w:t>
      </w:r>
      <w:r w:rsidRPr="00E8358C">
        <w:rPr>
          <w:rFonts w:eastAsia="Calibri"/>
          <w:lang w:eastAsia="en-CA"/>
        </w:rPr>
        <w:t xml:space="preserve"> ou la révol</w:t>
      </w:r>
      <w:r w:rsidRPr="00E8358C">
        <w:rPr>
          <w:rFonts w:eastAsia="Calibri"/>
          <w:lang w:eastAsia="en-CA"/>
        </w:rPr>
        <w:t>u</w:t>
      </w:r>
      <w:r w:rsidRPr="00E8358C">
        <w:rPr>
          <w:rFonts w:eastAsia="Calibri"/>
          <w:lang w:eastAsia="en-CA"/>
        </w:rPr>
        <w:t xml:space="preserve">tion manquée », </w:t>
      </w:r>
      <w:r w:rsidRPr="00E8358C">
        <w:rPr>
          <w:rFonts w:eastAsia="Calibri"/>
          <w:i/>
          <w:lang w:eastAsia="en-CA"/>
        </w:rPr>
        <w:t>Mouvements</w:t>
      </w:r>
      <w:r w:rsidRPr="00E8358C">
        <w:rPr>
          <w:rFonts w:eastAsia="Calibri"/>
          <w:lang w:eastAsia="en-CA"/>
        </w:rPr>
        <w:t>, vol. 3, n</w:t>
      </w:r>
      <w:r w:rsidRPr="00E8358C">
        <w:rPr>
          <w:rFonts w:eastAsia="Calibri"/>
          <w:vertAlign w:val="superscript"/>
          <w:lang w:eastAsia="en-CA"/>
        </w:rPr>
        <w:t>o</w:t>
      </w:r>
      <w:r w:rsidRPr="00E8358C">
        <w:rPr>
          <w:rFonts w:eastAsia="Calibri"/>
          <w:lang w:eastAsia="en-CA"/>
        </w:rPr>
        <w:t> 51</w:t>
      </w:r>
      <w:r w:rsidRPr="00E8358C">
        <w:t>, 2007</w:t>
      </w:r>
      <w:r w:rsidRPr="00E8358C">
        <w:rPr>
          <w:rFonts w:eastAsia="Calibri"/>
          <w:lang w:eastAsia="en-CA"/>
        </w:rPr>
        <w:t>, p</w:t>
      </w:r>
      <w:r>
        <w:rPr>
          <w:rFonts w:eastAsia="Calibri"/>
          <w:lang w:eastAsia="en-CA"/>
        </w:rPr>
        <w:t>p</w:t>
      </w:r>
      <w:r w:rsidRPr="00E8358C">
        <w:rPr>
          <w:rFonts w:eastAsia="Calibri"/>
          <w:lang w:eastAsia="en-CA"/>
        </w:rPr>
        <w:t>. 32-39.</w:t>
      </w:r>
    </w:p>
    <w:p w:rsidR="004C50DC" w:rsidRPr="00E8358C" w:rsidRDefault="004C50DC" w:rsidP="004C50DC">
      <w:pPr>
        <w:spacing w:before="120" w:after="120"/>
        <w:jc w:val="both"/>
      </w:pPr>
      <w:r w:rsidRPr="00E8358C">
        <w:t xml:space="preserve">-------, « Rendre visible l’esclavage. Muséographie et hiatus de la mémoire aux Antilles françaises », </w:t>
      </w:r>
      <w:r w:rsidRPr="00E8358C">
        <w:rPr>
          <w:i/>
        </w:rPr>
        <w:t>L’Homme</w:t>
      </w:r>
      <w:r w:rsidRPr="00E8358C">
        <w:t>, vol. 4, n</w:t>
      </w:r>
      <w:r w:rsidRPr="00E8358C">
        <w:rPr>
          <w:vertAlign w:val="superscript"/>
        </w:rPr>
        <w:t>o</w:t>
      </w:r>
      <w:r w:rsidRPr="00E8358C">
        <w:t> 180, 2006, p</w:t>
      </w:r>
      <w:r>
        <w:t>p</w:t>
      </w:r>
      <w:r w:rsidRPr="00E8358C">
        <w:t>. 7-41.</w:t>
      </w:r>
    </w:p>
    <w:p w:rsidR="004C50DC" w:rsidRPr="00E8358C" w:rsidRDefault="004C50DC" w:rsidP="004C50DC">
      <w:pPr>
        <w:spacing w:before="120" w:after="120"/>
        <w:jc w:val="both"/>
        <w:rPr>
          <w:rFonts w:eastAsia="Calibri"/>
        </w:rPr>
      </w:pPr>
      <w:r w:rsidRPr="00E8358C">
        <w:t xml:space="preserve">-------, </w:t>
      </w:r>
      <w:r w:rsidRPr="00E8358C">
        <w:rPr>
          <w:i/>
        </w:rPr>
        <w:t>La diaspora noire des Amériques. Expériences et théories à partir de la Caraïbe</w:t>
      </w:r>
      <w:r w:rsidRPr="00E8358C">
        <w:t>, Paris, CNRS, 2004.</w:t>
      </w:r>
    </w:p>
    <w:p w:rsidR="004C50DC" w:rsidRPr="00E8358C" w:rsidRDefault="004C50DC" w:rsidP="004C50DC">
      <w:pPr>
        <w:spacing w:before="120" w:after="120"/>
        <w:jc w:val="both"/>
        <w:rPr>
          <w:rFonts w:eastAsia="Calibri"/>
        </w:rPr>
      </w:pPr>
      <w:r w:rsidRPr="00E8358C">
        <w:t>-------</w:t>
      </w:r>
      <w:r w:rsidRPr="00E8358C">
        <w:rPr>
          <w:rFonts w:eastAsia="Calibri"/>
        </w:rPr>
        <w:t xml:space="preserve">,  </w:t>
      </w:r>
      <w:r w:rsidRPr="00E8358C">
        <w:t xml:space="preserve">« Mémoires antillaises de l’esclavage », </w:t>
      </w:r>
      <w:r w:rsidRPr="00E8358C">
        <w:rPr>
          <w:i/>
        </w:rPr>
        <w:t>Ethnologie fra</w:t>
      </w:r>
      <w:r w:rsidRPr="00E8358C">
        <w:rPr>
          <w:i/>
        </w:rPr>
        <w:t>n</w:t>
      </w:r>
      <w:r w:rsidRPr="00E8358C">
        <w:rPr>
          <w:i/>
        </w:rPr>
        <w:t>çaise</w:t>
      </w:r>
      <w:r w:rsidRPr="00E8358C">
        <w:t>, n</w:t>
      </w:r>
      <w:r w:rsidRPr="00E8358C">
        <w:rPr>
          <w:vertAlign w:val="superscript"/>
        </w:rPr>
        <w:t>o</w:t>
      </w:r>
      <w:r w:rsidRPr="00E8358C">
        <w:t xml:space="preserve"> 4, </w:t>
      </w:r>
      <w:r w:rsidRPr="00E8358C">
        <w:rPr>
          <w:rFonts w:eastAsia="Calibri"/>
        </w:rPr>
        <w:t>2002, p</w:t>
      </w:r>
      <w:r>
        <w:rPr>
          <w:rFonts w:eastAsia="Calibri"/>
        </w:rPr>
        <w:t>p</w:t>
      </w:r>
      <w:r w:rsidRPr="00E8358C">
        <w:rPr>
          <w:rFonts w:eastAsia="Calibri"/>
        </w:rPr>
        <w:t>. 601-612.</w:t>
      </w:r>
    </w:p>
    <w:p w:rsidR="004C50DC" w:rsidRPr="00E8358C" w:rsidRDefault="004C50DC" w:rsidP="004C50DC">
      <w:pPr>
        <w:spacing w:before="120" w:after="120"/>
        <w:jc w:val="both"/>
      </w:pPr>
      <w:r w:rsidRPr="00E8358C">
        <w:t xml:space="preserve">-------, « L’émergence récente de la mémoire de l’esclavage dans l’espace public : enjeux et significations », </w:t>
      </w:r>
      <w:r w:rsidRPr="00E8358C">
        <w:rPr>
          <w:i/>
        </w:rPr>
        <w:t>Cahiers d’Histoire</w:t>
      </w:r>
      <w:r w:rsidRPr="00E8358C">
        <w:t>, num</w:t>
      </w:r>
      <w:r w:rsidRPr="00E8358C">
        <w:t>é</w:t>
      </w:r>
      <w:r w:rsidRPr="00E8358C">
        <w:t xml:space="preserve">ro thématique </w:t>
      </w:r>
      <w:r w:rsidRPr="00E8358C">
        <w:rPr>
          <w:i/>
        </w:rPr>
        <w:t>Esclavage, marronnage et commémorations. Les enjeux de la mémoire</w:t>
      </w:r>
      <w:r w:rsidRPr="00E8358C">
        <w:t>, n</w:t>
      </w:r>
      <w:r w:rsidRPr="00E8358C">
        <w:rPr>
          <w:vertAlign w:val="superscript"/>
        </w:rPr>
        <w:t>o</w:t>
      </w:r>
      <w:r w:rsidRPr="00E8358C">
        <w:t> 89, 2002, p</w:t>
      </w:r>
      <w:r>
        <w:t>p</w:t>
      </w:r>
      <w:r w:rsidRPr="00E8358C">
        <w:t>. 41-60.</w:t>
      </w:r>
    </w:p>
    <w:p w:rsidR="004C50DC" w:rsidRPr="00E8358C" w:rsidRDefault="004C50DC" w:rsidP="004C50DC">
      <w:pPr>
        <w:spacing w:before="120" w:after="120"/>
        <w:jc w:val="both"/>
      </w:pPr>
      <w:r w:rsidRPr="00E8358C">
        <w:t xml:space="preserve">-------, « Affronter des questions toujours là. Autour des registres d’une mémoire antillaise de l’esclavage », </w:t>
      </w:r>
      <w:r w:rsidRPr="00E8358C">
        <w:rPr>
          <w:i/>
        </w:rPr>
        <w:t>Ethnologie française</w:t>
      </w:r>
      <w:r w:rsidRPr="00E8358C">
        <w:t>, vol. XXXII, n</w:t>
      </w:r>
      <w:r w:rsidRPr="00E8358C">
        <w:rPr>
          <w:vertAlign w:val="superscript"/>
        </w:rPr>
        <w:t>o</w:t>
      </w:r>
      <w:r w:rsidRPr="00E8358C">
        <w:t xml:space="preserve"> 4, 2002, </w:t>
      </w:r>
      <w:r>
        <w:t>p</w:t>
      </w:r>
      <w:r w:rsidRPr="00E8358C">
        <w:t>p. 601-612.</w:t>
      </w:r>
    </w:p>
    <w:p w:rsidR="004C50DC" w:rsidRPr="00E8358C" w:rsidRDefault="004C50DC" w:rsidP="004C50DC">
      <w:pPr>
        <w:spacing w:before="120" w:after="120"/>
        <w:jc w:val="both"/>
        <w:rPr>
          <w:lang w:eastAsia="en-CA"/>
        </w:rPr>
      </w:pPr>
      <w:r w:rsidRPr="00E8358C">
        <w:rPr>
          <w:bCs/>
          <w:lang w:eastAsia="en-CA"/>
        </w:rPr>
        <w:t>Chomsky, Noam, « </w:t>
      </w:r>
      <w:r w:rsidRPr="00E8358C">
        <w:t xml:space="preserve">La tragédie d’Haïti, chapitre 8 », dans </w:t>
      </w:r>
      <w:r w:rsidRPr="00E8358C">
        <w:rPr>
          <w:i/>
          <w:lang w:eastAsia="en-CA"/>
        </w:rPr>
        <w:t xml:space="preserve">L’an 501, la conquête continue, </w:t>
      </w:r>
      <w:r w:rsidRPr="00E8358C">
        <w:rPr>
          <w:lang w:eastAsia="en-CA"/>
        </w:rPr>
        <w:t>Paris, L’Herne, 2006.</w:t>
      </w:r>
    </w:p>
    <w:p w:rsidR="004C50DC" w:rsidRPr="00E8358C" w:rsidRDefault="004C50DC" w:rsidP="004C50DC">
      <w:pPr>
        <w:spacing w:before="120" w:after="120"/>
        <w:jc w:val="both"/>
      </w:pPr>
      <w:r w:rsidRPr="00E8358C">
        <w:t xml:space="preserve">Chrétien, Jean-Pierre et Jean-Louis Triand (dir.), </w:t>
      </w:r>
      <w:r w:rsidRPr="00E8358C">
        <w:rPr>
          <w:i/>
        </w:rPr>
        <w:t>Histoire d’Afrique. Les enjeux de mémoire</w:t>
      </w:r>
      <w:r w:rsidRPr="00E8358C">
        <w:t>, Paris, Karthala, 1999.</w:t>
      </w:r>
    </w:p>
    <w:p w:rsidR="004C50DC" w:rsidRPr="00E8358C" w:rsidRDefault="004C50DC" w:rsidP="004C50DC">
      <w:pPr>
        <w:spacing w:before="120" w:after="120"/>
        <w:jc w:val="both"/>
        <w:rPr>
          <w:bdr w:val="none" w:sz="0" w:space="0" w:color="auto" w:frame="1"/>
        </w:rPr>
      </w:pPr>
      <w:r w:rsidRPr="00E8358C">
        <w:t xml:space="preserve">Ciarca, Gaetano, </w:t>
      </w:r>
      <w:r w:rsidRPr="00E8358C">
        <w:rPr>
          <w:rStyle w:val="Accentuation"/>
          <w:bdr w:val="none" w:sz="0" w:space="0" w:color="auto" w:frame="1"/>
        </w:rPr>
        <w:t>La perte durable. Étude sur la notion de patr</w:t>
      </w:r>
      <w:r w:rsidRPr="00E8358C">
        <w:rPr>
          <w:rStyle w:val="Accentuation"/>
          <w:bdr w:val="none" w:sz="0" w:space="0" w:color="auto" w:frame="1"/>
        </w:rPr>
        <w:t>i</w:t>
      </w:r>
      <w:r w:rsidRPr="00E8358C">
        <w:rPr>
          <w:rStyle w:val="Accentuation"/>
          <w:bdr w:val="none" w:sz="0" w:space="0" w:color="auto" w:frame="1"/>
        </w:rPr>
        <w:t>moine immatériel</w:t>
      </w:r>
      <w:r w:rsidRPr="00E8358C">
        <w:t xml:space="preserve">, Paris, Lahic - Mission à l’ethnologie, </w:t>
      </w:r>
      <w:r w:rsidRPr="00E8358C">
        <w:rPr>
          <w:rStyle w:val="Accentuation"/>
          <w:bdr w:val="none" w:sz="0" w:space="0" w:color="auto" w:frame="1"/>
        </w:rPr>
        <w:t>Les carnets du Lahic</w:t>
      </w:r>
      <w:r w:rsidRPr="00E8358C">
        <w:t>, n</w:t>
      </w:r>
      <w:r w:rsidRPr="00E8358C">
        <w:rPr>
          <w:vertAlign w:val="superscript"/>
        </w:rPr>
        <w:t>o</w:t>
      </w:r>
      <w:r w:rsidRPr="00E8358C">
        <w:t> 1, 2006, en ligne</w:t>
      </w:r>
      <w:r w:rsidRPr="00E8358C">
        <w:rPr>
          <w:rStyle w:val="apple-converted-space"/>
        </w:rPr>
        <w:t xml:space="preserve">, </w:t>
      </w:r>
      <w:hyperlink r:id="rId108" w:history="1">
        <w:r w:rsidRPr="00E8358C">
          <w:rPr>
            <w:rStyle w:val="Lienhypertexte"/>
            <w:bdr w:val="none" w:sz="0" w:space="0" w:color="auto" w:frame="1"/>
          </w:rPr>
          <w:t>http://lahic.cnrs.fr/IMG/pdf/Ciarca_perte_durable.pdf</w:t>
        </w:r>
      </w:hyperlink>
    </w:p>
    <w:p w:rsidR="004C50DC" w:rsidRPr="00E8358C" w:rsidRDefault="004C50DC" w:rsidP="004C50DC">
      <w:pPr>
        <w:spacing w:before="120" w:after="120"/>
        <w:jc w:val="both"/>
      </w:pPr>
      <w:r w:rsidRPr="00E8358C">
        <w:t>Clavérie, André, « Les utopies créoles de l’habitation-plantation », dans Maurice Burac et</w:t>
      </w:r>
      <w:r>
        <w:t xml:space="preserve"> [472]</w:t>
      </w:r>
      <w:r w:rsidRPr="00E8358C">
        <w:t xml:space="preserve"> Danielle Bégot (dir.), </w:t>
      </w:r>
      <w:r w:rsidRPr="00E8358C">
        <w:rPr>
          <w:i/>
        </w:rPr>
        <w:t xml:space="preserve">L’habitation/plantation. Héritages et mutations. Caraïbe-Amérique, </w:t>
      </w:r>
      <w:r w:rsidRPr="00E8358C">
        <w:t>Paris, Karthala, 2011, 253-264.</w:t>
      </w:r>
    </w:p>
    <w:p w:rsidR="004C50DC" w:rsidRPr="00E8358C" w:rsidRDefault="004C50DC" w:rsidP="004C50DC">
      <w:pPr>
        <w:spacing w:before="120" w:after="120"/>
        <w:jc w:val="both"/>
        <w:rPr>
          <w:rFonts w:eastAsia="Calibri"/>
          <w:lang w:eastAsia="en-CA"/>
        </w:rPr>
      </w:pPr>
      <w:r w:rsidRPr="00E8358C">
        <w:rPr>
          <w:rFonts w:eastAsia="Calibri"/>
          <w:lang w:eastAsia="en-CA"/>
        </w:rPr>
        <w:t xml:space="preserve">Clifford, James, « Diasporas », </w:t>
      </w:r>
      <w:r w:rsidRPr="00E8358C">
        <w:rPr>
          <w:rFonts w:eastAsia="Calibri"/>
          <w:i/>
          <w:iCs/>
          <w:lang w:eastAsia="en-CA"/>
        </w:rPr>
        <w:t>Cultural Anthropology</w:t>
      </w:r>
      <w:r w:rsidRPr="00E8358C">
        <w:rPr>
          <w:rFonts w:eastAsia="Calibri"/>
          <w:lang w:eastAsia="en-CA"/>
        </w:rPr>
        <w:t>, vol. 9, n</w:t>
      </w:r>
      <w:r w:rsidRPr="00E8358C">
        <w:rPr>
          <w:rFonts w:eastAsia="Calibri"/>
          <w:vertAlign w:val="superscript"/>
          <w:lang w:eastAsia="en-CA"/>
        </w:rPr>
        <w:t>o</w:t>
      </w:r>
      <w:r w:rsidRPr="00E8358C">
        <w:rPr>
          <w:rFonts w:eastAsia="Calibri"/>
          <w:lang w:eastAsia="en-CA"/>
        </w:rPr>
        <w:t> 3, 1994, p. 307.</w:t>
      </w:r>
    </w:p>
    <w:p w:rsidR="004C50DC" w:rsidRPr="00E8358C" w:rsidRDefault="004C50DC" w:rsidP="004C50DC">
      <w:pPr>
        <w:spacing w:before="120" w:after="120"/>
        <w:jc w:val="both"/>
      </w:pPr>
      <w:r w:rsidRPr="00E8358C">
        <w:t>Clorméus, Lewis Ampidu, « À propos de la seconde campagne a</w:t>
      </w:r>
      <w:r w:rsidRPr="00E8358C">
        <w:t>n</w:t>
      </w:r>
      <w:r w:rsidRPr="00E8358C">
        <w:t>tisuperstitieuse en Haïti (1911-1912). Contribution à une historiogr</w:t>
      </w:r>
      <w:r w:rsidRPr="00E8358C">
        <w:t>a</w:t>
      </w:r>
      <w:r w:rsidRPr="00E8358C">
        <w:t xml:space="preserve">phie », </w:t>
      </w:r>
      <w:r w:rsidRPr="00E8358C">
        <w:rPr>
          <w:i/>
        </w:rPr>
        <w:t>Histoires et missions chrétiennes</w:t>
      </w:r>
      <w:r w:rsidRPr="00E8358C">
        <w:t>, n</w:t>
      </w:r>
      <w:r w:rsidRPr="00E8358C">
        <w:rPr>
          <w:vertAlign w:val="superscript"/>
        </w:rPr>
        <w:t>o</w:t>
      </w:r>
      <w:r w:rsidRPr="00E8358C">
        <w:t> 24, 2012, p</w:t>
      </w:r>
      <w:r>
        <w:t>p</w:t>
      </w:r>
      <w:r w:rsidRPr="00E8358C">
        <w:t>. 105-130.</w:t>
      </w:r>
    </w:p>
    <w:p w:rsidR="004C50DC" w:rsidRPr="00E8358C" w:rsidRDefault="004C50DC" w:rsidP="004C50DC">
      <w:pPr>
        <w:spacing w:before="120" w:after="120"/>
        <w:jc w:val="both"/>
        <w:rPr>
          <w:rFonts w:eastAsia="Calibri"/>
          <w:lang w:eastAsia="en-CA"/>
        </w:rPr>
      </w:pPr>
      <w:r w:rsidRPr="00E8358C">
        <w:t xml:space="preserve">-------, </w:t>
      </w:r>
      <w:r w:rsidRPr="00E8358C">
        <w:rPr>
          <w:i/>
        </w:rPr>
        <w:t>Entre l’État, les élites et les religions en Haïti. Redécouvrir la campagne antisuperstitieuse de 1939-1942</w:t>
      </w:r>
      <w:r w:rsidRPr="00E8358C">
        <w:t>, Thèse de doctorat en sociologie, CEIFR/EHESS, 2012.</w:t>
      </w:r>
    </w:p>
    <w:p w:rsidR="004C50DC" w:rsidRPr="00E8358C" w:rsidRDefault="004C50DC" w:rsidP="004C50DC">
      <w:pPr>
        <w:spacing w:before="120" w:after="120"/>
        <w:jc w:val="both"/>
      </w:pPr>
      <w:r w:rsidRPr="00E8358C">
        <w:t xml:space="preserve">Cochin, Augustin, </w:t>
      </w:r>
      <w:r w:rsidRPr="00E8358C">
        <w:rPr>
          <w:i/>
        </w:rPr>
        <w:t>L’abolition de l’esclavage,</w:t>
      </w:r>
      <w:r w:rsidRPr="00E8358C">
        <w:t xml:space="preserve"> 2 vol., Paris, Jacques Lecoffre, 1861.</w:t>
      </w:r>
    </w:p>
    <w:p w:rsidR="004C50DC" w:rsidRPr="00E8358C" w:rsidRDefault="004C50DC" w:rsidP="004C50DC">
      <w:pPr>
        <w:spacing w:before="120" w:after="120"/>
        <w:jc w:val="both"/>
      </w:pPr>
      <w:r w:rsidRPr="00E8358C">
        <w:t xml:space="preserve">Colson, Daniel et Philippe Corcuff, « Michel Foucault (1926-1984) et le pouvoir », Cours dialogique de l’Université populaire de Lyon, 22 mars 2010, en ligne,  </w:t>
      </w:r>
      <w:hyperlink r:id="rId109" w:history="1">
        <w:r w:rsidRPr="00E8358C">
          <w:rPr>
            <w:rStyle w:val="Lienhypertexte"/>
          </w:rPr>
          <w:t>http://unipoplyon.fr/wordpress/wp-content/uploads/2010/04/textes-foucault-pouvoir-2-colonnes-_colson-corcuff-2010_-_2_.pdf</w:t>
        </w:r>
      </w:hyperlink>
    </w:p>
    <w:p w:rsidR="004C50DC" w:rsidRPr="00E8358C" w:rsidRDefault="004C50DC" w:rsidP="004C50DC">
      <w:pPr>
        <w:spacing w:before="120" w:after="120"/>
        <w:jc w:val="both"/>
      </w:pPr>
      <w:r w:rsidRPr="00E8358C">
        <w:t xml:space="preserve">Comhaire-Sylvain, Suzanne, </w:t>
      </w:r>
      <w:r w:rsidRPr="00E8358C">
        <w:rPr>
          <w:i/>
        </w:rPr>
        <w:t>Le Roman de Bouqui</w:t>
      </w:r>
      <w:r w:rsidRPr="00E8358C">
        <w:t>, Montréal, L</w:t>
      </w:r>
      <w:r w:rsidRPr="00E8358C">
        <w:t>e</w:t>
      </w:r>
      <w:r w:rsidRPr="00E8358C">
        <w:t>méac, 1973 [Port-au-Prince, Caravelle, 1940].</w:t>
      </w:r>
    </w:p>
    <w:p w:rsidR="004C50DC" w:rsidRPr="00E8358C" w:rsidRDefault="004C50DC" w:rsidP="004C50DC">
      <w:pPr>
        <w:spacing w:before="120" w:after="120"/>
        <w:jc w:val="both"/>
      </w:pPr>
      <w:r w:rsidRPr="00E8358C">
        <w:t>Comité indépendant de réflexion et de propositions sur les rel</w:t>
      </w:r>
      <w:r w:rsidRPr="00E8358C">
        <w:t>a</w:t>
      </w:r>
      <w:r w:rsidRPr="00E8358C">
        <w:t xml:space="preserve">tions franco-haïtiennes, Rapport au ministre des Affaires  étrangères, M. Dominique de Villepin [Rapport Debray], janvier 2004, en ligne, </w:t>
      </w:r>
      <w:hyperlink r:id="rId110" w:history="1">
        <w:r w:rsidRPr="00E8358C">
          <w:rPr>
            <w:rStyle w:val="Lienhypertexte"/>
          </w:rPr>
          <w:t>http://www.ladocumentationfrancaise.fr/var/storage/rapports-ublics/044000056.pdf</w:t>
        </w:r>
      </w:hyperlink>
    </w:p>
    <w:p w:rsidR="004C50DC" w:rsidRPr="00E8358C" w:rsidRDefault="004C50DC" w:rsidP="004C50DC">
      <w:pPr>
        <w:spacing w:before="120" w:after="120"/>
        <w:jc w:val="both"/>
      </w:pPr>
      <w:r w:rsidRPr="00E8358C">
        <w:t>Comité pour la mémoire de l’esclavage, Rapport au Premier mini</w:t>
      </w:r>
      <w:r w:rsidRPr="00E8358C">
        <w:t>s</w:t>
      </w:r>
      <w:r w:rsidRPr="00E8358C">
        <w:t xml:space="preserve">tre Dominique de Villepin, « Mémoires de la traite négrière, de l’esclavage et de leurs abolitions », Paris, remis le 12 avril 2005, en ligne, </w:t>
      </w:r>
      <w:hyperlink r:id="rId111" w:history="1">
        <w:r w:rsidRPr="00E8358C">
          <w:rPr>
            <w:rStyle w:val="Lienhypertexte"/>
          </w:rPr>
          <w:t>http://www.ladocumentationfrancaise.fr/var/storage /rapports-publics/074000374/0000.pdf</w:t>
        </w:r>
      </w:hyperlink>
    </w:p>
    <w:p w:rsidR="004C50DC" w:rsidRPr="00E8358C" w:rsidRDefault="004C50DC" w:rsidP="004C50DC">
      <w:pPr>
        <w:spacing w:before="120" w:after="120"/>
        <w:jc w:val="both"/>
        <w:rPr>
          <w:lang w:eastAsia="en-CA"/>
        </w:rPr>
      </w:pPr>
      <w:r w:rsidRPr="00E8358C">
        <w:rPr>
          <w:lang w:eastAsia="en-CA"/>
        </w:rPr>
        <w:t xml:space="preserve">Cook, Sherburne et Woodrow Borah, </w:t>
      </w:r>
      <w:r w:rsidRPr="00E8358C">
        <w:rPr>
          <w:i/>
          <w:iCs/>
          <w:lang w:eastAsia="en-CA"/>
        </w:rPr>
        <w:t>Essays in Population Hist</w:t>
      </w:r>
      <w:r w:rsidRPr="00E8358C">
        <w:rPr>
          <w:i/>
          <w:iCs/>
          <w:lang w:eastAsia="en-CA"/>
        </w:rPr>
        <w:t>o</w:t>
      </w:r>
      <w:r w:rsidRPr="00E8358C">
        <w:rPr>
          <w:i/>
          <w:iCs/>
          <w:lang w:eastAsia="en-CA"/>
        </w:rPr>
        <w:t>ry</w:t>
      </w:r>
      <w:r w:rsidRPr="00E8358C">
        <w:rPr>
          <w:lang w:eastAsia="en-CA"/>
        </w:rPr>
        <w:t> </w:t>
      </w:r>
      <w:r w:rsidRPr="00E8358C">
        <w:rPr>
          <w:i/>
          <w:iCs/>
          <w:lang w:eastAsia="en-CA"/>
        </w:rPr>
        <w:t>: Mexico and the Carribean</w:t>
      </w:r>
      <w:r w:rsidRPr="00E8358C">
        <w:rPr>
          <w:lang w:eastAsia="en-CA"/>
        </w:rPr>
        <w:t>, Berkeley, University of California Press, 1971.</w:t>
      </w:r>
    </w:p>
    <w:p w:rsidR="004C50DC" w:rsidRPr="00E8358C" w:rsidRDefault="004C50DC" w:rsidP="004C50DC">
      <w:pPr>
        <w:spacing w:before="120" w:after="120"/>
        <w:jc w:val="both"/>
      </w:pPr>
      <w:r w:rsidRPr="00E8358C">
        <w:t xml:space="preserve">Coombes, Annie, </w:t>
      </w:r>
      <w:r w:rsidRPr="00BD1ABE">
        <w:rPr>
          <w:i/>
          <w:iCs/>
        </w:rPr>
        <w:t>Visual Culture and Public Memory in a Dem</w:t>
      </w:r>
      <w:r w:rsidRPr="00BD1ABE">
        <w:rPr>
          <w:i/>
          <w:iCs/>
        </w:rPr>
        <w:t>o</w:t>
      </w:r>
      <w:r w:rsidRPr="00BD1ABE">
        <w:rPr>
          <w:i/>
          <w:iCs/>
        </w:rPr>
        <w:t xml:space="preserve">cratic South Africa, </w:t>
      </w:r>
      <w:r w:rsidRPr="00BD1ABE">
        <w:t>Durham, Duke University Press, 2003.</w:t>
      </w:r>
    </w:p>
    <w:p w:rsidR="004C50DC" w:rsidRPr="00E8358C" w:rsidRDefault="004C50DC" w:rsidP="004C50DC">
      <w:pPr>
        <w:spacing w:before="120" w:after="120"/>
        <w:jc w:val="both"/>
      </w:pPr>
      <w:r w:rsidRPr="00E8358C">
        <w:t xml:space="preserve">Copans, Jean, </w:t>
      </w:r>
      <w:r w:rsidRPr="00E8358C">
        <w:rPr>
          <w:i/>
        </w:rPr>
        <w:t>L’enquête ethnologique de terrain,</w:t>
      </w:r>
      <w:r w:rsidRPr="00E8358C">
        <w:t xml:space="preserve"> Paris, Armand Colin, 2008.</w:t>
      </w:r>
    </w:p>
    <w:p w:rsidR="004C50DC" w:rsidRPr="00E8358C" w:rsidRDefault="004C50DC" w:rsidP="004C50DC">
      <w:pPr>
        <w:spacing w:before="120" w:after="120"/>
        <w:jc w:val="both"/>
      </w:pPr>
      <w:r w:rsidRPr="00E8358C">
        <w:t xml:space="preserve">Coquery-Vidrovitch, Catherine, « Le postulat de la supériorité blanche et de l’infériorité noire », dans Marc Ferro (dir.), </w:t>
      </w:r>
      <w:r w:rsidRPr="00E8358C">
        <w:rPr>
          <w:i/>
        </w:rPr>
        <w:t>Le livre noir du colonialisme</w:t>
      </w:r>
      <w:r w:rsidRPr="00E8358C">
        <w:t xml:space="preserve">, Paris, Robert Laffont, 2003, </w:t>
      </w:r>
      <w:r>
        <w:t>p</w:t>
      </w:r>
      <w:r w:rsidRPr="00E8358C">
        <w:t>p. 646-685.</w:t>
      </w:r>
    </w:p>
    <w:p w:rsidR="004C50DC" w:rsidRPr="00E8358C" w:rsidRDefault="004C50DC" w:rsidP="004C50DC">
      <w:pPr>
        <w:spacing w:before="120" w:after="120"/>
        <w:jc w:val="both"/>
      </w:pPr>
      <w:r w:rsidRPr="00E8358C">
        <w:t xml:space="preserve">Corsani, Antonella, Christophe Degoutin, François Matheron et Giovanna Zapperi, « Narrations postcoloniales », </w:t>
      </w:r>
      <w:r w:rsidRPr="00E8358C">
        <w:rPr>
          <w:i/>
        </w:rPr>
        <w:t>Multitudes</w:t>
      </w:r>
      <w:r w:rsidRPr="00E8358C">
        <w:t>, vol. 2, n</w:t>
      </w:r>
      <w:r w:rsidRPr="00E8358C">
        <w:rPr>
          <w:vertAlign w:val="superscript"/>
        </w:rPr>
        <w:t>o</w:t>
      </w:r>
      <w:r w:rsidRPr="00E8358C">
        <w:t> 29, 2007, p</w:t>
      </w:r>
      <w:r>
        <w:t>p</w:t>
      </w:r>
      <w:r w:rsidRPr="00E8358C">
        <w:t>. 15-22.</w:t>
      </w:r>
    </w:p>
    <w:p w:rsidR="004C50DC" w:rsidRPr="00E8358C" w:rsidRDefault="004C50DC" w:rsidP="004C50DC">
      <w:pPr>
        <w:spacing w:before="120" w:after="120"/>
        <w:jc w:val="both"/>
      </w:pPr>
      <w:r w:rsidRPr="00E8358C">
        <w:t xml:space="preserve">Corvin, Michel, </w:t>
      </w:r>
      <w:r w:rsidRPr="00E8358C">
        <w:rPr>
          <w:i/>
          <w:iCs/>
        </w:rPr>
        <w:t>Dictionnaire encyclopédique du théâtre à travers le monde</w:t>
      </w:r>
      <w:r w:rsidRPr="00E8358C">
        <w:rPr>
          <w:iCs/>
        </w:rPr>
        <w:t>, Paris, Bordas, 2008.</w:t>
      </w:r>
    </w:p>
    <w:p w:rsidR="004C50DC" w:rsidRPr="00E8358C" w:rsidRDefault="004C50DC" w:rsidP="004C50DC">
      <w:pPr>
        <w:spacing w:before="120" w:after="120"/>
        <w:jc w:val="both"/>
      </w:pPr>
      <w:r w:rsidRPr="00E8358C">
        <w:t xml:space="preserve">Cosentino, Donald J., </w:t>
      </w:r>
      <w:r w:rsidRPr="00E8358C">
        <w:rPr>
          <w:i/>
        </w:rPr>
        <w:t>Sacred Arts of Haitian Vodou</w:t>
      </w:r>
      <w:r w:rsidRPr="00E8358C">
        <w:t>, Los Angeles, University of California, Fowler Museum of Cultural History, 1995.</w:t>
      </w:r>
    </w:p>
    <w:p w:rsidR="004C50DC" w:rsidRPr="00E8358C" w:rsidRDefault="004C50DC" w:rsidP="004C50DC">
      <w:pPr>
        <w:spacing w:before="120" w:after="120"/>
        <w:jc w:val="both"/>
      </w:pPr>
      <w:r w:rsidRPr="00E8358C">
        <w:t>Cottias, Myriam, « La politique de l’oubli », dans « Cent cinqua</w:t>
      </w:r>
      <w:r w:rsidRPr="00E8358C">
        <w:t>n</w:t>
      </w:r>
      <w:r w:rsidRPr="00E8358C">
        <w:t xml:space="preserve">tenaire de l’abolition de l’esclavage », </w:t>
      </w:r>
      <w:r w:rsidRPr="00E8358C">
        <w:rPr>
          <w:i/>
        </w:rPr>
        <w:t>France-Antilles</w:t>
      </w:r>
      <w:r w:rsidRPr="00E8358C">
        <w:t xml:space="preserve">, Hors-Série, mai 1998. </w:t>
      </w:r>
    </w:p>
    <w:p w:rsidR="004C50DC" w:rsidRPr="00E8358C" w:rsidRDefault="004C50DC" w:rsidP="004C50DC">
      <w:pPr>
        <w:spacing w:before="120" w:after="120"/>
        <w:jc w:val="both"/>
        <w:rPr>
          <w:rFonts w:eastAsia="Calibri"/>
          <w:lang w:eastAsia="en-CA"/>
        </w:rPr>
      </w:pPr>
      <w:r w:rsidRPr="00E8358C">
        <w:t xml:space="preserve">-------, </w:t>
      </w:r>
      <w:r w:rsidRPr="00E8358C">
        <w:rPr>
          <w:rFonts w:eastAsia="Calibri"/>
          <w:lang w:eastAsia="en-CA"/>
        </w:rPr>
        <w:t>« L’oubli du passé contre la citoyenneté. Troc et ressent</w:t>
      </w:r>
      <w:r w:rsidRPr="00E8358C">
        <w:rPr>
          <w:rFonts w:eastAsia="Calibri"/>
          <w:lang w:eastAsia="en-CA"/>
        </w:rPr>
        <w:t>i</w:t>
      </w:r>
      <w:r w:rsidRPr="00E8358C">
        <w:rPr>
          <w:rFonts w:eastAsia="Calibri"/>
          <w:lang w:eastAsia="en-CA"/>
        </w:rPr>
        <w:t>ment à la Martinique (1848-1946) », dans</w:t>
      </w:r>
      <w:r w:rsidRPr="00E8358C">
        <w:rPr>
          <w:rFonts w:eastAsia="Calibri"/>
          <w:iCs/>
          <w:lang w:eastAsia="en-CA"/>
        </w:rPr>
        <w:t xml:space="preserve">Fred </w:t>
      </w:r>
      <w:r w:rsidRPr="00E8358C">
        <w:rPr>
          <w:rFonts w:eastAsia="Calibri"/>
          <w:lang w:eastAsia="en-CA"/>
        </w:rPr>
        <w:t>Constant et Justin D</w:t>
      </w:r>
      <w:r w:rsidRPr="00E8358C">
        <w:rPr>
          <w:rFonts w:eastAsia="Calibri"/>
          <w:lang w:eastAsia="en-CA"/>
        </w:rPr>
        <w:t>a</w:t>
      </w:r>
      <w:r w:rsidRPr="00E8358C">
        <w:rPr>
          <w:rFonts w:eastAsia="Calibri"/>
          <w:lang w:eastAsia="en-CA"/>
        </w:rPr>
        <w:t xml:space="preserve">niel (dir.), </w:t>
      </w:r>
      <w:r w:rsidRPr="00E8358C">
        <w:rPr>
          <w:rFonts w:eastAsia="Calibri"/>
          <w:i/>
          <w:iCs/>
          <w:lang w:eastAsia="en-CA"/>
        </w:rPr>
        <w:t>1946-1996. Cinquante ans de départementalisation outr</w:t>
      </w:r>
      <w:r w:rsidRPr="00E8358C">
        <w:rPr>
          <w:rFonts w:eastAsia="Calibri"/>
          <w:i/>
          <w:iCs/>
          <w:lang w:eastAsia="en-CA"/>
        </w:rPr>
        <w:t>e</w:t>
      </w:r>
      <w:r w:rsidRPr="00E8358C">
        <w:rPr>
          <w:rFonts w:eastAsia="Calibri"/>
          <w:i/>
          <w:iCs/>
          <w:lang w:eastAsia="en-CA"/>
        </w:rPr>
        <w:t>mer</w:t>
      </w:r>
      <w:r w:rsidRPr="00E8358C">
        <w:rPr>
          <w:rFonts w:eastAsia="Calibri"/>
          <w:lang w:eastAsia="en-CA"/>
        </w:rPr>
        <w:t>, Paris, L’Harmattan, 1997, p</w:t>
      </w:r>
      <w:r>
        <w:rPr>
          <w:rFonts w:eastAsia="Calibri"/>
          <w:lang w:eastAsia="en-CA"/>
        </w:rPr>
        <w:t>p</w:t>
      </w:r>
      <w:r w:rsidRPr="00E8358C">
        <w:rPr>
          <w:rFonts w:eastAsia="Calibri"/>
          <w:lang w:eastAsia="en-CA"/>
        </w:rPr>
        <w:t>. 293-313.</w:t>
      </w:r>
    </w:p>
    <w:p w:rsidR="004C50DC" w:rsidRPr="00E8358C" w:rsidRDefault="004C50DC" w:rsidP="004C50DC">
      <w:pPr>
        <w:spacing w:before="120" w:after="120"/>
        <w:jc w:val="both"/>
        <w:rPr>
          <w:rFonts w:eastAsia="Calibri"/>
          <w:lang w:eastAsia="en-CA"/>
        </w:rPr>
      </w:pPr>
      <w:r w:rsidRPr="00E8358C">
        <w:rPr>
          <w:rFonts w:eastAsia="Calibri"/>
          <w:lang w:eastAsia="en-CA"/>
        </w:rPr>
        <w:t xml:space="preserve">-------, « Sur l’histoire et la mémoire de l’esclavage ? », </w:t>
      </w:r>
      <w:r w:rsidRPr="00E8358C">
        <w:rPr>
          <w:rFonts w:eastAsia="Calibri"/>
          <w:i/>
          <w:iCs/>
          <w:lang w:eastAsia="en-CA"/>
        </w:rPr>
        <w:t>Cités</w:t>
      </w:r>
      <w:r w:rsidRPr="00E8358C">
        <w:rPr>
          <w:rFonts w:eastAsia="Calibri"/>
          <w:lang w:eastAsia="en-CA"/>
        </w:rPr>
        <w:t>, vol. 1, n° 25, 2006, p</w:t>
      </w:r>
      <w:r>
        <w:rPr>
          <w:rFonts w:eastAsia="Calibri"/>
          <w:lang w:eastAsia="en-CA"/>
        </w:rPr>
        <w:t>p</w:t>
      </w:r>
      <w:r w:rsidRPr="00E8358C">
        <w:rPr>
          <w:rFonts w:eastAsia="Calibri"/>
          <w:lang w:eastAsia="en-CA"/>
        </w:rPr>
        <w:t>. 178-180.</w:t>
      </w:r>
    </w:p>
    <w:p w:rsidR="004C50DC" w:rsidRDefault="004C50DC" w:rsidP="004C50DC">
      <w:pPr>
        <w:spacing w:before="120" w:after="120"/>
        <w:jc w:val="both"/>
      </w:pPr>
      <w:r>
        <w:t>[473]</w:t>
      </w:r>
    </w:p>
    <w:p w:rsidR="004C50DC" w:rsidRPr="00E8358C" w:rsidRDefault="004C50DC" w:rsidP="004C50DC">
      <w:pPr>
        <w:spacing w:before="120" w:after="120"/>
        <w:jc w:val="both"/>
      </w:pPr>
      <w:r w:rsidRPr="00E8358C">
        <w:t xml:space="preserve">Cottias, Myriam, Élisabeth Cunin et Antonio de Almeida Mendes, </w:t>
      </w:r>
      <w:hyperlink r:id="rId112" w:history="1">
        <w:r w:rsidRPr="00E8358C">
          <w:rPr>
            <w:rStyle w:val="Lienhypertexte"/>
            <w:i/>
          </w:rPr>
          <w:t>Les traites et les esclavages. Perspectives historiques et contempora</w:t>
        </w:r>
        <w:r w:rsidRPr="00E8358C">
          <w:rPr>
            <w:rStyle w:val="Lienhypertexte"/>
            <w:i/>
          </w:rPr>
          <w:t>i</w:t>
        </w:r>
        <w:r w:rsidRPr="00E8358C">
          <w:rPr>
            <w:rStyle w:val="Lienhypertexte"/>
            <w:i/>
          </w:rPr>
          <w:t>nes</w:t>
        </w:r>
      </w:hyperlink>
      <w:r w:rsidRPr="00E8358C">
        <w:t>, Paris, Karthala, 2010.</w:t>
      </w:r>
    </w:p>
    <w:p w:rsidR="004C50DC" w:rsidRPr="00E8358C" w:rsidRDefault="004C50DC" w:rsidP="004C50DC">
      <w:pPr>
        <w:spacing w:before="120" w:after="120"/>
        <w:jc w:val="both"/>
      </w:pPr>
      <w:r w:rsidRPr="00E8358C">
        <w:t xml:space="preserve">Coulander, Harold, </w:t>
      </w:r>
      <w:r w:rsidRPr="00E8358C">
        <w:rPr>
          <w:i/>
        </w:rPr>
        <w:t>Haiti Singing</w:t>
      </w:r>
      <w:r w:rsidRPr="00E8358C">
        <w:t>, Chapel Hill, The University of North Carolina Press, 1939.</w:t>
      </w:r>
    </w:p>
    <w:p w:rsidR="004C50DC" w:rsidRPr="00E8358C" w:rsidRDefault="004C50DC" w:rsidP="004C50DC">
      <w:pPr>
        <w:spacing w:before="120" w:after="120"/>
        <w:jc w:val="both"/>
      </w:pPr>
      <w:r w:rsidRPr="00E8358C">
        <w:t xml:space="preserve">Coulangeon, Philippe, </w:t>
      </w:r>
      <w:r w:rsidRPr="00E8358C">
        <w:rPr>
          <w:i/>
          <w:iCs/>
        </w:rPr>
        <w:t xml:space="preserve">Sociologie des pratiques culturelles, </w:t>
      </w:r>
      <w:r w:rsidRPr="00E8358C">
        <w:t>Paris, La Découverte, 2005.</w:t>
      </w:r>
    </w:p>
    <w:p w:rsidR="004C50DC" w:rsidRPr="00E8358C" w:rsidRDefault="004C50DC" w:rsidP="004C50DC">
      <w:pPr>
        <w:spacing w:before="120" w:after="120"/>
        <w:jc w:val="both"/>
      </w:pPr>
      <w:r w:rsidRPr="00E8358C">
        <w:t xml:space="preserve">« Courrier d’Amérique », </w:t>
      </w:r>
      <w:r w:rsidRPr="00E8358C">
        <w:rPr>
          <w:i/>
        </w:rPr>
        <w:t>Revue des races latines</w:t>
      </w:r>
      <w:r w:rsidRPr="00E8358C">
        <w:t>, vol. 18, Paris, 1860.</w:t>
      </w:r>
    </w:p>
    <w:p w:rsidR="004C50DC" w:rsidRPr="00E8358C" w:rsidRDefault="004C50DC" w:rsidP="004C50DC">
      <w:pPr>
        <w:spacing w:before="120" w:after="120"/>
        <w:jc w:val="both"/>
      </w:pPr>
      <w:r w:rsidRPr="00E8358C">
        <w:rPr>
          <w:rFonts w:eastAsia="Calibri"/>
          <w:lang w:eastAsia="en-CA"/>
        </w:rPr>
        <w:t>Couvreur, Agathe et Franck Lehuede, « </w:t>
      </w:r>
      <w:r w:rsidRPr="00E8358C">
        <w:rPr>
          <w:rFonts w:eastAsia="Calibri"/>
          <w:bCs/>
          <w:lang w:eastAsia="en-CA"/>
        </w:rPr>
        <w:t>Essai de comparaison de méthodes quantitatives et qualitatives à partir d’un exemple : le pass</w:t>
      </w:r>
      <w:r w:rsidRPr="00E8358C">
        <w:rPr>
          <w:rFonts w:eastAsia="Calibri"/>
          <w:bCs/>
          <w:lang w:eastAsia="en-CA"/>
        </w:rPr>
        <w:t>a</w:t>
      </w:r>
      <w:r w:rsidRPr="00E8358C">
        <w:rPr>
          <w:rFonts w:eastAsia="Calibri"/>
          <w:bCs/>
          <w:lang w:eastAsia="en-CA"/>
        </w:rPr>
        <w:t>ge à l’euro vécu par les consommateurs », CREDOC</w:t>
      </w:r>
      <w:r w:rsidRPr="00E8358C">
        <w:rPr>
          <w:rFonts w:eastAsia="Calibri"/>
          <w:b/>
          <w:bCs/>
          <w:lang w:eastAsia="en-CA"/>
        </w:rPr>
        <w:t xml:space="preserve"> – </w:t>
      </w:r>
      <w:r w:rsidRPr="00E8358C">
        <w:rPr>
          <w:rFonts w:eastAsia="Calibri"/>
          <w:bCs/>
          <w:i/>
          <w:lang w:eastAsia="en-CA"/>
        </w:rPr>
        <w:t>Cahier de r</w:t>
      </w:r>
      <w:r w:rsidRPr="00E8358C">
        <w:rPr>
          <w:rFonts w:eastAsia="Calibri"/>
          <w:bCs/>
          <w:i/>
          <w:lang w:eastAsia="en-CA"/>
        </w:rPr>
        <w:t>e</w:t>
      </w:r>
      <w:r w:rsidRPr="00E8358C">
        <w:rPr>
          <w:rFonts w:eastAsia="Calibri"/>
          <w:bCs/>
          <w:i/>
          <w:lang w:eastAsia="en-CA"/>
        </w:rPr>
        <w:t xml:space="preserve">cherche, </w:t>
      </w:r>
      <w:r w:rsidRPr="00E8358C">
        <w:rPr>
          <w:rFonts w:eastAsia="Calibri"/>
          <w:bCs/>
          <w:lang w:eastAsia="en-CA"/>
        </w:rPr>
        <w:t>n° 176, novembre 2002, e</w:t>
      </w:r>
      <w:r w:rsidRPr="00E8358C">
        <w:t xml:space="preserve">n ligne, </w:t>
      </w:r>
      <w:r w:rsidRPr="00E8358C">
        <w:rPr>
          <w:rFonts w:eastAsia="Calibri"/>
          <w:lang w:eastAsia="en-CA"/>
        </w:rPr>
        <w:t>http://www.credoc.fr</w:t>
      </w:r>
    </w:p>
    <w:p w:rsidR="004C50DC" w:rsidRPr="00E8358C" w:rsidRDefault="004C50DC" w:rsidP="004C50DC">
      <w:pPr>
        <w:spacing w:before="120" w:after="120"/>
        <w:jc w:val="both"/>
      </w:pPr>
      <w:r w:rsidRPr="00E8358C">
        <w:t xml:space="preserve">Crosta, Suzanne, </w:t>
      </w:r>
      <w:r w:rsidRPr="00E8358C">
        <w:rPr>
          <w:i/>
        </w:rPr>
        <w:t>Le marronnage créateur. Dynamique textuelle chez Édouard Glissant</w:t>
      </w:r>
      <w:r w:rsidRPr="00E8358C">
        <w:t>, Québec, GRELCA, 1991.</w:t>
      </w:r>
    </w:p>
    <w:p w:rsidR="004C50DC" w:rsidRPr="00E8358C" w:rsidRDefault="004C50DC" w:rsidP="004C50DC">
      <w:pPr>
        <w:spacing w:before="120" w:after="120"/>
        <w:jc w:val="both"/>
      </w:pPr>
      <w:r w:rsidRPr="00E8358C">
        <w:t xml:space="preserve">Daget, Serge, </w:t>
      </w:r>
      <w:r w:rsidRPr="00E8358C">
        <w:rPr>
          <w:i/>
        </w:rPr>
        <w:t>La Traite des Noirs</w:t>
      </w:r>
      <w:r w:rsidRPr="00E8358C">
        <w:t>, Rennes, Ouest-France Univers</w:t>
      </w:r>
      <w:r w:rsidRPr="00E8358C">
        <w:t>i</w:t>
      </w:r>
      <w:r w:rsidRPr="00E8358C">
        <w:t>té,‎ 1990</w:t>
      </w:r>
      <w:r w:rsidRPr="00E8358C">
        <w:rPr>
          <w:rFonts w:eastAsia="Calibri"/>
        </w:rPr>
        <w:t>.</w:t>
      </w:r>
    </w:p>
    <w:p w:rsidR="004C50DC" w:rsidRPr="00E8358C" w:rsidRDefault="004C50DC" w:rsidP="004C50DC">
      <w:pPr>
        <w:spacing w:before="120" w:after="120"/>
        <w:jc w:val="both"/>
      </w:pPr>
      <w:r w:rsidRPr="00E8358C">
        <w:t>Dalembert, Louis-Philippe, « Haïti, la dette originelle », mis en l</w:t>
      </w:r>
      <w:r w:rsidRPr="00E8358C">
        <w:t>i</w:t>
      </w:r>
      <w:r w:rsidRPr="00E8358C">
        <w:t xml:space="preserve">gne le 25 mars 2010, </w:t>
      </w:r>
      <w:hyperlink r:id="rId113" w:history="1">
        <w:r w:rsidRPr="00E8358C">
          <w:rPr>
            <w:rStyle w:val="Lienhypertexte"/>
          </w:rPr>
          <w:t>http://www.liberation.fr/planete/2010/03/25/haitila-dette-originelle_617159</w:t>
        </w:r>
      </w:hyperlink>
    </w:p>
    <w:p w:rsidR="004C50DC" w:rsidRPr="00E8358C" w:rsidRDefault="004C50DC" w:rsidP="004C50DC">
      <w:pPr>
        <w:spacing w:before="120" w:after="120"/>
        <w:jc w:val="both"/>
      </w:pPr>
      <w:r w:rsidRPr="00E8358C">
        <w:t xml:space="preserve">Damas, Léon-Gontran, </w:t>
      </w:r>
      <w:r w:rsidRPr="00E8358C">
        <w:rPr>
          <w:i/>
          <w:iCs/>
        </w:rPr>
        <w:t>Poètes d’expression française</w:t>
      </w:r>
      <w:r w:rsidRPr="00E8358C">
        <w:t>, Paris, Seuil, 1947.</w:t>
      </w:r>
    </w:p>
    <w:p w:rsidR="004C50DC" w:rsidRPr="00E8358C" w:rsidRDefault="004C50DC" w:rsidP="004C50DC">
      <w:pPr>
        <w:spacing w:before="120" w:after="120"/>
        <w:jc w:val="both"/>
        <w:rPr>
          <w:i/>
        </w:rPr>
      </w:pPr>
      <w:r w:rsidRPr="00E8358C">
        <w:t xml:space="preserve">Dartigue, Esther, </w:t>
      </w:r>
      <w:r w:rsidRPr="00E8358C">
        <w:rPr>
          <w:i/>
        </w:rPr>
        <w:t xml:space="preserve">Un Haïtien exceptionnel. Maurice Dartigue. La contribution de Maurice Dartigue à l’éducation en Haïti, aux Nations Unies et à l’UNESCO, </w:t>
      </w:r>
      <w:r w:rsidRPr="00E8358C">
        <w:t>Paris, éd. J’étais une fois, 1992</w:t>
      </w:r>
      <w:r w:rsidRPr="00E8358C">
        <w:rPr>
          <w:i/>
        </w:rPr>
        <w:t>.</w:t>
      </w:r>
    </w:p>
    <w:p w:rsidR="004C50DC" w:rsidRPr="00E8358C" w:rsidRDefault="004C50DC" w:rsidP="004C50DC">
      <w:pPr>
        <w:spacing w:before="120" w:after="120"/>
        <w:jc w:val="both"/>
      </w:pPr>
      <w:r w:rsidRPr="00E8358C">
        <w:t xml:space="preserve">Dartigue, Jean-Joseph Maurice, </w:t>
      </w:r>
      <w:r w:rsidRPr="00E8358C">
        <w:rPr>
          <w:i/>
        </w:rPr>
        <w:t xml:space="preserve">L’enseignement en Haïti (1804-1938), </w:t>
      </w:r>
      <w:r w:rsidRPr="00E8358C">
        <w:t>Port-au-Prince, Imprimerie de l’État, 1939.</w:t>
      </w:r>
    </w:p>
    <w:p w:rsidR="004C50DC" w:rsidRPr="00E8358C" w:rsidRDefault="004C50DC" w:rsidP="004C50DC">
      <w:pPr>
        <w:spacing w:before="120" w:after="120"/>
        <w:jc w:val="both"/>
      </w:pPr>
      <w:r w:rsidRPr="00E8358C">
        <w:t>Dautruche, Joseph-Ronald, « Le rara de Léogane. Entre fête trad</w:t>
      </w:r>
      <w:r w:rsidRPr="00E8358C">
        <w:t>i</w:t>
      </w:r>
      <w:r w:rsidRPr="00E8358C">
        <w:t xml:space="preserve">tionnelle liée au vodou et patrimoine ouvert au tourisme », </w:t>
      </w:r>
      <w:r w:rsidRPr="00E8358C">
        <w:rPr>
          <w:i/>
        </w:rPr>
        <w:t>Ethnol</w:t>
      </w:r>
      <w:r w:rsidRPr="00E8358C">
        <w:rPr>
          <w:i/>
        </w:rPr>
        <w:t>o</w:t>
      </w:r>
      <w:r w:rsidRPr="00E8358C">
        <w:rPr>
          <w:i/>
        </w:rPr>
        <w:t>gies</w:t>
      </w:r>
      <w:r w:rsidRPr="00E8358C">
        <w:t>, vol. 33, n</w:t>
      </w:r>
      <w:r w:rsidRPr="00E8358C">
        <w:rPr>
          <w:vertAlign w:val="superscript"/>
        </w:rPr>
        <w:t>o</w:t>
      </w:r>
      <w:r w:rsidRPr="00E8358C">
        <w:t xml:space="preserve"> 2, 2011, </w:t>
      </w:r>
      <w:r>
        <w:t>p</w:t>
      </w:r>
      <w:r w:rsidRPr="00E8358C">
        <w:t>p. 123-144.</w:t>
      </w:r>
    </w:p>
    <w:p w:rsidR="004C50DC" w:rsidRPr="00E8358C" w:rsidRDefault="004C50DC" w:rsidP="004C50DC">
      <w:pPr>
        <w:spacing w:before="120" w:after="120"/>
        <w:jc w:val="both"/>
      </w:pPr>
      <w:r w:rsidRPr="00E8358C">
        <w:t xml:space="preserve">-------, « Le Rara de Léogâne », </w:t>
      </w:r>
      <w:r w:rsidRPr="00E8358C">
        <w:rPr>
          <w:i/>
        </w:rPr>
        <w:t>Inventaire du patrimoine immat</w:t>
      </w:r>
      <w:r w:rsidRPr="00E8358C">
        <w:rPr>
          <w:i/>
        </w:rPr>
        <w:t>é</w:t>
      </w:r>
      <w:r w:rsidRPr="00E8358C">
        <w:rPr>
          <w:i/>
        </w:rPr>
        <w:t>riel d’Haïti</w:t>
      </w:r>
      <w:r w:rsidRPr="00E8358C">
        <w:t xml:space="preserve">, en ligne, </w:t>
      </w:r>
      <w:hyperlink r:id="rId114" w:history="1">
        <w:r w:rsidRPr="00E8358C">
          <w:rPr>
            <w:rStyle w:val="Lienhypertexte"/>
          </w:rPr>
          <w:t>http://www.ipimh.ulaval.ca/fiche-rara-leogane-19.html</w:t>
        </w:r>
      </w:hyperlink>
    </w:p>
    <w:p w:rsidR="004C50DC" w:rsidRPr="00E8358C" w:rsidRDefault="004C50DC" w:rsidP="004C50DC">
      <w:pPr>
        <w:spacing w:before="120" w:after="120"/>
        <w:jc w:val="both"/>
      </w:pPr>
      <w:r w:rsidRPr="00E8358C">
        <w:t xml:space="preserve">Davallon, Jean, </w:t>
      </w:r>
      <w:r w:rsidRPr="00E8358C">
        <w:rPr>
          <w:i/>
        </w:rPr>
        <w:t>Le don du patrimoine. Une approche communic</w:t>
      </w:r>
      <w:r w:rsidRPr="00E8358C">
        <w:rPr>
          <w:i/>
        </w:rPr>
        <w:t>a</w:t>
      </w:r>
      <w:r w:rsidRPr="00E8358C">
        <w:rPr>
          <w:i/>
        </w:rPr>
        <w:t>tionnelle de la patrimonialisation</w:t>
      </w:r>
      <w:r w:rsidRPr="00E8358C">
        <w:t>, Paris, Lavoisier, 2006.</w:t>
      </w:r>
    </w:p>
    <w:p w:rsidR="004C50DC" w:rsidRPr="00E8358C" w:rsidRDefault="004C50DC" w:rsidP="004C50DC">
      <w:pPr>
        <w:spacing w:before="120" w:after="120"/>
        <w:jc w:val="both"/>
      </w:pPr>
      <w:r w:rsidRPr="00E8358C">
        <w:t>Debien, Gabriel,</w:t>
      </w:r>
      <w:r w:rsidRPr="00E8358C">
        <w:rPr>
          <w:rStyle w:val="apple-converted-space"/>
        </w:rPr>
        <w:t xml:space="preserve"> « </w:t>
      </w:r>
      <w:r w:rsidRPr="00E8358C">
        <w:rPr>
          <w:rStyle w:val="Accentuation"/>
          <w:i w:val="0"/>
        </w:rPr>
        <w:t xml:space="preserve">Les esclaves », dans Pierre Pluchon (dir.), </w:t>
      </w:r>
      <w:r w:rsidRPr="00E8358C">
        <w:rPr>
          <w:rStyle w:val="Accentuation"/>
        </w:rPr>
        <w:t>Hi</w:t>
      </w:r>
      <w:r w:rsidRPr="00E8358C">
        <w:rPr>
          <w:rStyle w:val="Accentuation"/>
        </w:rPr>
        <w:t>s</w:t>
      </w:r>
      <w:r w:rsidRPr="00E8358C">
        <w:rPr>
          <w:rStyle w:val="Accentuation"/>
        </w:rPr>
        <w:t>toire des Antilles et de la Guyane</w:t>
      </w:r>
      <w:r w:rsidRPr="00E8358C">
        <w:rPr>
          <w:rStyle w:val="Accentuation"/>
          <w:i w:val="0"/>
        </w:rPr>
        <w:t>, Toulouse, Privat, 1982, p</w:t>
      </w:r>
      <w:r>
        <w:rPr>
          <w:rStyle w:val="Accentuation"/>
          <w:i w:val="0"/>
        </w:rPr>
        <w:t>p</w:t>
      </w:r>
      <w:r w:rsidRPr="00E8358C">
        <w:rPr>
          <w:rStyle w:val="Accentuation"/>
          <w:i w:val="0"/>
        </w:rPr>
        <w:t>. 141-161.</w:t>
      </w:r>
    </w:p>
    <w:p w:rsidR="004C50DC" w:rsidRPr="00E8358C" w:rsidRDefault="004C50DC" w:rsidP="004C50DC">
      <w:pPr>
        <w:spacing w:before="120" w:after="120"/>
        <w:jc w:val="both"/>
      </w:pPr>
      <w:r w:rsidRPr="00E8358C">
        <w:t xml:space="preserve">-------, « Les engagés pour le Canada partis de Nantes (1725-1732) », </w:t>
      </w:r>
      <w:r w:rsidRPr="00E8358C">
        <w:rPr>
          <w:i/>
        </w:rPr>
        <w:t>Revue d’histoire de l’Amérique française,</w:t>
      </w:r>
      <w:r w:rsidRPr="00E8358C">
        <w:t xml:space="preserve"> vol. 33, n</w:t>
      </w:r>
      <w:r w:rsidRPr="00E8358C">
        <w:rPr>
          <w:vertAlign w:val="superscript"/>
        </w:rPr>
        <w:t>o</w:t>
      </w:r>
      <w:r w:rsidRPr="00E8358C">
        <w:t xml:space="preserve"> 4, 1980, p. 583-586, en ligne,  </w:t>
      </w:r>
      <w:hyperlink r:id="rId115" w:history="1">
        <w:r w:rsidRPr="00E8358C">
          <w:rPr>
            <w:rStyle w:val="Lienhypertexte"/>
          </w:rPr>
          <w:t>http://id.erudit.org/iderudit/303814ar</w:t>
        </w:r>
      </w:hyperlink>
    </w:p>
    <w:p w:rsidR="004C50DC" w:rsidRPr="00E8358C" w:rsidRDefault="004C50DC" w:rsidP="004C50DC">
      <w:pPr>
        <w:spacing w:before="120" w:after="120"/>
        <w:jc w:val="both"/>
      </w:pPr>
      <w:r w:rsidRPr="00E8358C">
        <w:t xml:space="preserve">-------, </w:t>
      </w:r>
      <w:r w:rsidRPr="00E8358C">
        <w:rPr>
          <w:rStyle w:val="Accentuation"/>
        </w:rPr>
        <w:t>Les esclaves aux Antilles françaises, XVIIe-XVIIIe</w:t>
      </w:r>
      <w:r w:rsidRPr="00E8358C">
        <w:rPr>
          <w:rStyle w:val="apple-converted-space"/>
          <w:i/>
          <w:iCs/>
        </w:rPr>
        <w:t> </w:t>
      </w:r>
      <w:r w:rsidRPr="00E8358C">
        <w:rPr>
          <w:rStyle w:val="Accentuation"/>
        </w:rPr>
        <w:t>siècles</w:t>
      </w:r>
      <w:r w:rsidRPr="00E8358C">
        <w:t>, Fort de France et Basse-Terre, Société d’Histoire de la Martinique, 1974.</w:t>
      </w:r>
    </w:p>
    <w:p w:rsidR="004C50DC" w:rsidRPr="00E8358C" w:rsidRDefault="004C50DC" w:rsidP="004C50DC">
      <w:pPr>
        <w:spacing w:before="120" w:after="120"/>
        <w:jc w:val="both"/>
      </w:pPr>
      <w:r w:rsidRPr="00E8358C">
        <w:t xml:space="preserve">-------, « La nourriture des esclaves sur les plantations des Antilles françaises aux </w:t>
      </w:r>
      <w:r w:rsidRPr="00E8358C">
        <w:rPr>
          <w:rStyle w:val="Accentuation"/>
          <w:i w:val="0"/>
        </w:rPr>
        <w:t>XVIIe et XVIIIe siècles </w:t>
      </w:r>
      <w:r w:rsidRPr="00E8358C">
        <w:t xml:space="preserve">», </w:t>
      </w:r>
      <w:r w:rsidRPr="00E8358C">
        <w:rPr>
          <w:i/>
        </w:rPr>
        <w:t>Notes d’histoire coloniale</w:t>
      </w:r>
      <w:r w:rsidRPr="00E8358C">
        <w:t>, 1964, vol. 4, n</w:t>
      </w:r>
      <w:r w:rsidRPr="00E8358C">
        <w:rPr>
          <w:vertAlign w:val="superscript"/>
        </w:rPr>
        <w:t>o</w:t>
      </w:r>
      <w:r w:rsidRPr="00E8358C">
        <w:t> 2.</w:t>
      </w:r>
    </w:p>
    <w:p w:rsidR="004C50DC" w:rsidRPr="00BD1ABE" w:rsidRDefault="004C50DC" w:rsidP="004C50DC">
      <w:pPr>
        <w:spacing w:before="120" w:after="120"/>
        <w:jc w:val="both"/>
      </w:pPr>
      <w:r w:rsidRPr="00BD1ABE">
        <w:t xml:space="preserve">-------, </w:t>
      </w:r>
      <w:r w:rsidRPr="00BD1ABE">
        <w:rPr>
          <w:i/>
        </w:rPr>
        <w:t>Plantations et esclaves à Saint-Domingue. La sucrerie Fo</w:t>
      </w:r>
      <w:r w:rsidRPr="00BD1ABE">
        <w:rPr>
          <w:i/>
        </w:rPr>
        <w:t>ä</w:t>
      </w:r>
      <w:r w:rsidRPr="00BD1ABE">
        <w:rPr>
          <w:i/>
        </w:rPr>
        <w:t>che et ses esclaves (1770-1803)</w:t>
      </w:r>
      <w:r w:rsidRPr="00BD1ABE">
        <w:t>, Publications de la Section d’Histoire de la Faculté des Lettres de Dakar, 1963 (monographie).</w:t>
      </w:r>
    </w:p>
    <w:p w:rsidR="004C50DC" w:rsidRPr="00E8358C" w:rsidRDefault="004C50DC" w:rsidP="004C50DC">
      <w:pPr>
        <w:spacing w:before="120" w:after="120"/>
        <w:jc w:val="both"/>
      </w:pPr>
      <w:r w:rsidRPr="00E8358C">
        <w:t xml:space="preserve">-------, « Les cases des esclaves de plantation », </w:t>
      </w:r>
      <w:r w:rsidRPr="00BD1ABE">
        <w:rPr>
          <w:i/>
        </w:rPr>
        <w:t>Conjonction</w:t>
      </w:r>
      <w:r w:rsidRPr="00E8358C">
        <w:t>, n</w:t>
      </w:r>
      <w:r w:rsidRPr="00BD1ABE">
        <w:t>o</w:t>
      </w:r>
      <w:r w:rsidRPr="00E8358C">
        <w:t xml:space="preserve"> 101, Port-au-Prince, 1961, </w:t>
      </w:r>
      <w:r>
        <w:t>p</w:t>
      </w:r>
      <w:r w:rsidRPr="00E8358C">
        <w:t>p. 19-32 (</w:t>
      </w:r>
      <w:r w:rsidRPr="00BD1ABE">
        <w:t>Notes d’histoire coloniale</w:t>
      </w:r>
      <w:r w:rsidRPr="00E8358C">
        <w:t>, n</w:t>
      </w:r>
      <w:r w:rsidRPr="00BD1ABE">
        <w:t>o</w:t>
      </w:r>
      <w:r w:rsidRPr="00E8358C">
        <w:t> 98).</w:t>
      </w:r>
    </w:p>
    <w:p w:rsidR="004C50DC" w:rsidRPr="00E8358C" w:rsidRDefault="004C50DC" w:rsidP="004C50DC">
      <w:pPr>
        <w:spacing w:before="120" w:after="120"/>
        <w:jc w:val="both"/>
      </w:pPr>
      <w:r w:rsidRPr="00E8358C">
        <w:t xml:space="preserve">-------, « Les engagés pour les Antilles », </w:t>
      </w:r>
      <w:r w:rsidRPr="00BD1ABE">
        <w:rPr>
          <w:i/>
        </w:rPr>
        <w:t>Revue d’histoire des c</w:t>
      </w:r>
      <w:r w:rsidRPr="00BD1ABE">
        <w:rPr>
          <w:i/>
        </w:rPr>
        <w:t>o</w:t>
      </w:r>
      <w:r w:rsidRPr="00BD1ABE">
        <w:rPr>
          <w:i/>
        </w:rPr>
        <w:t>lonies</w:t>
      </w:r>
      <w:r w:rsidRPr="00E8358C">
        <w:t>, 1951, premier et deuxième trimestres, p</w:t>
      </w:r>
      <w:r>
        <w:t>p</w:t>
      </w:r>
      <w:r w:rsidRPr="00E8358C">
        <w:t>. 260-261.</w:t>
      </w:r>
    </w:p>
    <w:p w:rsidR="004C50DC" w:rsidRPr="00E8358C" w:rsidRDefault="004C50DC" w:rsidP="004C50DC">
      <w:pPr>
        <w:spacing w:before="120" w:after="120"/>
        <w:jc w:val="both"/>
      </w:pPr>
      <w:r w:rsidRPr="00E8358C">
        <w:t xml:space="preserve">-------, « Comptes, profits, esclaves et travaux de deux sucreries de Saint-Domingue (1774-1798) », </w:t>
      </w:r>
      <w:r w:rsidRPr="00BD1ABE">
        <w:rPr>
          <w:i/>
        </w:rPr>
        <w:t>Revue de la Société haïtienne d’histoire, de géographie et de géologie</w:t>
      </w:r>
      <w:r w:rsidRPr="00BD1ABE">
        <w:t>, vol.</w:t>
      </w:r>
      <w:r>
        <w:t> </w:t>
      </w:r>
      <w:r w:rsidRPr="00BD1ABE">
        <w:t xml:space="preserve">15 no 55, 1944, pp. 1-60 et vol. 16, no 56, 1945, pp. 1-51 </w:t>
      </w:r>
      <w:r w:rsidRPr="00E8358C">
        <w:t>(</w:t>
      </w:r>
      <w:r w:rsidRPr="00BD1ABE">
        <w:t>Notes d’histoire coloniale</w:t>
      </w:r>
      <w:r w:rsidRPr="00E8358C">
        <w:t>, n</w:t>
      </w:r>
      <w:r w:rsidRPr="00BD1ABE">
        <w:t>o</w:t>
      </w:r>
      <w:r w:rsidRPr="00E8358C">
        <w:t> 6).</w:t>
      </w:r>
    </w:p>
    <w:p w:rsidR="004C50DC" w:rsidRDefault="004C50DC" w:rsidP="004C50DC">
      <w:pPr>
        <w:spacing w:before="120" w:after="120"/>
        <w:jc w:val="both"/>
      </w:pPr>
      <w:r>
        <w:t>[474]</w:t>
      </w:r>
    </w:p>
    <w:p w:rsidR="004C50DC" w:rsidRPr="00BD1ABE" w:rsidRDefault="004C50DC" w:rsidP="004C50DC">
      <w:pPr>
        <w:spacing w:before="120" w:after="120"/>
        <w:jc w:val="both"/>
      </w:pPr>
      <w:r w:rsidRPr="00E8358C">
        <w:t xml:space="preserve">-------,  </w:t>
      </w:r>
      <w:r w:rsidRPr="00BD1ABE">
        <w:rPr>
          <w:i/>
        </w:rPr>
        <w:t>Une plantation de Saint-Domingue. La sucrerie</w:t>
      </w:r>
      <w:r w:rsidRPr="00BD1ABE">
        <w:t xml:space="preserve"> </w:t>
      </w:r>
      <w:r w:rsidRPr="00BD1ABE">
        <w:rPr>
          <w:i/>
          <w:iCs/>
        </w:rPr>
        <w:t>Galbaud du Fort</w:t>
      </w:r>
      <w:r w:rsidRPr="00BD1ABE">
        <w:t xml:space="preserve">, </w:t>
      </w:r>
      <w:r w:rsidRPr="00BD1ABE">
        <w:rPr>
          <w:i/>
        </w:rPr>
        <w:t>1690-1802</w:t>
      </w:r>
      <w:r w:rsidRPr="00BD1ABE">
        <w:t>, Le Caire, 1941 (monographie).</w:t>
      </w:r>
    </w:p>
    <w:p w:rsidR="004C50DC" w:rsidRPr="00E8358C" w:rsidRDefault="004C50DC" w:rsidP="004C50DC">
      <w:pPr>
        <w:spacing w:before="120" w:after="120"/>
        <w:jc w:val="both"/>
        <w:rPr>
          <w:rStyle w:val="apple-style-span"/>
          <w:shd w:val="clear" w:color="auto" w:fill="FFFFFF"/>
        </w:rPr>
      </w:pPr>
      <w:r w:rsidRPr="00E8358C">
        <w:t xml:space="preserve">Debray, Régis, entrevue, « Haïti : précurseur et paria », </w:t>
      </w:r>
      <w:r w:rsidRPr="00E8358C">
        <w:rPr>
          <w:i/>
        </w:rPr>
        <w:t>Mediapart</w:t>
      </w:r>
      <w:r w:rsidRPr="00E8358C">
        <w:t xml:space="preserve">, en ligne, </w:t>
      </w:r>
      <w:hyperlink r:id="rId116" w:history="1">
        <w:r w:rsidRPr="00E8358C">
          <w:rPr>
            <w:rStyle w:val="Lienhypertexte"/>
          </w:rPr>
          <w:t>http://www.politique-actu.com/debat/haiti-regis-debray/55859/</w:t>
        </w:r>
      </w:hyperlink>
    </w:p>
    <w:p w:rsidR="004C50DC" w:rsidRPr="00E8358C" w:rsidRDefault="004C50DC" w:rsidP="004C50DC">
      <w:pPr>
        <w:spacing w:before="120" w:after="120"/>
        <w:jc w:val="both"/>
      </w:pPr>
      <w:r w:rsidRPr="00E8358C">
        <w:t xml:space="preserve">Décime, Edner Fils, « Haïti-Rara. Ses mutations à travers l’espace et le temps », </w:t>
      </w:r>
      <w:r w:rsidRPr="00E8358C">
        <w:rPr>
          <w:i/>
        </w:rPr>
        <w:t xml:space="preserve">Alter Presse, </w:t>
      </w:r>
      <w:r w:rsidRPr="00E8358C">
        <w:t xml:space="preserve">samedi 7 avril  2012, en ligne, </w:t>
      </w:r>
      <w:hyperlink r:id="rId117" w:history="1">
        <w:r w:rsidRPr="00E8358C">
          <w:rPr>
            <w:rStyle w:val="Lienhypertexte"/>
          </w:rPr>
          <w:t>http://www.alterpresse.org/spip.php?article12657</w:t>
        </w:r>
      </w:hyperlink>
    </w:p>
    <w:p w:rsidR="004C50DC" w:rsidRPr="00E8358C" w:rsidRDefault="004C50DC" w:rsidP="004C50DC">
      <w:pPr>
        <w:spacing w:before="120" w:after="120"/>
        <w:jc w:val="both"/>
      </w:pPr>
      <w:r w:rsidRPr="00E8358C">
        <w:t xml:space="preserve">Degoul, Franck, </w:t>
      </w:r>
      <w:r w:rsidRPr="00E8358C">
        <w:rPr>
          <w:i/>
        </w:rPr>
        <w:t>Dos à la vie, dos à la mort. Une explication et</w:t>
      </w:r>
      <w:r w:rsidRPr="00E8358C">
        <w:rPr>
          <w:i/>
        </w:rPr>
        <w:t>h</w:t>
      </w:r>
      <w:r w:rsidRPr="00E8358C">
        <w:rPr>
          <w:i/>
        </w:rPr>
        <w:t>nographique des figures de la servitude dans l’imaginaire haïtien de la zombification</w:t>
      </w:r>
      <w:r w:rsidRPr="00E8358C">
        <w:t>, Thèse de doctorat en anthropologie, Université L</w:t>
      </w:r>
      <w:r w:rsidRPr="00E8358C">
        <w:t>a</w:t>
      </w:r>
      <w:r w:rsidRPr="00E8358C">
        <w:t>val, Québec, 2006.</w:t>
      </w:r>
    </w:p>
    <w:p w:rsidR="004C50DC" w:rsidRPr="00E8358C" w:rsidRDefault="004C50DC" w:rsidP="004C50DC">
      <w:pPr>
        <w:spacing w:before="120" w:after="120"/>
        <w:jc w:val="both"/>
      </w:pPr>
      <w:r w:rsidRPr="00E8358C">
        <w:t>-------, « “L’effet de serf” ou les retentissements de l’esclavage c</w:t>
      </w:r>
      <w:r w:rsidRPr="00E8358C">
        <w:t>o</w:t>
      </w:r>
      <w:r w:rsidRPr="00E8358C">
        <w:t xml:space="preserve">lonial dans l’imaginaire haïtien de la zombification », dans Jacques Hainard, Philippe Mathez et Olivier Schinz (dir.), </w:t>
      </w:r>
      <w:r w:rsidRPr="00E8358C">
        <w:rPr>
          <w:i/>
        </w:rPr>
        <w:t>Vodou</w:t>
      </w:r>
      <w:r w:rsidRPr="00E8358C">
        <w:t>, Genève, musée d’Ethnographie, 2007, p</w:t>
      </w:r>
      <w:r>
        <w:t>p</w:t>
      </w:r>
      <w:r w:rsidRPr="00E8358C">
        <w:t>. 307-323.</w:t>
      </w:r>
    </w:p>
    <w:p w:rsidR="004C50DC" w:rsidRPr="00E8358C" w:rsidRDefault="004C50DC" w:rsidP="004C50DC">
      <w:pPr>
        <w:spacing w:before="120" w:after="120"/>
        <w:jc w:val="both"/>
        <w:rPr>
          <w:shd w:val="clear" w:color="auto" w:fill="FFFFFF"/>
        </w:rPr>
      </w:pPr>
      <w:r w:rsidRPr="00E8358C">
        <w:t xml:space="preserve">-------, « Du passé faisons table d’hôte », </w:t>
      </w:r>
      <w:r w:rsidRPr="00E8358C">
        <w:rPr>
          <w:i/>
        </w:rPr>
        <w:t>Ethnologies</w:t>
      </w:r>
      <w:r w:rsidRPr="00E8358C">
        <w:t>, vol. 28, n</w:t>
      </w:r>
      <w:r w:rsidRPr="00E8358C">
        <w:rPr>
          <w:vertAlign w:val="superscript"/>
        </w:rPr>
        <w:t>o</w:t>
      </w:r>
      <w:r w:rsidRPr="00E8358C">
        <w:t> 1, 2006, 241-278.</w:t>
      </w:r>
    </w:p>
    <w:p w:rsidR="004C50DC" w:rsidRPr="00E8358C" w:rsidRDefault="004C50DC" w:rsidP="004C50DC">
      <w:pPr>
        <w:spacing w:before="120" w:after="120"/>
        <w:jc w:val="both"/>
        <w:rPr>
          <w:rFonts w:eastAsia="Calibri"/>
        </w:rPr>
      </w:pPr>
      <w:r w:rsidRPr="00E8358C">
        <w:rPr>
          <w:rFonts w:eastAsia="Calibri"/>
        </w:rPr>
        <w:t xml:space="preserve">Delacampagne, Christian, </w:t>
      </w:r>
      <w:r w:rsidRPr="00E8358C">
        <w:rPr>
          <w:rFonts w:eastAsia="Calibri"/>
          <w:i/>
        </w:rPr>
        <w:t xml:space="preserve">Une </w:t>
      </w:r>
      <w:r w:rsidRPr="00E8358C">
        <w:rPr>
          <w:rFonts w:eastAsia="Calibri"/>
          <w:i/>
          <w:iCs/>
        </w:rPr>
        <w:t>histoire de l’esclavage, de l’Antiquité à nos jours</w:t>
      </w:r>
      <w:r w:rsidRPr="00E8358C">
        <w:rPr>
          <w:rFonts w:eastAsia="Calibri"/>
        </w:rPr>
        <w:t>, Paris, Le livre de poche, 2002.</w:t>
      </w:r>
    </w:p>
    <w:p w:rsidR="004C50DC" w:rsidRPr="00E8358C" w:rsidRDefault="004C50DC" w:rsidP="004C50DC">
      <w:pPr>
        <w:spacing w:before="120" w:after="120"/>
        <w:jc w:val="both"/>
      </w:pPr>
      <w:r w:rsidRPr="00E8358C">
        <w:t>Delné, Claudy,</w:t>
      </w:r>
      <w:r w:rsidRPr="00E8358C">
        <w:rPr>
          <w:i/>
        </w:rPr>
        <w:t xml:space="preserve"> L’enseignement de l’histoire nationale en Haïti : état des lieux et perspectives</w:t>
      </w:r>
      <w:r w:rsidRPr="00E8358C">
        <w:t>, Montréal, CIDIHCA, 2001.</w:t>
      </w:r>
    </w:p>
    <w:p w:rsidR="004C50DC" w:rsidRPr="00E8358C" w:rsidRDefault="004C50DC" w:rsidP="004C50DC">
      <w:pPr>
        <w:spacing w:before="120" w:after="120"/>
        <w:jc w:val="both"/>
      </w:pPr>
      <w:r w:rsidRPr="00E8358C">
        <w:t xml:space="preserve">Demers, Dominique et Paul Bleton, </w:t>
      </w:r>
      <w:r w:rsidRPr="00E8358C">
        <w:rPr>
          <w:i/>
        </w:rPr>
        <w:t>Du Petit Poucet au Dernier des Raisins. Introduction à la littérature jeunesse</w:t>
      </w:r>
      <w:r w:rsidRPr="00E8358C">
        <w:t>, Boucherville-Sainte-Foy, Québec/Amérique Jeunesse-Télé-Université, 1994.</w:t>
      </w:r>
    </w:p>
    <w:p w:rsidR="004C50DC" w:rsidRPr="00E8358C" w:rsidRDefault="004C50DC" w:rsidP="004C50DC">
      <w:pPr>
        <w:spacing w:before="120" w:after="120"/>
        <w:jc w:val="both"/>
      </w:pPr>
      <w:r w:rsidRPr="00E8358C">
        <w:t xml:space="preserve">Denis, Lorimer et Emmanuel C. Paul, </w:t>
      </w:r>
      <w:r w:rsidRPr="00E8358C">
        <w:rPr>
          <w:i/>
        </w:rPr>
        <w:t>Essai d’organographie ha</w:t>
      </w:r>
      <w:r w:rsidRPr="00E8358C">
        <w:rPr>
          <w:i/>
        </w:rPr>
        <w:t>ï</w:t>
      </w:r>
      <w:r w:rsidRPr="00E8358C">
        <w:rPr>
          <w:i/>
        </w:rPr>
        <w:t>tienne</w:t>
      </w:r>
      <w:r w:rsidRPr="00E8358C">
        <w:t>, Port-au-Prince, Publication du bureau d’Ethnologie de la R</w:t>
      </w:r>
      <w:r w:rsidRPr="00E8358C">
        <w:t>é</w:t>
      </w:r>
      <w:r w:rsidRPr="00E8358C">
        <w:t>publique d’Haïti, Antilles, 1980.</w:t>
      </w:r>
    </w:p>
    <w:p w:rsidR="004C50DC" w:rsidRPr="00E8358C" w:rsidRDefault="004C50DC" w:rsidP="004C50DC">
      <w:pPr>
        <w:spacing w:before="120" w:after="120"/>
        <w:jc w:val="both"/>
        <w:rPr>
          <w:rFonts w:eastAsia="Calibri"/>
        </w:rPr>
      </w:pPr>
      <w:r w:rsidRPr="00E8358C">
        <w:t xml:space="preserve">Depestre, René, « Les aventures de la créolité. Lettre à Ralph Ludwig », dans Patrick Chamoiseau et al., </w:t>
      </w:r>
      <w:r w:rsidRPr="00E8358C">
        <w:rPr>
          <w:i/>
        </w:rPr>
        <w:t>Écrire la « parole de nuit ». La nouvelle littérature antillaise</w:t>
      </w:r>
      <w:r w:rsidRPr="00E8358C">
        <w:t>, Paris, Gallimard, 1994, p</w:t>
      </w:r>
      <w:r>
        <w:t>p</w:t>
      </w:r>
      <w:r w:rsidRPr="00E8358C">
        <w:t>. 162-163.</w:t>
      </w:r>
    </w:p>
    <w:p w:rsidR="004C50DC" w:rsidRPr="00E8358C" w:rsidRDefault="004C50DC" w:rsidP="004C50DC">
      <w:pPr>
        <w:spacing w:before="120" w:after="120"/>
        <w:jc w:val="both"/>
      </w:pPr>
      <w:r w:rsidRPr="00E8358C">
        <w:t xml:space="preserve">Descat, Raymond et Jean Andreau, </w:t>
      </w:r>
      <w:r w:rsidRPr="00E8358C">
        <w:rPr>
          <w:i/>
          <w:iCs/>
        </w:rPr>
        <w:t>Esclave en Grèce et à Rome</w:t>
      </w:r>
      <w:r w:rsidRPr="00E8358C">
        <w:t>, Hachette Littératures, Paris, 2006.</w:t>
      </w:r>
    </w:p>
    <w:p w:rsidR="004C50DC" w:rsidRPr="00E8358C" w:rsidRDefault="004C50DC" w:rsidP="004C50DC">
      <w:pPr>
        <w:spacing w:before="120" w:after="120"/>
        <w:jc w:val="both"/>
      </w:pPr>
      <w:r w:rsidRPr="00E8358C">
        <w:t xml:space="preserve">Descourtilz, Michel-Étienne, </w:t>
      </w:r>
      <w:r w:rsidRPr="00E8358C">
        <w:rPr>
          <w:i/>
        </w:rPr>
        <w:t>Voyage d’un naturaliste</w:t>
      </w:r>
      <w:r w:rsidRPr="00E8358C">
        <w:t xml:space="preserve">, Tome III, </w:t>
      </w:r>
      <w:r w:rsidRPr="00BD1ABE">
        <w:t xml:space="preserve">Paris, Dufart Père, </w:t>
      </w:r>
      <w:r w:rsidRPr="00E8358C">
        <w:t>1809.</w:t>
      </w:r>
    </w:p>
    <w:p w:rsidR="004C50DC" w:rsidRPr="00E8358C" w:rsidRDefault="004C50DC" w:rsidP="004C50DC">
      <w:pPr>
        <w:spacing w:before="120" w:after="120"/>
        <w:jc w:val="both"/>
      </w:pPr>
      <w:r w:rsidRPr="00E8358C">
        <w:t xml:space="preserve">Deslauriers, Jean-Pierre, </w:t>
      </w:r>
      <w:r w:rsidRPr="00E8358C">
        <w:rPr>
          <w:i/>
        </w:rPr>
        <w:t>Recherche qualitative. Guide pratique</w:t>
      </w:r>
      <w:r w:rsidRPr="00E8358C">
        <w:t>, Montréal, McGraw-Hill, 1991.</w:t>
      </w:r>
    </w:p>
    <w:p w:rsidR="004C50DC" w:rsidRPr="00E8358C" w:rsidRDefault="004C50DC" w:rsidP="004C50DC">
      <w:pPr>
        <w:spacing w:before="120" w:after="120"/>
        <w:jc w:val="both"/>
        <w:rPr>
          <w:rFonts w:eastAsia="Code2000"/>
        </w:rPr>
      </w:pPr>
      <w:r w:rsidRPr="00E8358C">
        <w:rPr>
          <w:rFonts w:eastAsia="Code2000"/>
        </w:rPr>
        <w:t>Deyon, Pierre, « L’enjeu des discussions autour du concept de pr</w:t>
      </w:r>
      <w:r w:rsidRPr="00E8358C">
        <w:rPr>
          <w:rFonts w:eastAsia="Code2000"/>
        </w:rPr>
        <w:t>o</w:t>
      </w:r>
      <w:r w:rsidRPr="00E8358C">
        <w:rPr>
          <w:rFonts w:eastAsia="Code2000"/>
        </w:rPr>
        <w:t xml:space="preserve">to-industrialisation », </w:t>
      </w:r>
      <w:r w:rsidRPr="00E8358C">
        <w:rPr>
          <w:rFonts w:eastAsia="Code2000"/>
          <w:i/>
        </w:rPr>
        <w:t>Revue du Nord</w:t>
      </w:r>
      <w:r w:rsidRPr="00E8358C">
        <w:rPr>
          <w:rFonts w:eastAsia="Code2000"/>
        </w:rPr>
        <w:t>, 1979, n</w:t>
      </w:r>
      <w:r w:rsidRPr="00E8358C">
        <w:rPr>
          <w:rFonts w:eastAsia="Code2000"/>
          <w:vertAlign w:val="superscript"/>
        </w:rPr>
        <w:t>o</w:t>
      </w:r>
      <w:r w:rsidRPr="00E8358C">
        <w:rPr>
          <w:rFonts w:eastAsia="Code2000"/>
        </w:rPr>
        <w:t> 1, p</w:t>
      </w:r>
      <w:r>
        <w:rPr>
          <w:rFonts w:eastAsia="Code2000"/>
        </w:rPr>
        <w:t>p</w:t>
      </w:r>
      <w:r w:rsidRPr="00E8358C">
        <w:rPr>
          <w:rFonts w:eastAsia="Code2000"/>
        </w:rPr>
        <w:t>. 9-15.</w:t>
      </w:r>
    </w:p>
    <w:p w:rsidR="004C50DC" w:rsidRPr="00E8358C" w:rsidRDefault="004C50DC" w:rsidP="004C50DC">
      <w:pPr>
        <w:spacing w:before="120" w:after="120"/>
        <w:jc w:val="both"/>
      </w:pPr>
      <w:r w:rsidRPr="00E8358C">
        <w:rPr>
          <w:rFonts w:eastAsia="Code2000"/>
        </w:rPr>
        <w:t xml:space="preserve">-------, « La proto-industrialisation : théorie et réalité », </w:t>
      </w:r>
      <w:r w:rsidRPr="00E8358C">
        <w:rPr>
          <w:rFonts w:eastAsia="Code2000"/>
          <w:i/>
        </w:rPr>
        <w:t>Revue du Nord</w:t>
      </w:r>
      <w:r w:rsidRPr="00E8358C">
        <w:rPr>
          <w:rFonts w:eastAsia="Code2000"/>
        </w:rPr>
        <w:t>, 1981, n</w:t>
      </w:r>
      <w:r w:rsidRPr="00E8358C">
        <w:rPr>
          <w:rFonts w:eastAsia="Code2000"/>
          <w:vertAlign w:val="superscript"/>
        </w:rPr>
        <w:t>o</w:t>
      </w:r>
      <w:r w:rsidRPr="00E8358C">
        <w:rPr>
          <w:rFonts w:eastAsia="Code2000"/>
        </w:rPr>
        <w:t> 1, p. 11-19.</w:t>
      </w:r>
    </w:p>
    <w:p w:rsidR="004C50DC" w:rsidRPr="00E8358C" w:rsidRDefault="004C50DC" w:rsidP="004C50DC">
      <w:pPr>
        <w:spacing w:before="120" w:after="120"/>
        <w:jc w:val="both"/>
      </w:pPr>
      <w:r w:rsidRPr="00E8358C">
        <w:t xml:space="preserve">Dibwe, Donatien, </w:t>
      </w:r>
      <w:r w:rsidRPr="00E8358C">
        <w:rPr>
          <w:rStyle w:val="familyname"/>
          <w:bCs/>
        </w:rPr>
        <w:t>« </w:t>
      </w:r>
      <w:r w:rsidRPr="00E8358C">
        <w:rPr>
          <w:rStyle w:val="text"/>
          <w:bCs/>
        </w:rPr>
        <w:t xml:space="preserve">La collecte des sources orales. </w:t>
      </w:r>
      <w:r w:rsidRPr="00E8358C">
        <w:t xml:space="preserve">Expériences d’enquêtes relatives au conflit Katangais-Kasaïens du Katanga (1991-1994) », </w:t>
      </w:r>
      <w:r w:rsidRPr="00E8358C">
        <w:rPr>
          <w:i/>
        </w:rPr>
        <w:t xml:space="preserve">Civilisations, </w:t>
      </w:r>
      <w:r w:rsidRPr="00E8358C">
        <w:t>n</w:t>
      </w:r>
      <w:r w:rsidRPr="00E8358C">
        <w:rPr>
          <w:vertAlign w:val="superscript"/>
        </w:rPr>
        <w:t>o</w:t>
      </w:r>
      <w:r w:rsidRPr="00E8358C">
        <w:t> 54, 2006, en ligne, http://civilisations.revues.org/313 ; DOI : 10.4000/civilisations.313</w:t>
      </w:r>
    </w:p>
    <w:p w:rsidR="004C50DC" w:rsidRPr="00E8358C" w:rsidRDefault="004C50DC" w:rsidP="004C50DC">
      <w:pPr>
        <w:spacing w:before="120" w:after="120"/>
        <w:jc w:val="both"/>
      </w:pPr>
      <w:r w:rsidRPr="00E8358C">
        <w:t xml:space="preserve">Diène, Doudou, « Exposer la résistance culturelle de l’esclave », </w:t>
      </w:r>
      <w:r w:rsidRPr="00E8358C">
        <w:rPr>
          <w:i/>
        </w:rPr>
        <w:t>Africultures</w:t>
      </w:r>
      <w:r w:rsidRPr="00E8358C">
        <w:t xml:space="preserve">, vol. 1, n° 91, 2013, </w:t>
      </w:r>
      <w:r>
        <w:t>p</w:t>
      </w:r>
      <w:r w:rsidRPr="00E8358C">
        <w:t xml:space="preserve">p. 20-25. </w:t>
      </w:r>
    </w:p>
    <w:p w:rsidR="004C50DC" w:rsidRPr="00E8358C" w:rsidRDefault="004C50DC" w:rsidP="004C50DC">
      <w:pPr>
        <w:spacing w:before="120" w:after="120"/>
        <w:jc w:val="both"/>
      </w:pPr>
      <w:r w:rsidRPr="00E8358C">
        <w:t xml:space="preserve">Diène, Doudou, « Silence et invisibilité : l’enjeu de mémoire de la domination et de la discrimination », dans Valérie Lange-Eyre (dir.), </w:t>
      </w:r>
      <w:r w:rsidRPr="00E8358C">
        <w:rPr>
          <w:i/>
        </w:rPr>
        <w:t>Mémoires et droits humains. Enjeux et perspectives pour les peuples d’Afrique et des Amériques</w:t>
      </w:r>
      <w:r w:rsidRPr="00E8358C">
        <w:t>, Lausanne, Éditions d’En Bas, 2009, p</w:t>
      </w:r>
      <w:r>
        <w:t>p</w:t>
      </w:r>
      <w:r w:rsidRPr="00E8358C">
        <w:t>. 68-76.</w:t>
      </w:r>
    </w:p>
    <w:p w:rsidR="004C50DC" w:rsidRDefault="004C50DC" w:rsidP="004C50DC">
      <w:pPr>
        <w:spacing w:before="120" w:after="120"/>
        <w:jc w:val="both"/>
        <w:rPr>
          <w:rFonts w:eastAsia="Calibri"/>
          <w:lang w:eastAsia="en-CA"/>
        </w:rPr>
      </w:pPr>
      <w:r>
        <w:rPr>
          <w:rFonts w:eastAsia="Calibri"/>
          <w:lang w:eastAsia="en-CA"/>
        </w:rPr>
        <w:t>[475]</w:t>
      </w:r>
    </w:p>
    <w:p w:rsidR="004C50DC" w:rsidRPr="00E8358C" w:rsidRDefault="004C50DC" w:rsidP="004C50DC">
      <w:pPr>
        <w:spacing w:before="120" w:after="120"/>
        <w:jc w:val="both"/>
        <w:rPr>
          <w:rStyle w:val="Tableausimple4"/>
          <w:b w:val="0"/>
          <w:i w:val="0"/>
        </w:rPr>
      </w:pPr>
      <w:r w:rsidRPr="00E8358C">
        <w:rPr>
          <w:rFonts w:eastAsia="Calibri"/>
          <w:lang w:eastAsia="en-CA"/>
        </w:rPr>
        <w:t>Di Méo, Guy</w:t>
      </w:r>
      <w:r w:rsidRPr="00E8358C">
        <w:rPr>
          <w:lang w:eastAsia="en-CA"/>
        </w:rPr>
        <w:t>, « </w:t>
      </w:r>
      <w:r w:rsidRPr="00E8358C">
        <w:rPr>
          <w:rFonts w:eastAsia="Calibri"/>
          <w:lang w:eastAsia="en-CA"/>
        </w:rPr>
        <w:t>Processus de patrimonialisation et construction des territoires</w:t>
      </w:r>
      <w:r w:rsidRPr="00E8358C">
        <w:rPr>
          <w:lang w:eastAsia="en-CA"/>
        </w:rPr>
        <w:t xml:space="preserve"> », </w:t>
      </w:r>
      <w:r w:rsidRPr="00E8358C">
        <w:rPr>
          <w:i/>
          <w:lang w:eastAsia="en-CA"/>
        </w:rPr>
        <w:t>Actes du</w:t>
      </w:r>
      <w:r w:rsidRPr="00E8358C">
        <w:rPr>
          <w:i/>
          <w:iCs/>
          <w:lang w:eastAsia="en-CA"/>
        </w:rPr>
        <w:t>Colloque Patrimoine et industrie en Poitou-Charentes : connaître pour valoriser</w:t>
      </w:r>
      <w:r w:rsidRPr="00E8358C">
        <w:rPr>
          <w:lang w:eastAsia="en-CA"/>
        </w:rPr>
        <w:t>, Poitiers-Châtellerault, France, 2008</w:t>
      </w:r>
      <w:r w:rsidRPr="00E8358C">
        <w:t xml:space="preserve">, en ligne, </w:t>
      </w:r>
      <w:hyperlink r:id="rId118" w:history="1">
        <w:r w:rsidRPr="00E8358C">
          <w:rPr>
            <w:rStyle w:val="Tableausimple4"/>
            <w:b w:val="0"/>
            <w:i w:val="0"/>
          </w:rPr>
          <w:t>http://www.ades.cnrs.fr/IMG/pdf/GDM_PP_et_CT_ Poitiers.pdf</w:t>
        </w:r>
      </w:hyperlink>
    </w:p>
    <w:p w:rsidR="004C50DC" w:rsidRPr="00BD1ABE" w:rsidRDefault="004C50DC" w:rsidP="004C50DC">
      <w:pPr>
        <w:spacing w:before="120" w:after="120"/>
        <w:jc w:val="both"/>
        <w:rPr>
          <w:rFonts w:eastAsia="Calibri"/>
          <w:lang w:eastAsia="en-CA"/>
        </w:rPr>
      </w:pPr>
      <w:r w:rsidRPr="00BD1ABE">
        <w:rPr>
          <w:rFonts w:eastAsia="Calibri"/>
          <w:lang w:eastAsia="en-CA"/>
        </w:rPr>
        <w:t xml:space="preserve">Diouf, Mamadou (dir.), </w:t>
      </w:r>
      <w:r w:rsidRPr="00BD1ABE">
        <w:rPr>
          <w:rFonts w:eastAsia="Calibri"/>
          <w:i/>
          <w:lang w:eastAsia="en-CA"/>
        </w:rPr>
        <w:t>L’historiographie indienne en débat. C</w:t>
      </w:r>
      <w:r w:rsidRPr="00BD1ABE">
        <w:rPr>
          <w:rFonts w:eastAsia="Calibri"/>
          <w:i/>
          <w:lang w:eastAsia="en-CA"/>
        </w:rPr>
        <w:t>o</w:t>
      </w:r>
      <w:r w:rsidRPr="00BD1ABE">
        <w:rPr>
          <w:rFonts w:eastAsia="Calibri"/>
          <w:i/>
          <w:lang w:eastAsia="en-CA"/>
        </w:rPr>
        <w:t>lonialisme, nationalisme et sociétés postcoloniales</w:t>
      </w:r>
      <w:r w:rsidRPr="00BD1ABE">
        <w:rPr>
          <w:rFonts w:eastAsia="Calibri"/>
          <w:lang w:eastAsia="en-CA"/>
        </w:rPr>
        <w:t>, Paris, Karthala, 1999.</w:t>
      </w:r>
    </w:p>
    <w:p w:rsidR="004C50DC" w:rsidRPr="00E8358C" w:rsidRDefault="004C50DC" w:rsidP="004C50DC">
      <w:pPr>
        <w:spacing w:before="120" w:after="120"/>
        <w:jc w:val="both"/>
      </w:pPr>
      <w:r w:rsidRPr="00E8358C">
        <w:t xml:space="preserve">Diouf, Sylviane A., </w:t>
      </w:r>
      <w:r w:rsidRPr="00E8358C">
        <w:rPr>
          <w:i/>
        </w:rPr>
        <w:t>Servants of Allah : African Muslims Enslaved in the Americas</w:t>
      </w:r>
      <w:r w:rsidRPr="00E8358C">
        <w:t>, New York, New York University Press, 1998.</w:t>
      </w:r>
    </w:p>
    <w:p w:rsidR="004C50DC" w:rsidRPr="00E8358C" w:rsidRDefault="004C50DC" w:rsidP="004C50DC">
      <w:pPr>
        <w:spacing w:before="120" w:after="120"/>
        <w:jc w:val="both"/>
      </w:pPr>
      <w:r w:rsidRPr="00E8358C">
        <w:t>Dorigny, Marcel, « Aux origines de la misère haïtienne. Un entr</w:t>
      </w:r>
      <w:r w:rsidRPr="00E8358C">
        <w:t>e</w:t>
      </w:r>
      <w:r w:rsidRPr="00E8358C">
        <w:t xml:space="preserve">tien avec l’historien Marcel Dorigny », mis en ligne le 4 février 2010, </w:t>
      </w:r>
      <w:hyperlink r:id="rId119" w:history="1">
        <w:r w:rsidRPr="00E8358C">
          <w:rPr>
            <w:rStyle w:val="Lienhypertexte"/>
          </w:rPr>
          <w:t>http://www.humanite.fr/node/432331</w:t>
        </w:r>
      </w:hyperlink>
      <w:r w:rsidRPr="00E8358C">
        <w:t>, consulté le 4 mai 2015.</w:t>
      </w:r>
    </w:p>
    <w:p w:rsidR="004C50DC" w:rsidRPr="00E8358C" w:rsidRDefault="004C50DC" w:rsidP="004C50DC">
      <w:pPr>
        <w:spacing w:before="120" w:after="120"/>
        <w:jc w:val="both"/>
      </w:pPr>
      <w:r w:rsidRPr="00E8358C">
        <w:t xml:space="preserve">-------(dir.), </w:t>
      </w:r>
      <w:r w:rsidRPr="00E8358C">
        <w:rPr>
          <w:i/>
        </w:rPr>
        <w:t>Haïti première république noire</w:t>
      </w:r>
      <w:r w:rsidRPr="00E8358C">
        <w:t>, Saint-Denis, Société française d’histoire d’outre-mer, 2003.</w:t>
      </w:r>
    </w:p>
    <w:p w:rsidR="004C50DC" w:rsidRPr="00E8358C" w:rsidRDefault="004C50DC" w:rsidP="004C50DC">
      <w:pPr>
        <w:spacing w:before="120" w:after="120"/>
        <w:jc w:val="both"/>
      </w:pPr>
      <w:r w:rsidRPr="00E8358C">
        <w:t xml:space="preserve">Dorigny, Marcel et Bernard Gainot, </w:t>
      </w:r>
      <w:r w:rsidRPr="00E8358C">
        <w:rPr>
          <w:i/>
        </w:rPr>
        <w:t>Atlas des esclavages de l’Antiquité à nos jours</w:t>
      </w:r>
      <w:r w:rsidRPr="00E8358C">
        <w:t>, Paris, Autrement, coll. Atlas/Mémoires, 2013.</w:t>
      </w:r>
    </w:p>
    <w:p w:rsidR="004C50DC" w:rsidRPr="00E8358C" w:rsidRDefault="004C50DC" w:rsidP="004C50DC">
      <w:pPr>
        <w:spacing w:before="120" w:after="120"/>
        <w:jc w:val="both"/>
      </w:pPr>
      <w:r w:rsidRPr="00E8358C">
        <w:t>-------, « De Saint-Domingue à Haïti : une nation issue de l'escl</w:t>
      </w:r>
      <w:r w:rsidRPr="00E8358C">
        <w:t>a</w:t>
      </w:r>
      <w:r w:rsidRPr="00E8358C">
        <w:t xml:space="preserve">vage », </w:t>
      </w:r>
      <w:r w:rsidRPr="00E8358C">
        <w:rPr>
          <w:i/>
        </w:rPr>
        <w:t>Outre-Mers,</w:t>
      </w:r>
      <w:r w:rsidRPr="00E8358C">
        <w:t xml:space="preserve"> </w:t>
      </w:r>
      <w:r w:rsidRPr="00E8358C">
        <w:rPr>
          <w:rStyle w:val="documentyear"/>
        </w:rPr>
        <w:t>2003, n</w:t>
      </w:r>
      <w:r w:rsidRPr="00E8358C">
        <w:rPr>
          <w:rStyle w:val="documentyear"/>
          <w:vertAlign w:val="superscript"/>
        </w:rPr>
        <w:t>os</w:t>
      </w:r>
      <w:r w:rsidRPr="00E8358C">
        <w:rPr>
          <w:rStyle w:val="documentyear"/>
        </w:rPr>
        <w:t xml:space="preserve"> 340-341,</w:t>
      </w:r>
      <w:r>
        <w:rPr>
          <w:rStyle w:val="documentyear"/>
        </w:rPr>
        <w:t xml:space="preserve"> p</w:t>
      </w:r>
      <w:r w:rsidRPr="00E8358C">
        <w:rPr>
          <w:rStyle w:val="documentpagerange"/>
        </w:rPr>
        <w:t>p. 5-13.</w:t>
      </w:r>
    </w:p>
    <w:p w:rsidR="004C50DC" w:rsidRPr="00E8358C" w:rsidRDefault="004C50DC" w:rsidP="004C50DC">
      <w:pPr>
        <w:spacing w:before="120" w:after="120"/>
        <w:jc w:val="both"/>
      </w:pPr>
      <w:r w:rsidRPr="00E8358C">
        <w:t xml:space="preserve">Dorsainvil, Jean-Baptiste, </w:t>
      </w:r>
      <w:r w:rsidRPr="00E8358C">
        <w:rPr>
          <w:i/>
        </w:rPr>
        <w:t>Cours d’histoire d’Haïti à l’usage de l’enseignement secondaire (seconde partie : 1804-1889</w:t>
      </w:r>
      <w:r w:rsidRPr="00E8358C">
        <w:t>), Paris, D</w:t>
      </w:r>
      <w:r w:rsidRPr="00E8358C">
        <w:t>u</w:t>
      </w:r>
      <w:r w:rsidRPr="00E8358C">
        <w:t>bois et Bauer, [1892] 1912.</w:t>
      </w:r>
    </w:p>
    <w:p w:rsidR="004C50DC" w:rsidRPr="00E8358C" w:rsidRDefault="004C50DC" w:rsidP="004C50DC">
      <w:pPr>
        <w:spacing w:before="120" w:after="120"/>
        <w:jc w:val="both"/>
      </w:pPr>
      <w:r w:rsidRPr="00E8358C">
        <w:t xml:space="preserve">Dorsainvil, Justin-Chrysostome, </w:t>
      </w:r>
      <w:r w:rsidRPr="00E8358C">
        <w:rPr>
          <w:i/>
        </w:rPr>
        <w:t>Manuel d’Histoire d’Haïti</w:t>
      </w:r>
      <w:r w:rsidRPr="00E8358C">
        <w:t>, Port-au-Prince, Procure des Frères de l’Instruction chrétienne, 1934.</w:t>
      </w:r>
    </w:p>
    <w:p w:rsidR="004C50DC" w:rsidRPr="00E8358C" w:rsidRDefault="004C50DC" w:rsidP="004C50DC">
      <w:pPr>
        <w:spacing w:before="120" w:after="120"/>
        <w:jc w:val="both"/>
      </w:pPr>
      <w:r w:rsidRPr="00E8358C">
        <w:t xml:space="preserve">-------, </w:t>
      </w:r>
      <w:r w:rsidRPr="00E8358C">
        <w:rPr>
          <w:i/>
        </w:rPr>
        <w:t>L’échec d’hier et l’effort pour l’avenir</w:t>
      </w:r>
      <w:r w:rsidRPr="00E8358C">
        <w:t>, Port-au-Prince, I</w:t>
      </w:r>
      <w:r w:rsidRPr="00E8358C">
        <w:t>m</w:t>
      </w:r>
      <w:r w:rsidRPr="00E8358C">
        <w:t>primerie H. Amblard, 1915.</w:t>
      </w:r>
    </w:p>
    <w:p w:rsidR="004C50DC" w:rsidRPr="00E8358C" w:rsidRDefault="004C50DC" w:rsidP="004C50DC">
      <w:pPr>
        <w:spacing w:before="120" w:after="120"/>
        <w:jc w:val="both"/>
      </w:pPr>
      <w:r w:rsidRPr="00E8358C">
        <w:t xml:space="preserve">Duara, Prasenjit, </w:t>
      </w:r>
      <w:r w:rsidRPr="00E8358C">
        <w:rPr>
          <w:i/>
        </w:rPr>
        <w:t>Rescuing History from Nation. Questionning Narratives of Modern China</w:t>
      </w:r>
      <w:r w:rsidRPr="00E8358C">
        <w:t>, Chicago, Chicago University Press, 1995.</w:t>
      </w:r>
    </w:p>
    <w:p w:rsidR="004C50DC" w:rsidRPr="00E8358C" w:rsidRDefault="004C50DC" w:rsidP="004C50DC">
      <w:pPr>
        <w:spacing w:before="120" w:after="120"/>
        <w:jc w:val="both"/>
      </w:pPr>
      <w:r w:rsidRPr="00E8358C">
        <w:t xml:space="preserve">Dubar, Claude, « Johannes Fabian, </w:t>
      </w:r>
      <w:r w:rsidRPr="00E8358C">
        <w:rPr>
          <w:i/>
        </w:rPr>
        <w:t>Le temps et les autres. Co</w:t>
      </w:r>
      <w:r w:rsidRPr="00E8358C">
        <w:rPr>
          <w:i/>
        </w:rPr>
        <w:t>m</w:t>
      </w:r>
      <w:r w:rsidRPr="00E8358C">
        <w:rPr>
          <w:i/>
        </w:rPr>
        <w:t>ment l’anthropologie construit son objet</w:t>
      </w:r>
      <w:r w:rsidRPr="00E8358C">
        <w:t xml:space="preserve"> », </w:t>
      </w:r>
      <w:r w:rsidRPr="00E8358C">
        <w:rPr>
          <w:i/>
        </w:rPr>
        <w:t>Temporalités</w:t>
      </w:r>
      <w:r w:rsidRPr="00E8358C">
        <w:t>, n</w:t>
      </w:r>
      <w:r w:rsidRPr="00E8358C">
        <w:rPr>
          <w:vertAlign w:val="superscript"/>
        </w:rPr>
        <w:t>o</w:t>
      </w:r>
      <w:r w:rsidRPr="00E8358C">
        <w:t xml:space="preserve"> 5, 2006, en ligne, </w:t>
      </w:r>
      <w:hyperlink r:id="rId120" w:history="1">
        <w:r w:rsidRPr="00E8358C">
          <w:rPr>
            <w:rStyle w:val="Lienhypertexte"/>
          </w:rPr>
          <w:t>http://temporalites.revues.org/319</w:t>
        </w:r>
      </w:hyperlink>
    </w:p>
    <w:p w:rsidR="004C50DC" w:rsidRPr="00E8358C" w:rsidRDefault="004C50DC" w:rsidP="004C50DC">
      <w:pPr>
        <w:spacing w:before="120" w:after="120"/>
        <w:jc w:val="both"/>
      </w:pPr>
      <w:r w:rsidRPr="00BD1ABE">
        <w:t xml:space="preserve">Dubois, Laurent, </w:t>
      </w:r>
      <w:r w:rsidRPr="00BD1ABE">
        <w:rPr>
          <w:i/>
        </w:rPr>
        <w:t>The Avengers of the New World</w:t>
      </w:r>
      <w:r w:rsidRPr="00BD1ABE">
        <w:t>, Cambridge, MA, Harvard University Press, 2005.</w:t>
      </w:r>
    </w:p>
    <w:p w:rsidR="004C50DC" w:rsidRPr="00E8358C" w:rsidRDefault="004C50DC" w:rsidP="004C50DC">
      <w:pPr>
        <w:spacing w:before="120" w:after="120"/>
        <w:jc w:val="both"/>
      </w:pPr>
      <w:r w:rsidRPr="00E8358C">
        <w:t>Dumas, Pierre-Raymond, « Interview sur le concept d’oraliture a</w:t>
      </w:r>
      <w:r w:rsidRPr="00E8358C">
        <w:t>c</w:t>
      </w:r>
      <w:r w:rsidRPr="00E8358C">
        <w:t xml:space="preserve">cordée à Pierre-Raymond Dumas par le docteur Ernest Mirville », </w:t>
      </w:r>
      <w:r w:rsidRPr="00E8358C">
        <w:rPr>
          <w:i/>
        </w:rPr>
        <w:t>Conjonctions</w:t>
      </w:r>
      <w:r w:rsidRPr="00E8358C">
        <w:t>, n</w:t>
      </w:r>
      <w:r w:rsidRPr="00E8358C">
        <w:rPr>
          <w:vertAlign w:val="superscript"/>
        </w:rPr>
        <w:t>os</w:t>
      </w:r>
      <w:r w:rsidRPr="00E8358C">
        <w:t> 161-162, mars-juin 1984.</w:t>
      </w:r>
    </w:p>
    <w:p w:rsidR="004C50DC" w:rsidRPr="00E8358C" w:rsidRDefault="004C50DC" w:rsidP="004C50DC">
      <w:pPr>
        <w:spacing w:before="120" w:after="120"/>
        <w:jc w:val="both"/>
      </w:pPr>
      <w:r w:rsidRPr="00E8358C">
        <w:t>Dupuy, Francis et Rafaël Lucas, « Esclavage, marronnage et co</w:t>
      </w:r>
      <w:r w:rsidRPr="00E8358C">
        <w:t>m</w:t>
      </w:r>
      <w:r w:rsidRPr="00E8358C">
        <w:t xml:space="preserve">mémorations : les enjeux de la mémoire », </w:t>
      </w:r>
      <w:r w:rsidRPr="00E8358C">
        <w:rPr>
          <w:i/>
        </w:rPr>
        <w:t>Cahiers d’Histoire</w:t>
      </w:r>
      <w:r w:rsidRPr="00E8358C">
        <w:t>, n</w:t>
      </w:r>
      <w:r w:rsidRPr="00E8358C">
        <w:rPr>
          <w:vertAlign w:val="superscript"/>
        </w:rPr>
        <w:t>o</w:t>
      </w:r>
      <w:r w:rsidRPr="00E8358C">
        <w:t> 89, 2002, p</w:t>
      </w:r>
      <w:r>
        <w:t>p</w:t>
      </w:r>
      <w:r w:rsidRPr="00E8358C">
        <w:t>. 9-12.</w:t>
      </w:r>
    </w:p>
    <w:p w:rsidR="004C50DC" w:rsidRPr="00E8358C" w:rsidRDefault="004C50DC" w:rsidP="004C50DC">
      <w:pPr>
        <w:spacing w:before="120" w:after="120"/>
        <w:jc w:val="both"/>
      </w:pPr>
      <w:r w:rsidRPr="00E8358C">
        <w:t xml:space="preserve">Écoles associées de l’UNESCO, </w:t>
      </w:r>
      <w:r w:rsidRPr="00E8358C">
        <w:rPr>
          <w:i/>
        </w:rPr>
        <w:t>Premier recueil de bonnes prat</w:t>
      </w:r>
      <w:r w:rsidRPr="00E8358C">
        <w:rPr>
          <w:i/>
        </w:rPr>
        <w:t>i</w:t>
      </w:r>
      <w:r w:rsidRPr="00E8358C">
        <w:rPr>
          <w:i/>
        </w:rPr>
        <w:t xml:space="preserve">ques pour une éducation de qualité, </w:t>
      </w:r>
      <w:r w:rsidRPr="00E8358C">
        <w:t>Paris, UNESCO, 2008.</w:t>
      </w:r>
    </w:p>
    <w:p w:rsidR="004C50DC" w:rsidRPr="00E8358C" w:rsidRDefault="004C50DC" w:rsidP="004C50DC">
      <w:pPr>
        <w:spacing w:before="120" w:after="120"/>
        <w:jc w:val="both"/>
      </w:pPr>
      <w:r w:rsidRPr="00E8358C">
        <w:t xml:space="preserve">Elmandjra, Mahdi, « Post-colonialisme », </w:t>
      </w:r>
      <w:r w:rsidRPr="00E8358C">
        <w:rPr>
          <w:i/>
        </w:rPr>
        <w:t>L’Opinion</w:t>
      </w:r>
      <w:r w:rsidRPr="00E8358C">
        <w:t>, 2 octobre 1994.</w:t>
      </w:r>
    </w:p>
    <w:p w:rsidR="004C50DC" w:rsidRPr="00E8358C" w:rsidRDefault="004C50DC" w:rsidP="004C50DC">
      <w:pPr>
        <w:spacing w:before="120" w:after="120"/>
        <w:jc w:val="both"/>
      </w:pPr>
      <w:r w:rsidRPr="00E8358C">
        <w:t>-------, « La décolonisation culturelle, un défi majeur pour le XXI</w:t>
      </w:r>
      <w:r w:rsidRPr="00E8358C">
        <w:rPr>
          <w:vertAlign w:val="superscript"/>
        </w:rPr>
        <w:t>e</w:t>
      </w:r>
      <w:r w:rsidRPr="00E8358C">
        <w:t xml:space="preserve"> siècle », </w:t>
      </w:r>
      <w:r w:rsidRPr="00E8358C">
        <w:rPr>
          <w:i/>
          <w:iCs/>
        </w:rPr>
        <w:t>Futuribles</w:t>
      </w:r>
      <w:r w:rsidRPr="00E8358C">
        <w:t>,  n</w:t>
      </w:r>
      <w:r w:rsidRPr="00E8358C">
        <w:rPr>
          <w:vertAlign w:val="superscript"/>
        </w:rPr>
        <w:t>o</w:t>
      </w:r>
      <w:r w:rsidRPr="00E8358C">
        <w:t> 213, octobre 1996.</w:t>
      </w:r>
    </w:p>
    <w:p w:rsidR="004C50DC" w:rsidRPr="00E8358C" w:rsidRDefault="004C50DC" w:rsidP="004C50DC">
      <w:pPr>
        <w:spacing w:before="120" w:after="120"/>
        <w:jc w:val="both"/>
      </w:pPr>
      <w:r w:rsidRPr="00E8358C">
        <w:t xml:space="preserve">Etemad, Bouda, </w:t>
      </w:r>
      <w:r w:rsidRPr="00E8358C">
        <w:rPr>
          <w:i/>
        </w:rPr>
        <w:t>L’héritage ambigu de la colonisation. Économies, populations, sociétés</w:t>
      </w:r>
      <w:r w:rsidRPr="00E8358C">
        <w:t>, Paris, Armand Colin.</w:t>
      </w:r>
    </w:p>
    <w:p w:rsidR="004C50DC" w:rsidRPr="00E8358C" w:rsidRDefault="004C50DC" w:rsidP="004C50DC">
      <w:pPr>
        <w:spacing w:before="120" w:after="120"/>
        <w:jc w:val="both"/>
      </w:pPr>
      <w:r w:rsidRPr="00E8358C">
        <w:t>Étienne, Guillaume, « La patrimonialisation de l’immigration p</w:t>
      </w:r>
      <w:r w:rsidRPr="00E8358C">
        <w:t>o</w:t>
      </w:r>
      <w:r w:rsidRPr="00E8358C">
        <w:t xml:space="preserve">lonaise du Cher. Construction du mythe de l’ouvrier fondeur », dans Karine Hébert et Julien Goyette (dir.), </w:t>
      </w:r>
      <w:r w:rsidRPr="00E8358C">
        <w:rPr>
          <w:i/>
        </w:rPr>
        <w:t>Histoire et idées du patrimoine, entre régionalisation et mondialisation</w:t>
      </w:r>
      <w:r w:rsidRPr="00E8358C">
        <w:t>, Cahiers de l’Institut du patr</w:t>
      </w:r>
      <w:r w:rsidRPr="00E8358C">
        <w:t>i</w:t>
      </w:r>
      <w:r w:rsidRPr="00E8358C">
        <w:t xml:space="preserve">moine du Québec à Montréal, Multimondes, 2010, </w:t>
      </w:r>
      <w:r>
        <w:t>p</w:t>
      </w:r>
      <w:r w:rsidRPr="00E8358C">
        <w:t>p. 79-90.</w:t>
      </w:r>
    </w:p>
    <w:p w:rsidR="004C50DC" w:rsidRDefault="004C50DC" w:rsidP="004C50DC">
      <w:pPr>
        <w:spacing w:before="120" w:after="120"/>
        <w:jc w:val="both"/>
      </w:pPr>
      <w:r>
        <w:t>[476]</w:t>
      </w:r>
    </w:p>
    <w:p w:rsidR="004C50DC" w:rsidRPr="00E8358C" w:rsidRDefault="004C50DC" w:rsidP="004C50DC">
      <w:pPr>
        <w:spacing w:before="120" w:after="120"/>
        <w:jc w:val="both"/>
      </w:pPr>
      <w:r w:rsidRPr="00E8358C">
        <w:t xml:space="preserve">Fabian, Johannes, </w:t>
      </w:r>
      <w:r w:rsidRPr="00E8358C">
        <w:rPr>
          <w:i/>
        </w:rPr>
        <w:t xml:space="preserve">Le temps et les autres. Comment l’anthropologie construit son objet, </w:t>
      </w:r>
      <w:r w:rsidRPr="00E8358C">
        <w:t>Toulouse, Anacharsis, 2006.</w:t>
      </w:r>
    </w:p>
    <w:p w:rsidR="004C50DC" w:rsidRPr="00E8358C" w:rsidRDefault="004C50DC" w:rsidP="004C50DC">
      <w:pPr>
        <w:spacing w:before="120" w:after="120"/>
        <w:jc w:val="both"/>
      </w:pPr>
      <w:r w:rsidRPr="00E8358C">
        <w:t xml:space="preserve">Falconbridge, Alexander, </w:t>
      </w:r>
      <w:r w:rsidRPr="00E8358C">
        <w:rPr>
          <w:i/>
        </w:rPr>
        <w:t>An Account of the Slave Trade on the Coast of Africa</w:t>
      </w:r>
      <w:r w:rsidRPr="00E8358C">
        <w:t>, Londres, James Phillips, 1788.</w:t>
      </w:r>
    </w:p>
    <w:p w:rsidR="004C50DC" w:rsidRPr="00E8358C" w:rsidRDefault="004C50DC" w:rsidP="004C50DC">
      <w:pPr>
        <w:spacing w:before="120" w:after="120"/>
        <w:jc w:val="both"/>
      </w:pPr>
      <w:r w:rsidRPr="00BD1ABE">
        <w:t xml:space="preserve">Fanon, Frantz, </w:t>
      </w:r>
      <w:hyperlink r:id="rId121" w:history="1">
        <w:r w:rsidRPr="00BD1ABE">
          <w:rPr>
            <w:rStyle w:val="Lienhypertexte"/>
            <w:i/>
          </w:rPr>
          <w:t>Les Damnés de la terre</w:t>
        </w:r>
      </w:hyperlink>
      <w:r w:rsidRPr="00BD1ABE">
        <w:t>, Paris, Éditions Maspero, 1961.</w:t>
      </w:r>
    </w:p>
    <w:p w:rsidR="004C50DC" w:rsidRPr="00E8358C" w:rsidRDefault="004C50DC" w:rsidP="004C50DC">
      <w:pPr>
        <w:spacing w:before="120" w:after="120"/>
        <w:jc w:val="both"/>
      </w:pPr>
      <w:r w:rsidRPr="00BD1ABE">
        <w:rPr>
          <w:iCs/>
        </w:rPr>
        <w:t xml:space="preserve">-------, </w:t>
      </w:r>
      <w:hyperlink r:id="rId122" w:history="1">
        <w:r w:rsidRPr="00BD1ABE">
          <w:rPr>
            <w:rStyle w:val="Lienhypertexte"/>
            <w:i/>
            <w:iCs/>
          </w:rPr>
          <w:t>Peau noire, masques blancs</w:t>
        </w:r>
      </w:hyperlink>
      <w:r w:rsidRPr="00BD1ABE">
        <w:t>, Paris, Seuil, 1952.</w:t>
      </w:r>
    </w:p>
    <w:p w:rsidR="004C50DC" w:rsidRPr="00E8358C" w:rsidRDefault="004C50DC" w:rsidP="004C50DC">
      <w:pPr>
        <w:spacing w:before="120" w:after="120"/>
        <w:jc w:val="both"/>
      </w:pPr>
      <w:r w:rsidRPr="00E8358C">
        <w:t xml:space="preserve">Fardin, Dieudonné et Hérard Jadotte, </w:t>
      </w:r>
      <w:r w:rsidRPr="00BD1ABE">
        <w:rPr>
          <w:i/>
        </w:rPr>
        <w:t>Cours d’histoire de la littér</w:t>
      </w:r>
      <w:r w:rsidRPr="00BD1ABE">
        <w:rPr>
          <w:i/>
        </w:rPr>
        <w:t>a</w:t>
      </w:r>
      <w:r w:rsidRPr="00BD1ABE">
        <w:rPr>
          <w:i/>
        </w:rPr>
        <w:t>ture haïtienne</w:t>
      </w:r>
      <w:r w:rsidRPr="00E8358C">
        <w:t>, vol. 1, Port-au-Prince, Fardin, 1968</w:t>
      </w:r>
      <w:r w:rsidRPr="00BD1ABE">
        <w:t>.</w:t>
      </w:r>
    </w:p>
    <w:p w:rsidR="004C50DC" w:rsidRPr="00E8358C" w:rsidRDefault="004C50DC" w:rsidP="004C50DC">
      <w:pPr>
        <w:spacing w:before="120" w:after="120"/>
        <w:jc w:val="both"/>
      </w:pPr>
      <w:r w:rsidRPr="00E8358C">
        <w:t xml:space="preserve">Fauvell-Aymar, François Xavier, </w:t>
      </w:r>
      <w:r w:rsidRPr="00BD1ABE">
        <w:rPr>
          <w:i/>
        </w:rPr>
        <w:t>La mémoire aux enchères. L’idéologie afrocentriste à l’assaut de l’histoire</w:t>
      </w:r>
      <w:r w:rsidRPr="00E8358C">
        <w:t>, Paris, Verdier, 2009.</w:t>
      </w:r>
    </w:p>
    <w:p w:rsidR="004C50DC" w:rsidRPr="00BD1ABE" w:rsidRDefault="004C50DC" w:rsidP="004C50DC">
      <w:pPr>
        <w:spacing w:before="120" w:after="120"/>
        <w:jc w:val="both"/>
      </w:pPr>
      <w:r w:rsidRPr="00BD1ABE">
        <w:t xml:space="preserve">Ferro, Marc, </w:t>
      </w:r>
      <w:r w:rsidRPr="00BD1ABE">
        <w:rPr>
          <w:i/>
        </w:rPr>
        <w:t>L’histoire sous surveillance</w:t>
      </w:r>
      <w:r w:rsidRPr="00BD1ABE">
        <w:t>, Paris, Calmann-Lévy, 1985.</w:t>
      </w:r>
    </w:p>
    <w:p w:rsidR="004C50DC" w:rsidRPr="00BD1ABE" w:rsidRDefault="004C50DC" w:rsidP="004C50DC">
      <w:pPr>
        <w:spacing w:before="120" w:after="120"/>
        <w:jc w:val="both"/>
      </w:pPr>
      <w:r w:rsidRPr="00E8358C">
        <w:t xml:space="preserve">Féry, Alibée, </w:t>
      </w:r>
      <w:r w:rsidRPr="00BD1ABE">
        <w:rPr>
          <w:i/>
        </w:rPr>
        <w:t>Essais littéraires</w:t>
      </w:r>
      <w:r w:rsidRPr="00E8358C">
        <w:t>, Port-au-Prince, Énélus Robin, 1876.</w:t>
      </w:r>
    </w:p>
    <w:p w:rsidR="004C50DC" w:rsidRPr="00E8358C" w:rsidRDefault="004C50DC" w:rsidP="004C50DC">
      <w:pPr>
        <w:spacing w:before="120" w:after="120"/>
        <w:jc w:val="both"/>
      </w:pPr>
      <w:r w:rsidRPr="00BD1ABE">
        <w:t xml:space="preserve">Fick, Carolyn E., </w:t>
      </w:r>
      <w:r w:rsidRPr="00BD1ABE">
        <w:rPr>
          <w:i/>
        </w:rPr>
        <w:t>Haïti, Naissance d’une nation. La Révolution de Saint-Domingue vue d’en bas</w:t>
      </w:r>
      <w:r w:rsidRPr="00BD1ABE">
        <w:t xml:space="preserve">, Montréal, CIDIHCA, 2014.   </w:t>
      </w:r>
    </w:p>
    <w:p w:rsidR="004C50DC" w:rsidRPr="00E8358C" w:rsidRDefault="004C50DC" w:rsidP="004C50DC">
      <w:pPr>
        <w:spacing w:before="120" w:after="120"/>
        <w:jc w:val="both"/>
      </w:pPr>
      <w:r w:rsidRPr="00E8358C">
        <w:t xml:space="preserve">Fignolé, Daniel, </w:t>
      </w:r>
      <w:r w:rsidRPr="00BD1ABE">
        <w:rPr>
          <w:i/>
        </w:rPr>
        <w:t>L’instruction publique en Haïti</w:t>
      </w:r>
      <w:r w:rsidRPr="00E8358C">
        <w:t>, Port-au-Prince, Le Réveil, 1945.</w:t>
      </w:r>
    </w:p>
    <w:p w:rsidR="004C50DC" w:rsidRPr="00BD1ABE" w:rsidRDefault="004C50DC" w:rsidP="004C50DC">
      <w:pPr>
        <w:spacing w:before="120" w:after="120"/>
        <w:jc w:val="both"/>
      </w:pPr>
      <w:r w:rsidRPr="00E8358C">
        <w:t xml:space="preserve">Fignolé, Jean-Claude, </w:t>
      </w:r>
      <w:r w:rsidRPr="00BD1ABE">
        <w:rPr>
          <w:i/>
        </w:rPr>
        <w:t>Aube tranquille</w:t>
      </w:r>
      <w:r w:rsidRPr="00E8358C">
        <w:t>,</w:t>
      </w:r>
      <w:r w:rsidRPr="00BD1ABE">
        <w:t xml:space="preserve"> Paris, Seuil, 1990.</w:t>
      </w:r>
    </w:p>
    <w:p w:rsidR="004C50DC" w:rsidRPr="00E8358C" w:rsidRDefault="004C50DC" w:rsidP="004C50DC">
      <w:pPr>
        <w:spacing w:before="120" w:after="120"/>
        <w:jc w:val="both"/>
        <w:rPr>
          <w:bCs/>
        </w:rPr>
      </w:pPr>
      <w:r w:rsidRPr="00E8358C">
        <w:t>Figueiredo, Euridice, « Répéter les clichés ? Représentations d’Haïti et du Brésil dans la littérature migrante du Québec », dans K</w:t>
      </w:r>
      <w:r w:rsidRPr="00E8358C">
        <w:t>a</w:t>
      </w:r>
      <w:r w:rsidRPr="00E8358C">
        <w:t xml:space="preserve">thleen Gyssels, Isabel Hoving et Maggie Ann Bowers, </w:t>
      </w:r>
      <w:r w:rsidRPr="00E8358C">
        <w:rPr>
          <w:i/>
        </w:rPr>
        <w:t>Convergences and Interfaces : Newness in Intercultural Practices</w:t>
      </w:r>
      <w:r w:rsidRPr="00E8358C">
        <w:t xml:space="preserve">… </w:t>
      </w:r>
      <w:r w:rsidRPr="00E8358C">
        <w:rPr>
          <w:i/>
        </w:rPr>
        <w:t>Écritures d’une ère/aire</w:t>
      </w:r>
      <w:r w:rsidRPr="00E8358C">
        <w:t>, Thamyris/Intersecting, n</w:t>
      </w:r>
      <w:r w:rsidRPr="00E8358C">
        <w:rPr>
          <w:vertAlign w:val="superscript"/>
        </w:rPr>
        <w:t>o</w:t>
      </w:r>
      <w:r w:rsidRPr="00E8358C">
        <w:t> 8, Amsterdam, Rodopi, 2001, p</w:t>
      </w:r>
      <w:r>
        <w:t>p</w:t>
      </w:r>
      <w:r w:rsidRPr="00E8358C">
        <w:t>. 223-234.</w:t>
      </w:r>
    </w:p>
    <w:p w:rsidR="004C50DC" w:rsidRPr="00E8358C" w:rsidRDefault="004C50DC" w:rsidP="004C50DC">
      <w:pPr>
        <w:spacing w:before="120" w:after="120"/>
        <w:jc w:val="both"/>
      </w:pPr>
      <w:r w:rsidRPr="00E8358C">
        <w:t xml:space="preserve">Finley, Moses I., </w:t>
      </w:r>
      <w:r w:rsidRPr="00E8358C">
        <w:rPr>
          <w:i/>
        </w:rPr>
        <w:t>Esclavage antique et idéologie moderne</w:t>
      </w:r>
      <w:r w:rsidRPr="00E8358C">
        <w:t>, Paris, Éditions de Minuit, 1981.</w:t>
      </w:r>
    </w:p>
    <w:p w:rsidR="004C50DC" w:rsidRPr="00BD1ABE" w:rsidRDefault="004C50DC" w:rsidP="004C50DC">
      <w:pPr>
        <w:spacing w:before="120" w:after="120"/>
        <w:jc w:val="both"/>
      </w:pPr>
      <w:r w:rsidRPr="00E8358C">
        <w:t xml:space="preserve">Fischler, Claude, « Pensée magique et utopie dans la science. De l’incorporation à la diète méditerranéenne », </w:t>
      </w:r>
      <w:r w:rsidRPr="00E8358C">
        <w:rPr>
          <w:i/>
        </w:rPr>
        <w:t>Cahiers de l’Ocha</w:t>
      </w:r>
      <w:r w:rsidRPr="00E8358C">
        <w:t>, vol. 5, 1996, p. 1-17, en ligne,</w:t>
      </w:r>
      <w:r>
        <w:t xml:space="preserve"> </w:t>
      </w:r>
      <w:hyperlink r:id="rId123" w:history="1">
        <w:r w:rsidRPr="00BD1ABE">
          <w:t>https://hal.archives-ouvertes.fr/halshs.../document</w:t>
        </w:r>
      </w:hyperlink>
    </w:p>
    <w:p w:rsidR="004C50DC" w:rsidRPr="00E8358C" w:rsidRDefault="004C50DC" w:rsidP="004C50DC">
      <w:pPr>
        <w:spacing w:before="120" w:after="120"/>
        <w:jc w:val="both"/>
      </w:pPr>
      <w:r w:rsidRPr="00E8358C">
        <w:t>-------, « Alimentation, cuisine et identité : l’identification des al</w:t>
      </w:r>
      <w:r w:rsidRPr="00E8358C">
        <w:t>i</w:t>
      </w:r>
      <w:r w:rsidRPr="00E8358C">
        <w:t xml:space="preserve">ments et l’identité du mangeur », dans Pierre Centlivres et Jean-Louis Christinat (dir.), </w:t>
      </w:r>
      <w:r w:rsidRPr="00E8358C">
        <w:rPr>
          <w:i/>
        </w:rPr>
        <w:t>Identité alimentaire et altérité culturelle</w:t>
      </w:r>
      <w:r w:rsidRPr="00E8358C">
        <w:t xml:space="preserve">, Neuchâtel, Institut d’ethnologie de l’Université de Neuchâtel, 1985, </w:t>
      </w:r>
      <w:r>
        <w:t>p</w:t>
      </w:r>
      <w:r w:rsidRPr="00E8358C">
        <w:t>p. 171-172.</w:t>
      </w:r>
    </w:p>
    <w:p w:rsidR="004C50DC" w:rsidRPr="00E8358C" w:rsidRDefault="004C50DC" w:rsidP="004C50DC">
      <w:pPr>
        <w:spacing w:before="120" w:after="120"/>
        <w:jc w:val="both"/>
      </w:pPr>
      <w:r w:rsidRPr="00E8358C">
        <w:t xml:space="preserve">Flandrin, Antoine, « Cinq choses à savoir sur le Mémorial ACTe, en Guadeloupe », </w:t>
      </w:r>
      <w:r w:rsidRPr="00E8358C">
        <w:rPr>
          <w:i/>
        </w:rPr>
        <w:t>Le Monde-Afrique</w:t>
      </w:r>
      <w:r w:rsidRPr="00E8358C">
        <w:t xml:space="preserve">, 10 mai 2015, en ligne, </w:t>
      </w:r>
      <w:hyperlink r:id="rId124" w:anchor="X 4cj14QMiFH8r1oK.99" w:history="1">
        <w:r w:rsidRPr="00E8358C">
          <w:rPr>
            <w:rStyle w:val="Lienhypertexte"/>
          </w:rPr>
          <w:t>http://www.lemonde.fr/afrique/article/2015/05/10/cinq-choses-a-savoir-sur-le-memorial-acte-enguadeloupe_4630682_3212.html#X 4cj14QMiFH8r1oK.99</w:t>
        </w:r>
      </w:hyperlink>
    </w:p>
    <w:p w:rsidR="004C50DC" w:rsidRPr="00E8358C" w:rsidRDefault="004C50DC" w:rsidP="004C50DC">
      <w:pPr>
        <w:spacing w:before="120" w:after="120"/>
        <w:jc w:val="both"/>
      </w:pPr>
      <w:r w:rsidRPr="00E8358C">
        <w:t xml:space="preserve">Fleurimond, Wiener Kerns, </w:t>
      </w:r>
      <w:r w:rsidRPr="00E8358C">
        <w:rPr>
          <w:i/>
        </w:rPr>
        <w:t>Haïti, de la crise à l’occupation. Hi</w:t>
      </w:r>
      <w:r w:rsidRPr="00E8358C">
        <w:rPr>
          <w:i/>
        </w:rPr>
        <w:t>s</w:t>
      </w:r>
      <w:r w:rsidRPr="00E8358C">
        <w:rPr>
          <w:i/>
        </w:rPr>
        <w:t>toire d’un chaos (2000-2004) - Tome I : La chute d’Aristide</w:t>
      </w:r>
      <w:r w:rsidRPr="00E8358C">
        <w:t>, Paris, L’Harmattan, 2009.</w:t>
      </w:r>
    </w:p>
    <w:p w:rsidR="004C50DC" w:rsidRPr="00E8358C" w:rsidRDefault="004C50DC" w:rsidP="004C50DC">
      <w:pPr>
        <w:spacing w:before="120" w:after="120"/>
        <w:jc w:val="both"/>
      </w:pPr>
      <w:r w:rsidRPr="00E8358C">
        <w:t xml:space="preserve">Florence, Maurice, article « Foucault », dans Denis Huisman (dir.), </w:t>
      </w:r>
      <w:r w:rsidRPr="00E8358C">
        <w:rPr>
          <w:i/>
        </w:rPr>
        <w:t>Dictionnaire des philosophes</w:t>
      </w:r>
      <w:r w:rsidRPr="00E8358C">
        <w:t>, Tome I, Paris, PUF, 1993, p. 1022.</w:t>
      </w:r>
    </w:p>
    <w:p w:rsidR="004C50DC" w:rsidRPr="00E8358C" w:rsidRDefault="004C50DC" w:rsidP="004C50DC">
      <w:pPr>
        <w:spacing w:before="120" w:after="120"/>
        <w:jc w:val="both"/>
      </w:pPr>
      <w:r w:rsidRPr="00E8358C">
        <w:t xml:space="preserve">Foucault, Michel, </w:t>
      </w:r>
      <w:hyperlink r:id="rId125" w:history="1">
        <w:r w:rsidRPr="00806198">
          <w:rPr>
            <w:rStyle w:val="Lienhypertexte"/>
            <w:i/>
          </w:rPr>
          <w:t>Il faut défendre la société. Cours du 28 janvier 1976</w:t>
        </w:r>
      </w:hyperlink>
      <w:r w:rsidRPr="00E8358C">
        <w:t>, Paris, Gallimard, Seuil, 1997.</w:t>
      </w:r>
    </w:p>
    <w:p w:rsidR="004C50DC" w:rsidRPr="00E8358C" w:rsidRDefault="004C50DC" w:rsidP="004C50DC">
      <w:pPr>
        <w:spacing w:before="120" w:after="120"/>
        <w:jc w:val="both"/>
      </w:pPr>
      <w:r w:rsidRPr="00E8358C">
        <w:t>-------</w:t>
      </w:r>
      <w:r w:rsidRPr="00E8358C">
        <w:rPr>
          <w:lang w:eastAsia="en-CA"/>
        </w:rPr>
        <w:t xml:space="preserve">, </w:t>
      </w:r>
      <w:r w:rsidRPr="00E8358C">
        <w:rPr>
          <w:i/>
          <w:lang w:eastAsia="en-CA"/>
        </w:rPr>
        <w:t>Dits et écrits</w:t>
      </w:r>
      <w:r w:rsidRPr="00E8358C">
        <w:rPr>
          <w:lang w:eastAsia="en-CA"/>
        </w:rPr>
        <w:t>, tome III, Gallimard, Paris, 1994.</w:t>
      </w:r>
    </w:p>
    <w:p w:rsidR="004C50DC" w:rsidRPr="00806198" w:rsidRDefault="004C50DC" w:rsidP="004C50DC">
      <w:pPr>
        <w:spacing w:before="120" w:after="120"/>
        <w:jc w:val="both"/>
      </w:pPr>
      <w:r w:rsidRPr="00806198">
        <w:t xml:space="preserve">-------, </w:t>
      </w:r>
      <w:hyperlink r:id="rId126" w:history="1">
        <w:r w:rsidRPr="00806198">
          <w:rPr>
            <w:rStyle w:val="Lienhypertexte"/>
            <w:rFonts w:cs="Trebuchet MS"/>
            <w:i/>
            <w:iCs/>
            <w:szCs w:val="14"/>
          </w:rPr>
          <w:t>Le sujet et le pouvoir</w:t>
        </w:r>
        <w:r w:rsidRPr="00806198">
          <w:rPr>
            <w:rStyle w:val="Lienhypertexte"/>
            <w:rFonts w:cs="Trebuchet MS"/>
            <w:szCs w:val="14"/>
          </w:rPr>
          <w:t xml:space="preserve">. </w:t>
        </w:r>
        <w:r w:rsidRPr="00806198">
          <w:rPr>
            <w:rStyle w:val="Lienhypertexte"/>
            <w:rFonts w:cs="Trebuchet MS"/>
            <w:i/>
            <w:szCs w:val="14"/>
          </w:rPr>
          <w:t>Dits et écrits</w:t>
        </w:r>
        <w:r w:rsidRPr="00806198">
          <w:rPr>
            <w:rStyle w:val="Lienhypertexte"/>
            <w:rFonts w:cs="Trebuchet MS"/>
            <w:szCs w:val="14"/>
          </w:rPr>
          <w:t>, IV</w:t>
        </w:r>
      </w:hyperlink>
      <w:r w:rsidRPr="00806198">
        <w:rPr>
          <w:rStyle w:val="A1"/>
        </w:rPr>
        <w:t>, Paris, Gallimard, 1982.</w:t>
      </w:r>
    </w:p>
    <w:p w:rsidR="004C50DC" w:rsidRPr="00E8358C" w:rsidRDefault="004C50DC" w:rsidP="004C50DC">
      <w:pPr>
        <w:spacing w:before="120" w:after="120"/>
        <w:jc w:val="both"/>
      </w:pPr>
      <w:r w:rsidRPr="00E8358C">
        <w:t xml:space="preserve">-------, </w:t>
      </w:r>
      <w:hyperlink r:id="rId127" w:history="1">
        <w:r w:rsidRPr="00806198">
          <w:rPr>
            <w:rStyle w:val="Lienhypertexte"/>
            <w:i/>
          </w:rPr>
          <w:t>Surveiller et punir. Naissance de la prison</w:t>
        </w:r>
      </w:hyperlink>
      <w:r w:rsidRPr="00E8358C">
        <w:t>, Paris, Gall</w:t>
      </w:r>
      <w:r w:rsidRPr="00E8358C">
        <w:t>i</w:t>
      </w:r>
      <w:r w:rsidRPr="00E8358C">
        <w:t>mard, 1975.</w:t>
      </w:r>
    </w:p>
    <w:p w:rsidR="004C50DC" w:rsidRPr="00E8358C" w:rsidRDefault="004C50DC" w:rsidP="004C50DC">
      <w:pPr>
        <w:spacing w:before="120" w:after="120"/>
        <w:jc w:val="both"/>
        <w:rPr>
          <w:rFonts w:eastAsia="Calibri"/>
          <w:lang w:eastAsia="en-CA"/>
        </w:rPr>
      </w:pPr>
      <w:r w:rsidRPr="00E8358C">
        <w:rPr>
          <w:rFonts w:eastAsia="Calibri"/>
          <w:lang w:eastAsia="en-CA"/>
        </w:rPr>
        <w:t xml:space="preserve">-------, </w:t>
      </w:r>
      <w:r w:rsidRPr="00E8358C">
        <w:rPr>
          <w:rFonts w:eastAsia="Calibri"/>
          <w:i/>
          <w:iCs/>
          <w:lang w:eastAsia="en-CA"/>
        </w:rPr>
        <w:t>L’ordre du discours</w:t>
      </w:r>
      <w:r w:rsidRPr="00E8358C">
        <w:rPr>
          <w:rFonts w:eastAsia="Calibri"/>
          <w:lang w:eastAsia="en-CA"/>
        </w:rPr>
        <w:t>, Paris, Gallimard, 1971.</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Les mots et les choses</w:t>
      </w:r>
      <w:r w:rsidRPr="00E8358C">
        <w:t>, Paris, Gallimard, 1966.</w:t>
      </w:r>
    </w:p>
    <w:p w:rsidR="004C50DC" w:rsidRPr="00E8358C" w:rsidRDefault="004C50DC" w:rsidP="004C50DC">
      <w:pPr>
        <w:spacing w:before="120" w:after="120"/>
        <w:jc w:val="both"/>
      </w:pPr>
      <w:r w:rsidRPr="00E8358C">
        <w:t xml:space="preserve">Fouchard, Jean, </w:t>
      </w:r>
      <w:r w:rsidRPr="00E8358C">
        <w:rPr>
          <w:i/>
        </w:rPr>
        <w:t>Les marrons de la liberté</w:t>
      </w:r>
      <w:r w:rsidRPr="00E8358C">
        <w:t>, Port-au-Prince, Henri Deschamps, 1988.</w:t>
      </w:r>
    </w:p>
    <w:p w:rsidR="004C50DC" w:rsidRDefault="004C50DC" w:rsidP="004C50DC">
      <w:pPr>
        <w:spacing w:before="120" w:after="120"/>
        <w:jc w:val="both"/>
        <w:rPr>
          <w:rFonts w:eastAsia="Calibri"/>
          <w:lang w:eastAsia="en-CA"/>
        </w:rPr>
      </w:pPr>
      <w:r>
        <w:rPr>
          <w:rFonts w:eastAsia="Calibri"/>
          <w:lang w:eastAsia="en-CA"/>
        </w:rPr>
        <w:t>[477]</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Les marrons du syllabaire</w:t>
      </w:r>
      <w:r w:rsidRPr="00E8358C">
        <w:t>, Port-au-Prince, Henri De</w:t>
      </w:r>
      <w:r w:rsidRPr="00E8358C">
        <w:t>s</w:t>
      </w:r>
      <w:r w:rsidRPr="00E8358C">
        <w:t>champs, 1988.</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Regards sur l’histoire</w:t>
      </w:r>
      <w:r w:rsidRPr="00E8358C">
        <w:t>, Port-au-Prince, Henri Deschamps, 1988.</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Langue et littérature des Aborigènes d’Ayiti</w:t>
      </w:r>
      <w:r w:rsidRPr="00E8358C">
        <w:t>, Paris, L’École, 1972.</w:t>
      </w:r>
    </w:p>
    <w:p w:rsidR="004C50DC" w:rsidRPr="00E8358C" w:rsidRDefault="004C50DC" w:rsidP="004C50DC">
      <w:pPr>
        <w:spacing w:before="120" w:after="120"/>
        <w:jc w:val="both"/>
        <w:rPr>
          <w:rFonts w:eastAsia="Calibri"/>
        </w:rPr>
      </w:pPr>
      <w:r w:rsidRPr="00E8358C">
        <w:rPr>
          <w:rFonts w:eastAsia="Calibri"/>
        </w:rPr>
        <w:t xml:space="preserve">Fourcade, Marie-Blanche (dir.), </w:t>
      </w:r>
      <w:r w:rsidRPr="00E8358C">
        <w:rPr>
          <w:i/>
        </w:rPr>
        <w:t>Patrimoine et patrimonialisation. Entre le matériel et l’immatériel,</w:t>
      </w:r>
      <w:r w:rsidRPr="00E8358C">
        <w:t xml:space="preserve"> Québec, Presses de l’Université L</w:t>
      </w:r>
      <w:r w:rsidRPr="00E8358C">
        <w:t>a</w:t>
      </w:r>
      <w:r w:rsidRPr="00E8358C">
        <w:t>val</w:t>
      </w:r>
      <w:r w:rsidRPr="00E8358C">
        <w:rPr>
          <w:rFonts w:eastAsia="Calibri"/>
        </w:rPr>
        <w:t>, 2007.</w:t>
      </w:r>
    </w:p>
    <w:p w:rsidR="004C50DC" w:rsidRPr="00E8358C" w:rsidRDefault="004C50DC" w:rsidP="004C50DC">
      <w:pPr>
        <w:spacing w:before="120" w:after="120"/>
        <w:jc w:val="both"/>
      </w:pPr>
      <w:r w:rsidRPr="00E8358C">
        <w:t xml:space="preserve">François, Pierre-Enocque, </w:t>
      </w:r>
      <w:r w:rsidRPr="00E8358C">
        <w:rPr>
          <w:i/>
        </w:rPr>
        <w:t>Politique éducative et inégalités des chances scolaires en Haïti</w:t>
      </w:r>
      <w:r w:rsidRPr="00E8358C">
        <w:t>, Port-au-Prince, Université d’État d’Haïti, 2010.</w:t>
      </w:r>
    </w:p>
    <w:p w:rsidR="004C50DC" w:rsidRPr="00E8358C" w:rsidRDefault="004C50DC" w:rsidP="004C50DC">
      <w:pPr>
        <w:spacing w:before="120" w:after="120"/>
        <w:jc w:val="both"/>
      </w:pPr>
      <w:r w:rsidRPr="00E8358C">
        <w:t xml:space="preserve">Freud, Sigmund, « Deuil et mélancolie », dans </w:t>
      </w:r>
      <w:r w:rsidRPr="00E8358C">
        <w:rPr>
          <w:i/>
        </w:rPr>
        <w:t>Métapsychologie</w:t>
      </w:r>
      <w:r w:rsidRPr="00E8358C">
        <w:t>, Paris, Gallimard, 1995.</w:t>
      </w:r>
    </w:p>
    <w:p w:rsidR="004C50DC" w:rsidRPr="00E8358C" w:rsidRDefault="004C50DC" w:rsidP="004C50DC">
      <w:pPr>
        <w:spacing w:before="120" w:after="120"/>
        <w:jc w:val="both"/>
      </w:pPr>
      <w:r w:rsidRPr="00E8358C">
        <w:t xml:space="preserve">Gaillard, Roger, </w:t>
      </w:r>
      <w:r w:rsidRPr="00E8358C">
        <w:rPr>
          <w:i/>
        </w:rPr>
        <w:t>Les Blancs débarquent- La République autorita</w:t>
      </w:r>
      <w:r w:rsidRPr="00E8358C">
        <w:rPr>
          <w:i/>
        </w:rPr>
        <w:t>i</w:t>
      </w:r>
      <w:r w:rsidRPr="00E8358C">
        <w:rPr>
          <w:i/>
        </w:rPr>
        <w:t>re</w:t>
      </w:r>
      <w:r w:rsidRPr="00E8358C">
        <w:t>, Port-au-Prince, Le Natal, 1981.</w:t>
      </w:r>
    </w:p>
    <w:p w:rsidR="004C50DC" w:rsidRPr="00E8358C" w:rsidRDefault="004C50DC" w:rsidP="004C50DC">
      <w:pPr>
        <w:spacing w:before="120" w:after="120"/>
        <w:jc w:val="both"/>
        <w:rPr>
          <w:lang w:eastAsia="en-CA"/>
        </w:rPr>
      </w:pPr>
      <w:r w:rsidRPr="00E8358C">
        <w:rPr>
          <w:lang w:eastAsia="en-CA"/>
        </w:rPr>
        <w:t xml:space="preserve">Gallo, Max, </w:t>
      </w:r>
      <w:r w:rsidRPr="00E8358C">
        <w:rPr>
          <w:i/>
          <w:lang w:eastAsia="en-CA"/>
        </w:rPr>
        <w:t>Fier d’être français</w:t>
      </w:r>
      <w:r w:rsidRPr="00E8358C">
        <w:rPr>
          <w:lang w:eastAsia="en-CA"/>
        </w:rPr>
        <w:t>, Paris, Fayard, 2006.</w:t>
      </w:r>
    </w:p>
    <w:p w:rsidR="004C50DC" w:rsidRPr="00E8358C" w:rsidRDefault="004C50DC" w:rsidP="004C50DC">
      <w:pPr>
        <w:spacing w:before="120" w:after="120"/>
        <w:jc w:val="both"/>
      </w:pPr>
      <w:r w:rsidRPr="00E8358C">
        <w:t xml:space="preserve">Gardère-Frisch, Michelle, « Introduction »,  </w:t>
      </w:r>
      <w:r w:rsidRPr="00E8358C">
        <w:rPr>
          <w:i/>
        </w:rPr>
        <w:t>Chimen libète. Le chemin de la liberté, 20 septembre 2012-20 octobre 2012</w:t>
      </w:r>
      <w:r w:rsidRPr="00E8358C">
        <w:t>, Catalogue d’exposition, Musée du panthéon national haïtien (MUPANAH), Port-au-Prince, Henri Deschamps, 2012.</w:t>
      </w:r>
    </w:p>
    <w:p w:rsidR="004C50DC" w:rsidRPr="00E8358C" w:rsidRDefault="004C50DC" w:rsidP="004C50DC">
      <w:pPr>
        <w:spacing w:before="120" w:after="120"/>
        <w:jc w:val="both"/>
      </w:pPr>
      <w:r w:rsidRPr="00E8358C">
        <w:t xml:space="preserve">Garsney, Peter, </w:t>
      </w:r>
      <w:r w:rsidRPr="00E8358C">
        <w:rPr>
          <w:i/>
        </w:rPr>
        <w:t>Conceptions de l’esclavage. D’Aristote à saint A</w:t>
      </w:r>
      <w:r w:rsidRPr="00E8358C">
        <w:rPr>
          <w:i/>
        </w:rPr>
        <w:t>u</w:t>
      </w:r>
      <w:r w:rsidRPr="00E8358C">
        <w:rPr>
          <w:i/>
        </w:rPr>
        <w:t>gustin,</w:t>
      </w:r>
      <w:r w:rsidRPr="00E8358C">
        <w:t xml:space="preserve"> Paris, Les Belles Lettres, 2004.</w:t>
      </w:r>
    </w:p>
    <w:p w:rsidR="004C50DC" w:rsidRPr="00E8358C" w:rsidRDefault="004C50DC" w:rsidP="004C50DC">
      <w:pPr>
        <w:spacing w:before="120" w:after="120"/>
        <w:jc w:val="both"/>
      </w:pPr>
      <w:r w:rsidRPr="00E8358C">
        <w:t xml:space="preserve">Gaspard, Françoise, « Multiculturalisme et identités », </w:t>
      </w:r>
      <w:r w:rsidRPr="00E8358C">
        <w:rPr>
          <w:i/>
        </w:rPr>
        <w:t>Recherche sociale</w:t>
      </w:r>
      <w:r w:rsidRPr="00E8358C">
        <w:t>, n</w:t>
      </w:r>
      <w:r w:rsidRPr="00E8358C">
        <w:rPr>
          <w:vertAlign w:val="superscript"/>
        </w:rPr>
        <w:t>o</w:t>
      </w:r>
      <w:r w:rsidRPr="00E8358C">
        <w:t> 147, 1998, p</w:t>
      </w:r>
      <w:r>
        <w:t>p</w:t>
      </w:r>
      <w:r w:rsidRPr="00E8358C">
        <w:t>. 59-64.</w:t>
      </w:r>
    </w:p>
    <w:p w:rsidR="004C50DC" w:rsidRPr="00E8358C" w:rsidRDefault="004C50DC" w:rsidP="004C50DC">
      <w:pPr>
        <w:spacing w:before="120" w:after="120"/>
        <w:jc w:val="both"/>
      </w:pPr>
      <w:r w:rsidRPr="00E8358C">
        <w:t xml:space="preserve">Geggus, David-Patrick, </w:t>
      </w:r>
      <w:r w:rsidRPr="00E8358C">
        <w:rPr>
          <w:i/>
        </w:rPr>
        <w:t>Slavery, War and Revolution: The British Occupation of Saint-Domingue (1793-1798),</w:t>
      </w:r>
      <w:r w:rsidRPr="00E8358C">
        <w:t xml:space="preserve"> New York, Clarendon Press, 1982.</w:t>
      </w:r>
    </w:p>
    <w:p w:rsidR="004C50DC" w:rsidRPr="00E8358C" w:rsidRDefault="004C50DC" w:rsidP="004C50DC">
      <w:pPr>
        <w:spacing w:before="120" w:after="120"/>
        <w:jc w:val="both"/>
      </w:pPr>
      <w:r w:rsidRPr="00BD1ABE">
        <w:t>-------, « </w:t>
      </w:r>
      <w:r w:rsidRPr="00BD1ABE">
        <w:rPr>
          <w:iCs/>
        </w:rPr>
        <w:t>Les</w:t>
      </w:r>
      <w:r w:rsidRPr="00BD1ABE">
        <w:t xml:space="preserve"> esclaves de la plaine du Nord à la veille de la Révol</w:t>
      </w:r>
      <w:r w:rsidRPr="00BD1ABE">
        <w:t>u</w:t>
      </w:r>
      <w:r w:rsidRPr="00BD1ABE">
        <w:t xml:space="preserve">tion française », </w:t>
      </w:r>
      <w:r w:rsidRPr="00BD1ABE">
        <w:rPr>
          <w:i/>
        </w:rPr>
        <w:t>Revue de la Société haïtienne d’histoire et de gé</w:t>
      </w:r>
      <w:r w:rsidRPr="00BD1ABE">
        <w:rPr>
          <w:i/>
        </w:rPr>
        <w:t>o</w:t>
      </w:r>
      <w:r w:rsidRPr="00BD1ABE">
        <w:rPr>
          <w:i/>
        </w:rPr>
        <w:t>graphie</w:t>
      </w:r>
      <w:r w:rsidRPr="00BD1ABE">
        <w:t>, no 135, 1982, pp. 85-107 ; no 136, 1982, pp. 5-32 ; no 144, 1984, pp. 15-44 ; no 149, 1985, pp. 16-52.</w:t>
      </w:r>
    </w:p>
    <w:p w:rsidR="004C50DC" w:rsidRPr="00E8358C" w:rsidRDefault="004C50DC" w:rsidP="004C50DC">
      <w:pPr>
        <w:spacing w:before="120" w:after="120"/>
        <w:jc w:val="both"/>
      </w:pPr>
      <w:r w:rsidRPr="00E8358C">
        <w:t xml:space="preserve">Gensburger, Sarah, « Les figures du juste et du résistant et l’évolution de la mémoire historique française de l’occupation », </w:t>
      </w:r>
      <w:r w:rsidRPr="00E8358C">
        <w:rPr>
          <w:i/>
        </w:rPr>
        <w:t>R</w:t>
      </w:r>
      <w:r w:rsidRPr="00E8358C">
        <w:rPr>
          <w:i/>
        </w:rPr>
        <w:t>e</w:t>
      </w:r>
      <w:r w:rsidRPr="00E8358C">
        <w:rPr>
          <w:i/>
        </w:rPr>
        <w:t>vue française de science politique</w:t>
      </w:r>
      <w:r w:rsidRPr="00E8358C">
        <w:t>, vol. 52, n</w:t>
      </w:r>
      <w:r w:rsidRPr="00E8358C">
        <w:rPr>
          <w:vertAlign w:val="superscript"/>
        </w:rPr>
        <w:t>os</w:t>
      </w:r>
      <w:r w:rsidRPr="00E8358C">
        <w:t> 2-3, 2002, p</w:t>
      </w:r>
      <w:r>
        <w:t>p</w:t>
      </w:r>
      <w:r w:rsidRPr="00E8358C">
        <w:t>. 291-322.</w:t>
      </w:r>
    </w:p>
    <w:p w:rsidR="004C50DC" w:rsidRPr="00E8358C" w:rsidRDefault="004C50DC" w:rsidP="004C50DC">
      <w:pPr>
        <w:spacing w:before="120" w:after="120"/>
        <w:jc w:val="both"/>
      </w:pPr>
      <w:r w:rsidRPr="00E8358C">
        <w:t xml:space="preserve">Georges, Jacques-Raphaël, </w:t>
      </w:r>
      <w:r w:rsidRPr="00E8358C">
        <w:rPr>
          <w:i/>
        </w:rPr>
        <w:t>Cacoïsme littéraire. La fonction du personnage américain dans le roman haïtien à partir de 1915</w:t>
      </w:r>
      <w:r w:rsidRPr="00E8358C">
        <w:t>, New York, Peter Lang Publishing Inc., 2004.</w:t>
      </w:r>
    </w:p>
    <w:p w:rsidR="004C50DC" w:rsidRPr="00E8358C" w:rsidRDefault="004C50DC" w:rsidP="004C50DC">
      <w:pPr>
        <w:spacing w:before="120" w:after="120"/>
        <w:jc w:val="both"/>
      </w:pPr>
      <w:r w:rsidRPr="00E8358C">
        <w:t xml:space="preserve">Géraud, Jean-François, « 1810-1880 : les contradictions du siècle du sucre », en ligne, </w:t>
      </w:r>
      <w:hyperlink r:id="rId128" w:history="1">
        <w:r w:rsidRPr="00E8358C">
          <w:rPr>
            <w:rStyle w:val="Lienhypertexte"/>
          </w:rPr>
          <w:t>http://tice2.univreunion.fr/webdocs/crlhoiocs/cresoi/document/article_1810_1880_les_contradictions_du_siecle_du_sucre/les_contradictions_du_siecle_du_sucre.pdf</w:t>
        </w:r>
      </w:hyperlink>
    </w:p>
    <w:p w:rsidR="004C50DC" w:rsidRPr="00E8358C" w:rsidRDefault="004C50DC" w:rsidP="004C50DC">
      <w:pPr>
        <w:spacing w:before="120" w:after="120"/>
        <w:jc w:val="both"/>
      </w:pPr>
      <w:r w:rsidRPr="00E8358C">
        <w:t xml:space="preserve">Ghasarian, Christian (dir.), </w:t>
      </w:r>
      <w:r w:rsidRPr="00E8358C">
        <w:rPr>
          <w:i/>
        </w:rPr>
        <w:t xml:space="preserve">De l’ethnographie à l’anthropologie réflexive. Nouveaux terrains, nouvelles pratiques, nouveaux enjeux, </w:t>
      </w:r>
      <w:r w:rsidRPr="00E8358C">
        <w:t>Paris, Armand Colin</w:t>
      </w:r>
      <w:r w:rsidRPr="00E8358C">
        <w:rPr>
          <w:i/>
        </w:rPr>
        <w:t>,</w:t>
      </w:r>
      <w:r w:rsidRPr="00E8358C">
        <w:t xml:space="preserve"> 2002.</w:t>
      </w:r>
    </w:p>
    <w:p w:rsidR="004C50DC" w:rsidRPr="00E8358C" w:rsidRDefault="004C50DC" w:rsidP="004C50DC">
      <w:pPr>
        <w:spacing w:before="120" w:after="120"/>
        <w:jc w:val="both"/>
      </w:pPr>
      <w:r w:rsidRPr="00E8358C">
        <w:t xml:space="preserve">Giard, Mathilde, </w:t>
      </w:r>
      <w:r w:rsidRPr="00E8358C">
        <w:rPr>
          <w:i/>
        </w:rPr>
        <w:t>L’esclavage de l’Antiquité à nos jours</w:t>
      </w:r>
      <w:r w:rsidRPr="00E8358C">
        <w:t>, Paris, Flammarion, 2013.</w:t>
      </w:r>
    </w:p>
    <w:p w:rsidR="004C50DC" w:rsidRPr="00BD1ABE" w:rsidRDefault="004C50DC" w:rsidP="004C50DC">
      <w:pPr>
        <w:spacing w:before="120" w:after="120"/>
        <w:jc w:val="both"/>
        <w:rPr>
          <w:rStyle w:val="SansinterligneCar"/>
        </w:rPr>
      </w:pPr>
      <w:r w:rsidRPr="00E8358C">
        <w:t xml:space="preserve">Gibbs, Carroll R., </w:t>
      </w:r>
      <w:r w:rsidRPr="00E8358C">
        <w:rPr>
          <w:i/>
        </w:rPr>
        <w:t>Black Explorers: 2300 B.C. to the Present</w:t>
      </w:r>
      <w:r w:rsidRPr="00E8358C">
        <w:t xml:space="preserve">, </w:t>
      </w:r>
      <w:r w:rsidRPr="00BD1ABE">
        <w:rPr>
          <w:rStyle w:val="SansinterligneCar"/>
        </w:rPr>
        <w:t>Silver Spring (MD), Three Dimensional Publishing, 2003.</w:t>
      </w:r>
    </w:p>
    <w:p w:rsidR="004C50DC" w:rsidRPr="00E8358C" w:rsidRDefault="004C50DC" w:rsidP="004C50DC">
      <w:pPr>
        <w:spacing w:before="120" w:after="120"/>
        <w:jc w:val="both"/>
        <w:rPr>
          <w:shd w:val="clear" w:color="auto" w:fill="FFFFFF"/>
        </w:rPr>
      </w:pPr>
      <w:r w:rsidRPr="00E8358C">
        <w:rPr>
          <w:rStyle w:val="SansinterligneCar"/>
        </w:rPr>
        <w:t xml:space="preserve">Girod de Chantrans, Justin, </w:t>
      </w:r>
      <w:r w:rsidRPr="00E8358C">
        <w:rPr>
          <w:rStyle w:val="SansinterligneCar"/>
          <w:i/>
        </w:rPr>
        <w:t>Voyage d’un Suisse dans différentes colonies d’Amérique</w:t>
      </w:r>
      <w:r w:rsidRPr="00E8358C">
        <w:rPr>
          <w:rStyle w:val="SansinterligneCar"/>
        </w:rPr>
        <w:t>, Paris, Tallandier, [1785] 1980</w:t>
      </w:r>
      <w:r w:rsidRPr="00E8358C">
        <w:t>.</w:t>
      </w:r>
    </w:p>
    <w:p w:rsidR="004C50DC" w:rsidRPr="00E8358C" w:rsidRDefault="004C50DC" w:rsidP="004C50DC">
      <w:pPr>
        <w:spacing w:before="120" w:after="120"/>
        <w:jc w:val="both"/>
      </w:pPr>
      <w:r w:rsidRPr="00E8358C">
        <w:t xml:space="preserve">Glissant, Édouard, </w:t>
      </w:r>
      <w:r w:rsidRPr="00E8358C">
        <w:rPr>
          <w:i/>
        </w:rPr>
        <w:t>Mémoires des esclavages. La fondation d’un centre national pour la mémoire des esclavages et de leurs abolitions</w:t>
      </w:r>
      <w:r w:rsidRPr="00E8358C">
        <w:t>, Paris, Gallimard, La Documentation française, 2007.</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Le Discours antillais</w:t>
      </w:r>
      <w:r w:rsidRPr="00E8358C">
        <w:t>, Paris, Seuil, 1981.</w:t>
      </w:r>
    </w:p>
    <w:p w:rsidR="004C50DC" w:rsidRPr="00E8358C" w:rsidRDefault="004C50DC" w:rsidP="004C50DC">
      <w:pPr>
        <w:spacing w:before="120" w:after="120"/>
        <w:jc w:val="both"/>
      </w:pPr>
      <w:r w:rsidRPr="00E8358C">
        <w:t>Gouraige, Ghislain</w:t>
      </w:r>
      <w:r w:rsidRPr="00E8358C">
        <w:rPr>
          <w:i/>
        </w:rPr>
        <w:t>, La Diaspora d’Haïti et l’Afrique</w:t>
      </w:r>
      <w:r w:rsidRPr="00E8358C">
        <w:t>, Sherbrooke, Éditions Naaman, 1974.</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Histoire de la littérature haïtienne, de l’indépendance à nos jours</w:t>
      </w:r>
      <w:r w:rsidRPr="00E8358C">
        <w:t>, Genève, Slatkine reprints, 2003 [1960].</w:t>
      </w:r>
    </w:p>
    <w:p w:rsidR="004C50DC" w:rsidRPr="00E8358C" w:rsidRDefault="004C50DC" w:rsidP="004C50DC">
      <w:pPr>
        <w:spacing w:before="120" w:after="120"/>
        <w:jc w:val="both"/>
        <w:rPr>
          <w:lang w:eastAsia="en-CA"/>
        </w:rPr>
      </w:pPr>
      <w:r w:rsidRPr="00E8358C">
        <w:rPr>
          <w:lang w:eastAsia="en-CA"/>
        </w:rPr>
        <w:t xml:space="preserve">Gravari-Barbas, Maria et Vincent Veschambre, </w:t>
      </w:r>
      <w:r w:rsidRPr="00E8358C">
        <w:t>« Patrimoine : de</w:t>
      </w:r>
      <w:r w:rsidRPr="00E8358C">
        <w:t>r</w:t>
      </w:r>
      <w:r w:rsidRPr="00E8358C">
        <w:t>rière l’idée de consensus, des enjeux d’appropriation de l’espace et des conflits », dans Patrice Melé, Corinne</w:t>
      </w:r>
      <w:r>
        <w:t xml:space="preserve"> [478]</w:t>
      </w:r>
      <w:r w:rsidRPr="00E8358C">
        <w:t xml:space="preserve"> Larrue et Muriel R</w:t>
      </w:r>
      <w:r w:rsidRPr="00E8358C">
        <w:t>o</w:t>
      </w:r>
      <w:r w:rsidRPr="00E8358C">
        <w:t xml:space="preserve">semberg (dir.), </w:t>
      </w:r>
      <w:r w:rsidRPr="00E8358C">
        <w:rPr>
          <w:i/>
        </w:rPr>
        <w:t xml:space="preserve">Conflits et territoires, </w:t>
      </w:r>
      <w:r w:rsidRPr="00E8358C">
        <w:t xml:space="preserve">Tours, Presses universitaires François Rabelais, collection Perspectives Villes et Territoires, </w:t>
      </w:r>
      <w:r w:rsidRPr="00E8358C">
        <w:rPr>
          <w:lang w:eastAsia="en-CA"/>
        </w:rPr>
        <w:t xml:space="preserve">2003, </w:t>
      </w:r>
      <w:r>
        <w:rPr>
          <w:lang w:eastAsia="en-CA"/>
        </w:rPr>
        <w:t>p</w:t>
      </w:r>
      <w:r w:rsidRPr="00E8358C">
        <w:rPr>
          <w:lang w:eastAsia="en-CA"/>
        </w:rPr>
        <w:t>p. 67-82.</w:t>
      </w:r>
    </w:p>
    <w:p w:rsidR="004C50DC" w:rsidRPr="00E8358C" w:rsidRDefault="004C50DC" w:rsidP="004C50DC">
      <w:pPr>
        <w:spacing w:before="120" w:after="120"/>
        <w:jc w:val="both"/>
      </w:pPr>
      <w:r w:rsidRPr="00E8358C">
        <w:t>Guillet, Bertrand, « Entre refoulement et reconnaissance, occult</w:t>
      </w:r>
      <w:r w:rsidRPr="00E8358C">
        <w:t>a</w:t>
      </w:r>
      <w:r w:rsidRPr="00E8358C">
        <w:t>tion et exposition, comment s’est constituée, durant le XX</w:t>
      </w:r>
      <w:r w:rsidRPr="00E8358C">
        <w:rPr>
          <w:vertAlign w:val="superscript"/>
        </w:rPr>
        <w:t>e</w:t>
      </w:r>
      <w:r w:rsidRPr="00E8358C">
        <w:t xml:space="preserve"> siècle, la collection sur la traite des Noirs au musée de Nantes », </w:t>
      </w:r>
      <w:r w:rsidRPr="00E8358C">
        <w:rPr>
          <w:i/>
        </w:rPr>
        <w:t>In Situ</w:t>
      </w:r>
      <w:r w:rsidRPr="00E8358C">
        <w:t>, n</w:t>
      </w:r>
      <w:r w:rsidRPr="00E8358C">
        <w:rPr>
          <w:vertAlign w:val="superscript"/>
        </w:rPr>
        <w:t>o</w:t>
      </w:r>
      <w:r w:rsidRPr="00E8358C">
        <w:t> 20, 2013, en ligne, http://insitu.revues.org/10137 ; DOI : 10.4000/ ins</w:t>
      </w:r>
      <w:r w:rsidRPr="00E8358C">
        <w:t>i</w:t>
      </w:r>
      <w:r w:rsidRPr="00E8358C">
        <w:t>tu.10137</w:t>
      </w:r>
    </w:p>
    <w:p w:rsidR="004C50DC" w:rsidRPr="00E8358C" w:rsidRDefault="004C50DC" w:rsidP="004C50DC">
      <w:pPr>
        <w:spacing w:before="120" w:after="120"/>
        <w:jc w:val="both"/>
      </w:pPr>
      <w:r w:rsidRPr="00E8358C">
        <w:t xml:space="preserve">Habermas, Jürgen, </w:t>
      </w:r>
      <w:r w:rsidRPr="00E8358C">
        <w:rPr>
          <w:i/>
        </w:rPr>
        <w:t>Idéalisations et communication. Agir commun</w:t>
      </w:r>
      <w:r w:rsidRPr="00E8358C">
        <w:rPr>
          <w:i/>
        </w:rPr>
        <w:t>i</w:t>
      </w:r>
      <w:r w:rsidRPr="00E8358C">
        <w:rPr>
          <w:i/>
        </w:rPr>
        <w:t>cationnel et usage de la raison,</w:t>
      </w:r>
      <w:r w:rsidRPr="00E8358C">
        <w:t xml:space="preserve"> Paris, Fayard, 2006.</w:t>
      </w:r>
    </w:p>
    <w:p w:rsidR="004C50DC" w:rsidRPr="00E8358C" w:rsidRDefault="004C50DC" w:rsidP="004C50DC">
      <w:pPr>
        <w:spacing w:before="120" w:after="120"/>
        <w:jc w:val="both"/>
        <w:rPr>
          <w:rFonts w:eastAsia="Calibri"/>
        </w:rPr>
      </w:pPr>
      <w:r w:rsidRPr="00E8358C">
        <w:rPr>
          <w:rFonts w:eastAsia="Calibri"/>
        </w:rPr>
        <w:t xml:space="preserve">Halbwachs, Maurice, </w:t>
      </w:r>
      <w:hyperlink r:id="rId129" w:history="1">
        <w:r w:rsidRPr="00806198">
          <w:rPr>
            <w:rStyle w:val="Lienhypertexte"/>
            <w:rFonts w:eastAsia="Calibri"/>
            <w:i/>
          </w:rPr>
          <w:t>La mémoire collective</w:t>
        </w:r>
      </w:hyperlink>
      <w:r w:rsidRPr="00E8358C">
        <w:rPr>
          <w:rFonts w:eastAsia="Calibri"/>
        </w:rPr>
        <w:t>, Paris, Albin Michel, 1997.</w:t>
      </w:r>
    </w:p>
    <w:p w:rsidR="004C50DC" w:rsidRPr="00E8358C" w:rsidRDefault="004C50DC" w:rsidP="004C50DC">
      <w:pPr>
        <w:spacing w:before="120" w:after="120"/>
        <w:jc w:val="both"/>
        <w:rPr>
          <w:rFonts w:eastAsia="Calibri"/>
        </w:rPr>
      </w:pPr>
      <w:r w:rsidRPr="00E8358C">
        <w:rPr>
          <w:rFonts w:eastAsia="Calibri"/>
        </w:rPr>
        <w:t>-------,</w:t>
      </w:r>
      <w:r w:rsidRPr="00E8358C">
        <w:rPr>
          <w:i/>
        </w:rPr>
        <w:t xml:space="preserve"> </w:t>
      </w:r>
      <w:hyperlink r:id="rId130" w:history="1">
        <w:r w:rsidRPr="00806198">
          <w:rPr>
            <w:rStyle w:val="Lienhypertexte"/>
            <w:i/>
          </w:rPr>
          <w:t>Les cadres sociaux de la mémoire</w:t>
        </w:r>
      </w:hyperlink>
      <w:r w:rsidRPr="00E8358C">
        <w:t>, Paris, Albin Michel, 1994</w:t>
      </w:r>
      <w:r w:rsidRPr="00E8358C">
        <w:rPr>
          <w:rFonts w:eastAsia="Calibri"/>
        </w:rPr>
        <w:t>.</w:t>
      </w:r>
    </w:p>
    <w:p w:rsidR="004C50DC" w:rsidRPr="00BD1ABE" w:rsidRDefault="004C50DC" w:rsidP="004C50DC">
      <w:pPr>
        <w:spacing w:before="120" w:after="120"/>
        <w:jc w:val="both"/>
      </w:pPr>
      <w:r w:rsidRPr="00BD1ABE">
        <w:t xml:space="preserve">Hall, Stuart, « The white of their eyes. Racist ideologies and the Media », </w:t>
      </w:r>
      <w:r w:rsidRPr="00BD1ABE">
        <w:rPr>
          <w:iCs/>
        </w:rPr>
        <w:t>dans Gail</w:t>
      </w:r>
      <w:r w:rsidRPr="00BD1ABE">
        <w:t xml:space="preserve">Dines et Jean Humez (dir.), </w:t>
      </w:r>
      <w:r w:rsidRPr="00BD1ABE">
        <w:rPr>
          <w:i/>
          <w:iCs/>
        </w:rPr>
        <w:t>Gender, race, and class in media. A text reader</w:t>
      </w:r>
      <w:r w:rsidRPr="00BD1ABE">
        <w:t>, Londres, Sage Publications, 1995, pp. 18-22.</w:t>
      </w:r>
    </w:p>
    <w:p w:rsidR="004C50DC" w:rsidRPr="00E8358C" w:rsidRDefault="004C50DC" w:rsidP="004C50DC">
      <w:pPr>
        <w:spacing w:before="120" w:after="120"/>
        <w:jc w:val="both"/>
        <w:rPr>
          <w:rFonts w:eastAsia="Calibri"/>
        </w:rPr>
      </w:pPr>
      <w:r w:rsidRPr="00E8358C">
        <w:t xml:space="preserve">Hartog, François, </w:t>
      </w:r>
      <w:r w:rsidRPr="00E8358C">
        <w:rPr>
          <w:i/>
        </w:rPr>
        <w:t xml:space="preserve">Régimes d’historicité. Présentisme et expérience du temps, </w:t>
      </w:r>
      <w:r w:rsidRPr="00E8358C">
        <w:t>Paris, Seuil, 2003.</w:t>
      </w:r>
    </w:p>
    <w:p w:rsidR="004C50DC" w:rsidRPr="00E8358C" w:rsidRDefault="004C50DC" w:rsidP="004C50DC">
      <w:pPr>
        <w:spacing w:before="120" w:after="120"/>
        <w:jc w:val="both"/>
        <w:rPr>
          <w:lang w:eastAsia="fr-CA"/>
        </w:rPr>
      </w:pPr>
      <w:r w:rsidRPr="00E8358C">
        <w:rPr>
          <w:lang w:eastAsia="fr-CA"/>
        </w:rPr>
        <w:t>Hebouche, Nadra, « </w:t>
      </w:r>
      <w:r w:rsidRPr="00E8358C">
        <w:rPr>
          <w:bCs/>
          <w:lang w:eastAsia="fr-CA"/>
        </w:rPr>
        <w:t xml:space="preserve">De Saint-Domingue à Haïti: une révolution à deux vitesses », </w:t>
      </w:r>
      <w:r w:rsidRPr="00E8358C">
        <w:rPr>
          <w:i/>
          <w:iCs/>
          <w:lang w:eastAsia="fr-CA"/>
        </w:rPr>
        <w:t xml:space="preserve">Romance notes, </w:t>
      </w:r>
      <w:r w:rsidRPr="00E8358C">
        <w:rPr>
          <w:lang w:eastAsia="fr-CA"/>
        </w:rPr>
        <w:t>vol. 48, n</w:t>
      </w:r>
      <w:r w:rsidRPr="00E8358C">
        <w:rPr>
          <w:vertAlign w:val="superscript"/>
          <w:lang w:eastAsia="fr-CA"/>
        </w:rPr>
        <w:t>o</w:t>
      </w:r>
      <w:r w:rsidRPr="00E8358C">
        <w:rPr>
          <w:lang w:eastAsia="fr-CA"/>
        </w:rPr>
        <w:t>. 3, 2008, p</w:t>
      </w:r>
      <w:r>
        <w:rPr>
          <w:lang w:eastAsia="fr-CA"/>
        </w:rPr>
        <w:t>p</w:t>
      </w:r>
      <w:r w:rsidRPr="00E8358C">
        <w:rPr>
          <w:lang w:eastAsia="fr-CA"/>
        </w:rPr>
        <w:t>. 299-311.</w:t>
      </w:r>
    </w:p>
    <w:p w:rsidR="004C50DC" w:rsidRPr="00E8358C" w:rsidRDefault="004C50DC" w:rsidP="004C50DC">
      <w:pPr>
        <w:spacing w:before="120" w:after="120"/>
        <w:jc w:val="both"/>
      </w:pPr>
      <w:r w:rsidRPr="00E8358C">
        <w:t xml:space="preserve">Hector, Michel, « Commémoration de la rencontre du Camp-Gérard. Camp-Gérard ou le couronnement de la marche vers l’unité pour l’indépendance », </w:t>
      </w:r>
      <w:r w:rsidRPr="00BD1ABE">
        <w:rPr>
          <w:i/>
        </w:rPr>
        <w:t>Le Matin</w:t>
      </w:r>
      <w:r w:rsidRPr="00BD1ABE">
        <w:t>,  mardi 18 juillet 2006</w:t>
      </w:r>
      <w:r w:rsidRPr="00E8358C">
        <w:t>.</w:t>
      </w:r>
    </w:p>
    <w:p w:rsidR="004C50DC" w:rsidRPr="00E8358C" w:rsidRDefault="004C50DC" w:rsidP="004C50DC">
      <w:pPr>
        <w:spacing w:before="120" w:after="120"/>
        <w:jc w:val="both"/>
      </w:pPr>
      <w:r w:rsidRPr="00E8358C">
        <w:t xml:space="preserve">-------, « Jacmel/Magloire Ambroise. Discours prononcé à l’occasion du deux centième anniversaire de la création à Jacmel du drapeau de la Grande Colombie (12 mars 1806-12 mars 2006) », </w:t>
      </w:r>
      <w:r w:rsidRPr="00E8358C">
        <w:rPr>
          <w:i/>
        </w:rPr>
        <w:t>Le Nouvelliste</w:t>
      </w:r>
      <w:r w:rsidRPr="00E8358C">
        <w:t>, 15 mars 2006.</w:t>
      </w:r>
    </w:p>
    <w:p w:rsidR="004C50DC" w:rsidRPr="00E8358C" w:rsidRDefault="004C50DC" w:rsidP="004C50DC">
      <w:pPr>
        <w:spacing w:before="120" w:after="120"/>
        <w:jc w:val="both"/>
      </w:pPr>
      <w:r w:rsidRPr="00E8358C">
        <w:rPr>
          <w:bdr w:val="none" w:sz="0" w:space="0" w:color="auto" w:frame="1"/>
        </w:rPr>
        <w:t xml:space="preserve">-------, « Universalité et actualité de 1804 », </w:t>
      </w:r>
      <w:r w:rsidRPr="00E8358C">
        <w:rPr>
          <w:i/>
          <w:bdr w:val="none" w:sz="0" w:space="0" w:color="auto" w:frame="1"/>
        </w:rPr>
        <w:t>Haïti : 1804-2004</w:t>
      </w:r>
      <w:r w:rsidRPr="00E8358C">
        <w:rPr>
          <w:bdr w:val="none" w:sz="0" w:space="0" w:color="auto" w:frame="1"/>
        </w:rPr>
        <w:t xml:space="preserve">, numéro thématique, </w:t>
      </w:r>
      <w:r w:rsidRPr="00E8358C">
        <w:rPr>
          <w:i/>
          <w:bdr w:val="none" w:sz="0" w:space="0" w:color="auto" w:frame="1"/>
        </w:rPr>
        <w:t>Conjonction,</w:t>
      </w:r>
      <w:r w:rsidRPr="00E8358C">
        <w:rPr>
          <w:bdr w:val="none" w:sz="0" w:space="0" w:color="auto" w:frame="1"/>
        </w:rPr>
        <w:t xml:space="preserve"> n</w:t>
      </w:r>
      <w:r w:rsidRPr="00E8358C">
        <w:rPr>
          <w:bdr w:val="none" w:sz="0" w:space="0" w:color="auto" w:frame="1"/>
          <w:vertAlign w:val="superscript"/>
        </w:rPr>
        <w:t>o</w:t>
      </w:r>
      <w:r w:rsidRPr="00E8358C">
        <w:rPr>
          <w:bdr w:val="none" w:sz="0" w:space="0" w:color="auto" w:frame="1"/>
        </w:rPr>
        <w:t> 211, 2005.</w:t>
      </w:r>
    </w:p>
    <w:p w:rsidR="004C50DC" w:rsidRPr="00E8358C" w:rsidRDefault="004C50DC" w:rsidP="004C50DC">
      <w:pPr>
        <w:spacing w:before="120" w:after="120"/>
        <w:jc w:val="both"/>
      </w:pPr>
      <w:r w:rsidRPr="00E8358C">
        <w:t xml:space="preserve">-------, </w:t>
      </w:r>
      <w:r w:rsidRPr="00E8358C">
        <w:rPr>
          <w:i/>
        </w:rPr>
        <w:t>Crises et mouvements populaires en Haïti</w:t>
      </w:r>
      <w:r w:rsidRPr="00E8358C">
        <w:t>, Montréal, CI</w:t>
      </w:r>
      <w:r w:rsidRPr="00E8358C">
        <w:t>D</w:t>
      </w:r>
      <w:r w:rsidRPr="00E8358C">
        <w:t>HICA, 2000.</w:t>
      </w:r>
    </w:p>
    <w:p w:rsidR="004C50DC" w:rsidRPr="00E8358C" w:rsidRDefault="004C50DC" w:rsidP="004C50DC">
      <w:pPr>
        <w:spacing w:before="120" w:after="120"/>
        <w:jc w:val="both"/>
      </w:pPr>
      <w:r w:rsidRPr="00E8358C">
        <w:t>-------, « Les traits d’un protonationalisme populaire », dans Laë</w:t>
      </w:r>
      <w:r w:rsidRPr="00E8358C">
        <w:t>n</w:t>
      </w:r>
      <w:r w:rsidRPr="00E8358C">
        <w:t xml:space="preserve">nec Hurbon (dir.), </w:t>
      </w:r>
      <w:hyperlink r:id="rId131" w:history="1">
        <w:r w:rsidRPr="00806198">
          <w:rPr>
            <w:rStyle w:val="Lienhypertexte"/>
            <w:i/>
          </w:rPr>
          <w:t>L’insurrection des esclaves de Saint-Domingue, 22-23 août 1791</w:t>
        </w:r>
      </w:hyperlink>
      <w:r w:rsidRPr="00E8358C">
        <w:t xml:space="preserve">, Paris, Karthala, 2000, </w:t>
      </w:r>
      <w:r>
        <w:t>p</w:t>
      </w:r>
      <w:r w:rsidRPr="00E8358C">
        <w:t>p. 171-183.</w:t>
      </w:r>
    </w:p>
    <w:p w:rsidR="004C50DC" w:rsidRPr="00E8358C" w:rsidRDefault="004C50DC" w:rsidP="004C50DC">
      <w:pPr>
        <w:spacing w:before="120" w:after="120"/>
        <w:jc w:val="both"/>
      </w:pPr>
      <w:r w:rsidRPr="00E8358C">
        <w:t xml:space="preserve">-------, « L’historiographie haïtienne après 1946 sur la révolution de Saint-Domingue », </w:t>
      </w:r>
      <w:r w:rsidRPr="00E8358C">
        <w:rPr>
          <w:i/>
        </w:rPr>
        <w:t>Annales historiques de la Révolution française</w:t>
      </w:r>
      <w:r w:rsidRPr="00E8358C">
        <w:t xml:space="preserve">, </w:t>
      </w:r>
      <w:r w:rsidRPr="00E8358C">
        <w:rPr>
          <w:i/>
        </w:rPr>
        <w:t>Révolutions aux colonies</w:t>
      </w:r>
      <w:r w:rsidRPr="00E8358C">
        <w:t>, n</w:t>
      </w:r>
      <w:r w:rsidRPr="00E8358C">
        <w:rPr>
          <w:vertAlign w:val="superscript"/>
        </w:rPr>
        <w:t>os</w:t>
      </w:r>
      <w:r w:rsidRPr="00E8358C">
        <w:t xml:space="preserve"> 293-294, 1993, en ligne </w:t>
      </w:r>
      <w:hyperlink r:id="rId132" w:history="1">
        <w:r w:rsidRPr="00E8358C">
          <w:rPr>
            <w:rStyle w:val="Lienhypertexte"/>
          </w:rPr>
          <w:t>http://www.persee.fr/web/revues/home/prescript/article/ahrf_00034436_ 1993_  num_ 293_1_3395</w:t>
        </w:r>
      </w:hyperlink>
    </w:p>
    <w:p w:rsidR="004C50DC" w:rsidRPr="00BD1ABE" w:rsidRDefault="004C50DC" w:rsidP="004C50DC">
      <w:pPr>
        <w:spacing w:before="120" w:after="120"/>
        <w:jc w:val="both"/>
      </w:pPr>
      <w:r w:rsidRPr="00E8358C">
        <w:t xml:space="preserve">Hector, Michel </w:t>
      </w:r>
      <w:r w:rsidRPr="00BD1ABE">
        <w:t xml:space="preserve">et Laënnec Hurbon (dir.), </w:t>
      </w:r>
      <w:r w:rsidRPr="00BD1ABE">
        <w:rPr>
          <w:i/>
          <w:iCs/>
        </w:rPr>
        <w:t xml:space="preserve">Genèse de l’État haïtien 1804-1859, </w:t>
      </w:r>
      <w:r w:rsidRPr="00BD1ABE">
        <w:t>Paris, Éditions de la Maison des Sciences de l’homme, 2009.</w:t>
      </w:r>
    </w:p>
    <w:p w:rsidR="004C50DC" w:rsidRPr="00E8358C" w:rsidRDefault="004C50DC" w:rsidP="004C50DC">
      <w:pPr>
        <w:spacing w:before="120" w:after="120"/>
        <w:jc w:val="both"/>
      </w:pPr>
      <w:r w:rsidRPr="00E8358C">
        <w:t xml:space="preserve">Hector, Michel et Claude Moïse, </w:t>
      </w:r>
      <w:r w:rsidRPr="00E8358C">
        <w:rPr>
          <w:i/>
          <w:iCs/>
        </w:rPr>
        <w:t>Colonisation et esclavage en Ha</w:t>
      </w:r>
      <w:r w:rsidRPr="00E8358C">
        <w:rPr>
          <w:i/>
          <w:iCs/>
        </w:rPr>
        <w:t>ï</w:t>
      </w:r>
      <w:r w:rsidRPr="00E8358C">
        <w:rPr>
          <w:i/>
          <w:iCs/>
        </w:rPr>
        <w:t xml:space="preserve">ti. Le régime colonial français à Saint-Domingue (1625-1789), </w:t>
      </w:r>
      <w:r w:rsidRPr="00E8358C">
        <w:t>Port-au-Prince, Henri Deschamps, 1990.</w:t>
      </w:r>
    </w:p>
    <w:p w:rsidR="004C50DC" w:rsidRPr="00E8358C" w:rsidRDefault="004C50DC" w:rsidP="004C50DC">
      <w:pPr>
        <w:spacing w:before="120" w:after="120"/>
        <w:jc w:val="both"/>
      </w:pPr>
      <w:r w:rsidRPr="00E8358C">
        <w:t>Hoffmann, Léon-François, « </w:t>
      </w:r>
      <w:hyperlink r:id="rId133" w:history="1">
        <w:r w:rsidRPr="00BD1ABE">
          <w:rPr>
            <w:rStyle w:val="Lienhypertexte"/>
          </w:rPr>
          <w:t>La langue française et le danger états-unien en Haïti </w:t>
        </w:r>
      </w:hyperlink>
      <w:r w:rsidRPr="00E8358C">
        <w:t xml:space="preserve">», dans Christiane Albert (dir.), </w:t>
      </w:r>
      <w:r w:rsidRPr="00E8358C">
        <w:rPr>
          <w:i/>
        </w:rPr>
        <w:t>Francophonie et ident</w:t>
      </w:r>
      <w:r w:rsidRPr="00E8358C">
        <w:rPr>
          <w:i/>
        </w:rPr>
        <w:t>i</w:t>
      </w:r>
      <w:r w:rsidRPr="00E8358C">
        <w:rPr>
          <w:i/>
        </w:rPr>
        <w:t>tés culturelles</w:t>
      </w:r>
      <w:r w:rsidRPr="00E8358C">
        <w:t>, Paris, Karthala, 1999, p</w:t>
      </w:r>
      <w:r>
        <w:t>p</w:t>
      </w:r>
      <w:r w:rsidRPr="00E8358C">
        <w:t>. 39-58.</w:t>
      </w:r>
    </w:p>
    <w:p w:rsidR="004C50DC" w:rsidRPr="00E8358C" w:rsidRDefault="004C50DC" w:rsidP="004C50DC">
      <w:pPr>
        <w:spacing w:before="120" w:after="120"/>
        <w:jc w:val="both"/>
      </w:pPr>
      <w:r w:rsidRPr="00E8358C">
        <w:t xml:space="preserve">-------, « Histoire, mythe et idéologie. Le serment du Bois-Caïman » dans Léon-François Hoffmann, </w:t>
      </w:r>
      <w:r w:rsidRPr="00E8358C">
        <w:rPr>
          <w:i/>
        </w:rPr>
        <w:t>Haïti. Lettres et l’être</w:t>
      </w:r>
      <w:r w:rsidRPr="00E8358C">
        <w:t>, T</w:t>
      </w:r>
      <w:r w:rsidRPr="00E8358C">
        <w:t>o</w:t>
      </w:r>
      <w:r w:rsidRPr="00E8358C">
        <w:t>ronto, GREF, 1992, p</w:t>
      </w:r>
      <w:r>
        <w:t>p</w:t>
      </w:r>
      <w:r w:rsidRPr="00E8358C">
        <w:t>. 267-301.</w:t>
      </w:r>
    </w:p>
    <w:p w:rsidR="004C50DC" w:rsidRPr="00E8358C" w:rsidRDefault="004C50DC" w:rsidP="004C50DC">
      <w:pPr>
        <w:spacing w:before="120" w:after="120"/>
      </w:pPr>
      <w:r w:rsidRPr="00E8358C">
        <w:t xml:space="preserve">-------, </w:t>
      </w:r>
      <w:r w:rsidRPr="00E8358C">
        <w:rPr>
          <w:i/>
        </w:rPr>
        <w:t>Haïti</w:t>
      </w:r>
      <w:hyperlink r:id="rId134" w:history="1">
        <w:r w:rsidRPr="00BD1ABE">
          <w:rPr>
            <w:rStyle w:val="Lienhypertexte"/>
            <w:i/>
          </w:rPr>
          <w:t>. Couleurs, croyances créole</w:t>
        </w:r>
      </w:hyperlink>
      <w:r w:rsidRPr="00E8358C">
        <w:t>, Port-au-Prince, Henri Deschamps, 1990.</w:t>
      </w:r>
    </w:p>
    <w:p w:rsidR="004C50DC" w:rsidRPr="00E8358C" w:rsidRDefault="004C50DC" w:rsidP="004C50DC">
      <w:pPr>
        <w:spacing w:before="120" w:after="120"/>
        <w:jc w:val="both"/>
      </w:pPr>
      <w:r w:rsidRPr="00E8358C">
        <w:t>-------, « </w:t>
      </w:r>
      <w:hyperlink r:id="rId135" w:history="1">
        <w:r w:rsidRPr="00BD1ABE">
          <w:rPr>
            <w:rStyle w:val="Lienhypertexte"/>
          </w:rPr>
          <w:t>Le Vodou sous la Colonie et pendant les Guerres de l’Indépendance </w:t>
        </w:r>
      </w:hyperlink>
      <w:r w:rsidRPr="00E8358C">
        <w:t xml:space="preserve">», </w:t>
      </w:r>
      <w:r w:rsidRPr="00E8358C">
        <w:rPr>
          <w:i/>
        </w:rPr>
        <w:t>Conjonction</w:t>
      </w:r>
      <w:r w:rsidRPr="00E8358C">
        <w:t>, n</w:t>
      </w:r>
      <w:r w:rsidRPr="00E8358C">
        <w:rPr>
          <w:vertAlign w:val="superscript"/>
        </w:rPr>
        <w:t>o</w:t>
      </w:r>
      <w:r w:rsidRPr="00E8358C">
        <w:t> 173, 1987, p</w:t>
      </w:r>
      <w:r>
        <w:t>p</w:t>
      </w:r>
      <w:r w:rsidRPr="00E8358C">
        <w:t>. 109-135.</w:t>
      </w:r>
    </w:p>
    <w:p w:rsidR="004C50DC" w:rsidRPr="00E8358C" w:rsidRDefault="004C50DC" w:rsidP="004C50DC">
      <w:pPr>
        <w:spacing w:before="120" w:after="120"/>
        <w:jc w:val="both"/>
      </w:pPr>
      <w:r w:rsidRPr="00E8358C">
        <w:t>-------, « </w:t>
      </w:r>
      <w:hyperlink r:id="rId136" w:history="1">
        <w:r w:rsidRPr="00BD1ABE">
          <w:rPr>
            <w:rStyle w:val="Lienhypertexte"/>
          </w:rPr>
          <w:t xml:space="preserve">Complexité linguistique et rhétorique dans </w:t>
        </w:r>
        <w:r w:rsidRPr="00BD1ABE">
          <w:rPr>
            <w:rStyle w:val="Lienhypertexte"/>
            <w:i/>
          </w:rPr>
          <w:t>Gouverneurs de la rosée</w:t>
        </w:r>
        <w:r w:rsidRPr="00BD1ABE">
          <w:rPr>
            <w:rStyle w:val="Lienhypertexte"/>
          </w:rPr>
          <w:t xml:space="preserve"> de Jacques [479] Roumain </w:t>
        </w:r>
      </w:hyperlink>
      <w:r w:rsidRPr="00E8358C">
        <w:t xml:space="preserve">», </w:t>
      </w:r>
      <w:r w:rsidRPr="00E8358C">
        <w:rPr>
          <w:i/>
        </w:rPr>
        <w:t>Présence africaine</w:t>
      </w:r>
      <w:r w:rsidRPr="00E8358C">
        <w:t>, n</w:t>
      </w:r>
      <w:r w:rsidRPr="00E8358C">
        <w:rPr>
          <w:vertAlign w:val="superscript"/>
        </w:rPr>
        <w:t>o</w:t>
      </w:r>
      <w:r w:rsidRPr="00E8358C">
        <w:t> 98, 1976, p</w:t>
      </w:r>
      <w:r>
        <w:t>p</w:t>
      </w:r>
      <w:r w:rsidRPr="00E8358C">
        <w:t xml:space="preserve">. 145-161, en ligne, </w:t>
      </w:r>
      <w:hyperlink r:id="rId137" w:anchor="_ftnref" w:history="1">
        <w:r w:rsidRPr="00E8358C">
          <w:rPr>
            <w:rStyle w:val="Lienhypertexte"/>
          </w:rPr>
          <w:t>http://classiques.uqac.ca/contemporains/hoffmann_leon_francois/complexite_ linguistique/complexite_linguistique_texte.html#_ftnref</w:t>
        </w:r>
      </w:hyperlink>
    </w:p>
    <w:p w:rsidR="004C50DC" w:rsidRPr="00E8358C" w:rsidRDefault="004C50DC" w:rsidP="004C50DC">
      <w:pPr>
        <w:spacing w:before="120" w:after="120"/>
        <w:jc w:val="both"/>
      </w:pPr>
      <w:r w:rsidRPr="00BD1ABE">
        <w:t xml:space="preserve">Hurbon, Laënnec, </w:t>
      </w:r>
      <w:r w:rsidRPr="00E8358C">
        <w:t xml:space="preserve">« Esclavage, mémoire et identité culturelle », dans Max Jean Zins et Marcel Dorigny (dir.), </w:t>
      </w:r>
      <w:r w:rsidRPr="00E8358C">
        <w:rPr>
          <w:i/>
        </w:rPr>
        <w:t>Les Traites</w:t>
      </w:r>
      <w:r>
        <w:rPr>
          <w:i/>
        </w:rPr>
        <w:t xml:space="preserve"> </w:t>
      </w:r>
      <w:r w:rsidRPr="00E8358C">
        <w:rPr>
          <w:i/>
        </w:rPr>
        <w:t>négrières coloniales. Histoire d’un crime</w:t>
      </w:r>
      <w:r w:rsidRPr="00E8358C">
        <w:t>, Paris,  Éditions du Cercle d’Art, 2009, p</w:t>
      </w:r>
      <w:r>
        <w:t>p</w:t>
      </w:r>
      <w:r w:rsidRPr="00E8358C">
        <w:t>. 192-201.</w:t>
      </w:r>
    </w:p>
    <w:p w:rsidR="004C50DC" w:rsidRPr="00E8358C" w:rsidRDefault="004C50DC" w:rsidP="004C50DC">
      <w:pPr>
        <w:spacing w:before="120" w:after="120"/>
        <w:jc w:val="both"/>
      </w:pPr>
      <w:r w:rsidRPr="00E8358C">
        <w:t>-------, « Esclavage, mémoire et religion (vodou et résistance cult</w:t>
      </w:r>
      <w:r w:rsidRPr="00E8358C">
        <w:t>u</w:t>
      </w:r>
      <w:r w:rsidRPr="00E8358C">
        <w:t xml:space="preserve">relle) », dans Yasmina Tippen Hauer (dir.), </w:t>
      </w:r>
      <w:r w:rsidRPr="00E8358C">
        <w:rPr>
          <w:i/>
        </w:rPr>
        <w:t>Amériques noires. R</w:t>
      </w:r>
      <w:r w:rsidRPr="00E8358C">
        <w:rPr>
          <w:i/>
        </w:rPr>
        <w:t>é</w:t>
      </w:r>
      <w:r w:rsidRPr="00E8358C">
        <w:rPr>
          <w:i/>
        </w:rPr>
        <w:t xml:space="preserve">flexions, </w:t>
      </w:r>
      <w:r w:rsidRPr="00E8358C">
        <w:t>Société Suisse des Américanistes/ Schweizerische Amerik</w:t>
      </w:r>
      <w:r w:rsidRPr="00E8358C">
        <w:t>a</w:t>
      </w:r>
      <w:r w:rsidRPr="00E8358C">
        <w:t>nisten-Gesellschaft, Bulletin hors-série, 2009.</w:t>
      </w:r>
    </w:p>
    <w:p w:rsidR="004C50DC" w:rsidRPr="00E8358C" w:rsidRDefault="004C50DC" w:rsidP="004C50DC">
      <w:pPr>
        <w:spacing w:before="120" w:after="120"/>
        <w:jc w:val="both"/>
      </w:pPr>
      <w:r w:rsidRPr="00E8358C">
        <w:t>-------, « </w:t>
      </w:r>
      <w:hyperlink r:id="rId138" w:history="1">
        <w:r w:rsidRPr="00CF6931">
          <w:rPr>
            <w:rStyle w:val="Lienhypertexte"/>
            <w:iCs/>
          </w:rPr>
          <w:t>La Révolution haïtienne : une avancée postcoloniale </w:t>
        </w:r>
      </w:hyperlink>
      <w:r w:rsidRPr="00E8358C">
        <w:rPr>
          <w:iCs/>
        </w:rPr>
        <w:t>»</w:t>
      </w:r>
      <w:r w:rsidRPr="00E8358C">
        <w:t xml:space="preserve">, </w:t>
      </w:r>
      <w:r w:rsidRPr="00E8358C">
        <w:rPr>
          <w:i/>
        </w:rPr>
        <w:t>Rue Descartes</w:t>
      </w:r>
      <w:r w:rsidRPr="00E8358C">
        <w:t>, vol. 4, n</w:t>
      </w:r>
      <w:r w:rsidRPr="00E8358C">
        <w:rPr>
          <w:vertAlign w:val="superscript"/>
        </w:rPr>
        <w:t>o</w:t>
      </w:r>
      <w:r w:rsidRPr="00E8358C">
        <w:t xml:space="preserve"> 58, 2007, </w:t>
      </w:r>
      <w:r>
        <w:t>p</w:t>
      </w:r>
      <w:r w:rsidRPr="00E8358C">
        <w:t>p. 56-66.</w:t>
      </w:r>
    </w:p>
    <w:p w:rsidR="004C50DC" w:rsidRPr="00E8358C" w:rsidRDefault="004C50DC" w:rsidP="004C50DC">
      <w:pPr>
        <w:spacing w:before="120" w:after="120"/>
        <w:jc w:val="both"/>
      </w:pPr>
      <w:r w:rsidRPr="00E8358C">
        <w:t xml:space="preserve">-------, « Globalization and the Evolution of Haitian Vodou », dans Jacob K. Olupona et Terry Rey (dir.), </w:t>
      </w:r>
      <w:r w:rsidRPr="00E8358C">
        <w:rPr>
          <w:bCs/>
          <w:i/>
        </w:rPr>
        <w:t>Òrìṣà Devotion as World Rel</w:t>
      </w:r>
      <w:r w:rsidRPr="00E8358C">
        <w:rPr>
          <w:bCs/>
          <w:i/>
        </w:rPr>
        <w:t>i</w:t>
      </w:r>
      <w:r w:rsidRPr="00E8358C">
        <w:rPr>
          <w:bCs/>
          <w:i/>
        </w:rPr>
        <w:t xml:space="preserve">gion : </w:t>
      </w:r>
      <w:r w:rsidRPr="00E8358C">
        <w:rPr>
          <w:i/>
        </w:rPr>
        <w:t>The Globalization of Yorùbá Religious Culture</w:t>
      </w:r>
      <w:r w:rsidRPr="00E8358C">
        <w:t>, Madison, WI, The University of Wisconsin Press, 2007, p</w:t>
      </w:r>
      <w:r>
        <w:t>p</w:t>
      </w:r>
      <w:r w:rsidRPr="00E8358C">
        <w:t>. 263-277.</w:t>
      </w:r>
    </w:p>
    <w:p w:rsidR="004C50DC" w:rsidRPr="00E8358C" w:rsidRDefault="004C50DC" w:rsidP="004C50DC">
      <w:pPr>
        <w:spacing w:before="120" w:after="120"/>
        <w:jc w:val="both"/>
      </w:pPr>
      <w:r w:rsidRPr="00E8358C">
        <w:t>-------, « La conjonction des imaginaires européens et africains a</w:t>
      </w:r>
      <w:r w:rsidRPr="00E8358C">
        <w:t>u</w:t>
      </w:r>
      <w:r w:rsidRPr="00E8358C">
        <w:t xml:space="preserve">tour du vodou », dans Jacques Hainard, Philippe Mathez et Olivier Schinz (dir.), </w:t>
      </w:r>
      <w:r w:rsidRPr="00E8358C">
        <w:rPr>
          <w:i/>
        </w:rPr>
        <w:t>Vodou</w:t>
      </w:r>
      <w:r w:rsidRPr="00E8358C">
        <w:t xml:space="preserve">, Genève, musée d’Ethnographie, 2007, </w:t>
      </w:r>
      <w:r>
        <w:t>p</w:t>
      </w:r>
      <w:r w:rsidRPr="00E8358C">
        <w:t>p. 105-112.</w:t>
      </w:r>
    </w:p>
    <w:p w:rsidR="004C50DC" w:rsidRPr="00E8358C" w:rsidRDefault="004C50DC" w:rsidP="004C50DC">
      <w:pPr>
        <w:spacing w:before="120" w:after="120"/>
        <w:jc w:val="both"/>
      </w:pPr>
      <w:r w:rsidRPr="00E8358C">
        <w:t xml:space="preserve">-------, « Préface », dans Michel-Philippe Lerebours, </w:t>
      </w:r>
      <w:r w:rsidRPr="00E8358C">
        <w:rPr>
          <w:i/>
          <w:iCs/>
        </w:rPr>
        <w:t>Esclavage. Mémoire et patrimoine. Vestiges d’habitations sucrières de la région de Port-au-Prince</w:t>
      </w:r>
      <w:r w:rsidRPr="00E8358C">
        <w:t>, Port-au-Prince, Presses nationales d’Haïti, 2006, p</w:t>
      </w:r>
      <w:r>
        <w:t>p</w:t>
      </w:r>
      <w:r w:rsidRPr="00E8358C">
        <w:t>. 7-11.</w:t>
      </w:r>
    </w:p>
    <w:p w:rsidR="004C50DC" w:rsidRPr="00E8358C" w:rsidRDefault="004C50DC" w:rsidP="004C50DC">
      <w:pPr>
        <w:spacing w:before="120" w:after="120"/>
        <w:jc w:val="both"/>
      </w:pPr>
      <w:r w:rsidRPr="00E8358C">
        <w:t>-------, « </w:t>
      </w:r>
      <w:hyperlink r:id="rId139" w:history="1">
        <w:r w:rsidRPr="00CF6931">
          <w:rPr>
            <w:rStyle w:val="Lienhypertexte"/>
          </w:rPr>
          <w:t>Le statut du vodou et l’histoire de l’anthropologie </w:t>
        </w:r>
      </w:hyperlink>
      <w:r w:rsidRPr="00E8358C">
        <w:t xml:space="preserve">», </w:t>
      </w:r>
      <w:r w:rsidRPr="00E8358C">
        <w:rPr>
          <w:i/>
        </w:rPr>
        <w:t>Gradhiva</w:t>
      </w:r>
      <w:r w:rsidRPr="00E8358C">
        <w:t>, n</w:t>
      </w:r>
      <w:r w:rsidRPr="00E8358C">
        <w:rPr>
          <w:vertAlign w:val="superscript"/>
        </w:rPr>
        <w:t>o</w:t>
      </w:r>
      <w:r w:rsidRPr="00E8358C">
        <w:t xml:space="preserve"> 1, 2005, en ligne, </w:t>
      </w:r>
      <w:hyperlink r:id="rId140" w:history="1">
        <w:r w:rsidRPr="00E8358C">
          <w:rPr>
            <w:rStyle w:val="Lienhypertexte"/>
          </w:rPr>
          <w:t>http://gradhiva.revues.org/336</w:t>
        </w:r>
      </w:hyperlink>
    </w:p>
    <w:p w:rsidR="004C50DC" w:rsidRPr="00E8358C" w:rsidRDefault="004C50DC" w:rsidP="004C50DC">
      <w:pPr>
        <w:spacing w:before="120" w:after="120"/>
        <w:jc w:val="both"/>
      </w:pPr>
      <w:r w:rsidRPr="00E8358C">
        <w:t xml:space="preserve">-------, </w:t>
      </w:r>
      <w:r w:rsidRPr="00E8358C">
        <w:rPr>
          <w:i/>
        </w:rPr>
        <w:t>Religions et lien social. L’Église et l’État moderne en Haïti</w:t>
      </w:r>
      <w:r w:rsidRPr="00E8358C">
        <w:t>, Paris, Éditions du Cerf, 2004.</w:t>
      </w:r>
    </w:p>
    <w:p w:rsidR="004C50DC" w:rsidRPr="00E8358C" w:rsidRDefault="004C50DC" w:rsidP="004C50DC">
      <w:pPr>
        <w:spacing w:before="120" w:after="120"/>
        <w:jc w:val="both"/>
      </w:pPr>
      <w:r w:rsidRPr="00E8358C">
        <w:t>-------, (dir.),</w:t>
      </w:r>
      <w:r w:rsidRPr="00E8358C">
        <w:rPr>
          <w:i/>
        </w:rPr>
        <w:t xml:space="preserve"> </w:t>
      </w:r>
      <w:hyperlink r:id="rId141" w:history="1">
        <w:r w:rsidRPr="00CF6931">
          <w:rPr>
            <w:rStyle w:val="Lienhypertexte"/>
            <w:i/>
          </w:rPr>
          <w:t>L'insurrection des esclaves de Saint-Domingue, 22-23 août 1791</w:t>
        </w:r>
      </w:hyperlink>
      <w:r w:rsidRPr="00E8358C">
        <w:t>, Paris, Karthala, 2000.</w:t>
      </w:r>
    </w:p>
    <w:p w:rsidR="004C50DC" w:rsidRPr="00E8358C" w:rsidRDefault="004C50DC" w:rsidP="004C50DC">
      <w:pPr>
        <w:spacing w:before="120" w:after="120"/>
        <w:jc w:val="both"/>
      </w:pPr>
      <w:r w:rsidRPr="00E8358C">
        <w:t xml:space="preserve">-------, « Retrouver la mémoire », dans Michel-Philippe Lerebours, </w:t>
      </w:r>
      <w:r w:rsidRPr="00E8358C">
        <w:rPr>
          <w:i/>
        </w:rPr>
        <w:t>Esclavage. Mémoire et patrimoine. Vestiges d’habitations sucrières de la région de Port-au-Prince</w:t>
      </w:r>
      <w:r w:rsidRPr="00E8358C">
        <w:t xml:space="preserve">, Port-au-Prince, Publication du comité national de la Route de l’esclave, 1999, </w:t>
      </w:r>
      <w:r>
        <w:t>p</w:t>
      </w:r>
      <w:r w:rsidRPr="00E8358C">
        <w:t>p 3-6.</w:t>
      </w:r>
    </w:p>
    <w:p w:rsidR="004C50DC" w:rsidRPr="00E8358C" w:rsidRDefault="004C50DC" w:rsidP="004C50DC">
      <w:pPr>
        <w:spacing w:before="120" w:after="120"/>
        <w:jc w:val="both"/>
        <w:rPr>
          <w:shd w:val="clear" w:color="auto" w:fill="FFFFFF"/>
        </w:rPr>
      </w:pPr>
      <w:r w:rsidRPr="00E8358C">
        <w:t xml:space="preserve">--------, « Préface », de Gérard Barthélemy, </w:t>
      </w:r>
      <w:r w:rsidRPr="00E8358C">
        <w:rPr>
          <w:i/>
        </w:rPr>
        <w:t>L’univers rural haïtien. Le pays en dehors.</w:t>
      </w:r>
      <w:r w:rsidRPr="00E8358C">
        <w:t>, Paris, L’Harmattan, 1990, p</w:t>
      </w:r>
      <w:r>
        <w:t>p</w:t>
      </w:r>
      <w:r w:rsidRPr="00E8358C">
        <w:t>. 9 -15.</w:t>
      </w:r>
    </w:p>
    <w:p w:rsidR="004C50DC" w:rsidRPr="00E8358C" w:rsidRDefault="004C50DC" w:rsidP="004C50DC">
      <w:pPr>
        <w:spacing w:before="120" w:after="120"/>
        <w:jc w:val="both"/>
      </w:pPr>
      <w:r w:rsidRPr="007F5D4F">
        <w:t xml:space="preserve">-------, </w:t>
      </w:r>
      <w:r w:rsidRPr="00E8358C">
        <w:rPr>
          <w:i/>
        </w:rPr>
        <w:t xml:space="preserve">Le barbare imaginaire, </w:t>
      </w:r>
      <w:r w:rsidRPr="00E8358C">
        <w:t xml:space="preserve">Paris, Éditions du Cerf, </w:t>
      </w:r>
      <w:r w:rsidRPr="007F5D4F">
        <w:t>1988.</w:t>
      </w:r>
    </w:p>
    <w:p w:rsidR="004C50DC" w:rsidRPr="007F5D4F" w:rsidRDefault="004C50DC" w:rsidP="004C50DC">
      <w:pPr>
        <w:spacing w:before="120" w:after="120"/>
        <w:jc w:val="both"/>
      </w:pPr>
      <w:r w:rsidRPr="007F5D4F">
        <w:t xml:space="preserve">-------, </w:t>
      </w:r>
      <w:hyperlink r:id="rId142" w:history="1">
        <w:r w:rsidRPr="00CF6931">
          <w:rPr>
            <w:rStyle w:val="Lienhypertexte"/>
            <w:i/>
          </w:rPr>
          <w:t>Comprendre Haïti. Essai sur l’État, la nation, la culture</w:t>
        </w:r>
      </w:hyperlink>
      <w:r w:rsidRPr="00E8358C">
        <w:rPr>
          <w:i/>
        </w:rPr>
        <w:t xml:space="preserve">, </w:t>
      </w:r>
      <w:r w:rsidRPr="00E8358C">
        <w:t xml:space="preserve">Paris, Karthala, </w:t>
      </w:r>
      <w:r w:rsidRPr="007F5D4F">
        <w:t>1987.</w:t>
      </w:r>
    </w:p>
    <w:p w:rsidR="004C50DC" w:rsidRPr="00E8358C" w:rsidRDefault="004C50DC" w:rsidP="004C50DC">
      <w:pPr>
        <w:spacing w:before="120" w:after="120"/>
        <w:jc w:val="both"/>
        <w:rPr>
          <w:shd w:val="clear" w:color="auto" w:fill="FFFFFF"/>
        </w:rPr>
      </w:pPr>
      <w:r w:rsidRPr="00E8358C">
        <w:t xml:space="preserve">-------, « La figure du roi dans les contes de Bouki et Malice », dans Laënnec Hurbon, </w:t>
      </w:r>
      <w:hyperlink r:id="rId143" w:history="1">
        <w:r w:rsidRPr="00CF6931">
          <w:rPr>
            <w:rStyle w:val="Lienhypertexte"/>
            <w:i/>
          </w:rPr>
          <w:t>Culture et dictature en Haïti. L’imaginaire sous contrôle</w:t>
        </w:r>
      </w:hyperlink>
      <w:r w:rsidRPr="00E8358C">
        <w:t>, Paris, L’Harmattan, 1979, p</w:t>
      </w:r>
      <w:r>
        <w:t>p</w:t>
      </w:r>
      <w:r w:rsidRPr="00E8358C">
        <w:t>. 146-175.</w:t>
      </w:r>
    </w:p>
    <w:p w:rsidR="004C50DC" w:rsidRPr="00E8358C" w:rsidRDefault="004C50DC" w:rsidP="004C50DC">
      <w:pPr>
        <w:spacing w:before="120" w:after="120"/>
        <w:jc w:val="both"/>
      </w:pPr>
      <w:r w:rsidRPr="00E8358C">
        <w:t>Hyvert, Giselle, « Conservation et restauration de la citadelle L</w:t>
      </w:r>
      <w:r w:rsidRPr="00E8358C">
        <w:t>a</w:t>
      </w:r>
      <w:r w:rsidRPr="00E8358C">
        <w:t xml:space="preserve">ferrière, du palais de Sans Souci et du Site des Ramiers », dans </w:t>
      </w:r>
      <w:r w:rsidRPr="00E8358C">
        <w:rPr>
          <w:i/>
        </w:rPr>
        <w:t>Haïti. Aide aux États membres pour la préservation du patrimoine culturel et naturel et le développement des musées</w:t>
      </w:r>
      <w:r w:rsidRPr="00E8358C">
        <w:t>, Rapport établi à l’intention du Gouvernement d’Haïti par l’Organisation des Nations Unies pour l’Éducation, la Science et la Culture, Rapport technique PP/1977-78/4.121.8, n</w:t>
      </w:r>
      <w:r w:rsidRPr="00E8358C">
        <w:rPr>
          <w:vertAlign w:val="superscript"/>
        </w:rPr>
        <w:t>o</w:t>
      </w:r>
      <w:r w:rsidRPr="00E8358C">
        <w:t xml:space="preserve"> de série FMR/CC/CH/79/170, Paris, UNESCO, 1979. </w:t>
      </w:r>
    </w:p>
    <w:p w:rsidR="004C50DC" w:rsidRPr="00E8358C" w:rsidRDefault="004C50DC" w:rsidP="004C50DC">
      <w:pPr>
        <w:spacing w:before="120" w:after="120"/>
        <w:jc w:val="both"/>
      </w:pPr>
      <w:r w:rsidRPr="00E8358C">
        <w:t xml:space="preserve">Hyvert, Giselle et Loïc Ménanteau, </w:t>
      </w:r>
      <w:r w:rsidRPr="00E8358C">
        <w:rPr>
          <w:rStyle w:val="Accentuation"/>
        </w:rPr>
        <w:t>Projet « Route 2004 » : Pr</w:t>
      </w:r>
      <w:r w:rsidRPr="00E8358C">
        <w:rPr>
          <w:rStyle w:val="Accentuation"/>
        </w:rPr>
        <w:t>o</w:t>
      </w:r>
      <w:r w:rsidRPr="00E8358C">
        <w:rPr>
          <w:rStyle w:val="Accentuation"/>
        </w:rPr>
        <w:t>tection et valorisation des richesses historiques, culturelles et des re</w:t>
      </w:r>
      <w:r w:rsidRPr="00E8358C">
        <w:rPr>
          <w:rStyle w:val="Accentuation"/>
        </w:rPr>
        <w:t>s</w:t>
      </w:r>
      <w:r w:rsidRPr="00E8358C">
        <w:rPr>
          <w:rStyle w:val="Accentuation"/>
        </w:rPr>
        <w:t>sources naturelles</w:t>
      </w:r>
      <w:r w:rsidRPr="00E8358C">
        <w:rPr>
          <w:rStyle w:val="Accentuation"/>
          <w:i w:val="0"/>
        </w:rPr>
        <w:t xml:space="preserve">, en ligne, </w:t>
      </w:r>
      <w:hyperlink r:id="rId144" w:anchor="5" w:history="1">
        <w:r w:rsidRPr="00E8358C">
          <w:rPr>
            <w:rStyle w:val="Lienhypertexte"/>
          </w:rPr>
          <w:t>http://www.unesco.org/csi/pub/papers/papf24.htm#5</w:t>
        </w:r>
      </w:hyperlink>
    </w:p>
    <w:p w:rsidR="004C50DC" w:rsidRDefault="004C50DC" w:rsidP="004C50DC">
      <w:pPr>
        <w:spacing w:before="120" w:after="120"/>
        <w:jc w:val="both"/>
      </w:pPr>
      <w:r>
        <w:t>[480]</w:t>
      </w:r>
    </w:p>
    <w:p w:rsidR="004C50DC" w:rsidRPr="00E8358C" w:rsidRDefault="004C50DC" w:rsidP="004C50DC">
      <w:pPr>
        <w:spacing w:before="120" w:after="120"/>
        <w:jc w:val="both"/>
      </w:pPr>
      <w:r w:rsidRPr="00E8358C">
        <w:t xml:space="preserve">Institut de sauvegarde du patrimoine national (ISPAN), </w:t>
      </w:r>
      <w:r w:rsidRPr="00E8358C">
        <w:rPr>
          <w:i/>
        </w:rPr>
        <w:t>200 m</w:t>
      </w:r>
      <w:r w:rsidRPr="00E8358C">
        <w:rPr>
          <w:i/>
        </w:rPr>
        <w:t>o</w:t>
      </w:r>
      <w:r w:rsidRPr="00E8358C">
        <w:rPr>
          <w:i/>
        </w:rPr>
        <w:t>numents et sites d’Haïti à haute valeur culturelle, historique ou arch</w:t>
      </w:r>
      <w:r w:rsidRPr="00E8358C">
        <w:rPr>
          <w:i/>
        </w:rPr>
        <w:t>i</w:t>
      </w:r>
      <w:r w:rsidRPr="00E8358C">
        <w:rPr>
          <w:i/>
        </w:rPr>
        <w:t>tecturale</w:t>
      </w:r>
      <w:r w:rsidRPr="00E8358C">
        <w:t>, Port-au-Prince, Henri Deschamps, 2014.</w:t>
      </w:r>
    </w:p>
    <w:p w:rsidR="004C50DC" w:rsidRPr="00E8358C" w:rsidRDefault="004C50DC" w:rsidP="004C50DC">
      <w:pPr>
        <w:spacing w:before="120" w:after="120"/>
        <w:jc w:val="both"/>
      </w:pPr>
      <w:r w:rsidRPr="00E8358C">
        <w:rPr>
          <w:rStyle w:val="Appelnotedebasdep"/>
        </w:rPr>
        <w:t xml:space="preserve">-------, </w:t>
      </w:r>
      <w:r w:rsidRPr="00E8358C">
        <w:t xml:space="preserve">« Le fort Drouet redécouvert », </w:t>
      </w:r>
      <w:r w:rsidRPr="00E8358C">
        <w:rPr>
          <w:i/>
        </w:rPr>
        <w:t>Bulletin de l’ISPAN</w:t>
      </w:r>
      <w:r w:rsidRPr="00E8358C">
        <w:t>, n</w:t>
      </w:r>
      <w:r w:rsidRPr="00E8358C">
        <w:rPr>
          <w:vertAlign w:val="superscript"/>
        </w:rPr>
        <w:t>o</w:t>
      </w:r>
      <w:r w:rsidRPr="00E8358C">
        <w:t> 4, 1</w:t>
      </w:r>
      <w:r w:rsidRPr="00E8358C">
        <w:rPr>
          <w:vertAlign w:val="superscript"/>
        </w:rPr>
        <w:t>er</w:t>
      </w:r>
      <w:r w:rsidRPr="00E8358C">
        <w:t xml:space="preserve"> septembre 2009, </w:t>
      </w:r>
      <w:r>
        <w:t>p</w:t>
      </w:r>
      <w:r w:rsidRPr="00E8358C">
        <w:t xml:space="preserve">p. 1-2. </w:t>
      </w:r>
    </w:p>
    <w:p w:rsidR="004C50DC" w:rsidRPr="00E8358C" w:rsidRDefault="004C50DC" w:rsidP="004C50DC">
      <w:pPr>
        <w:spacing w:before="120" w:after="120"/>
        <w:jc w:val="both"/>
      </w:pPr>
      <w:r w:rsidRPr="00E8358C">
        <w:rPr>
          <w:rStyle w:val="Appelnotedebasdep"/>
        </w:rPr>
        <w:t>-------</w:t>
      </w:r>
      <w:r w:rsidRPr="00E8358C">
        <w:t xml:space="preserve">, « Le Picolet, verrou de la défense du Cap », </w:t>
      </w:r>
      <w:r w:rsidRPr="00E8358C">
        <w:rPr>
          <w:i/>
        </w:rPr>
        <w:t>Bulletin de l’ISPAN</w:t>
      </w:r>
      <w:r w:rsidRPr="00E8358C">
        <w:t>, n</w:t>
      </w:r>
      <w:r w:rsidRPr="00E8358C">
        <w:rPr>
          <w:vertAlign w:val="superscript"/>
        </w:rPr>
        <w:t>o </w:t>
      </w:r>
      <w:r w:rsidRPr="00E8358C">
        <w:t>23, 1</w:t>
      </w:r>
      <w:r w:rsidRPr="00E8358C">
        <w:rPr>
          <w:vertAlign w:val="superscript"/>
        </w:rPr>
        <w:t xml:space="preserve">er </w:t>
      </w:r>
      <w:r w:rsidRPr="00E8358C">
        <w:t xml:space="preserve">avril 2011, </w:t>
      </w:r>
      <w:r>
        <w:t>p</w:t>
      </w:r>
      <w:r w:rsidRPr="00E8358C">
        <w:t>p. 1- 6.</w:t>
      </w:r>
    </w:p>
    <w:p w:rsidR="004C50DC" w:rsidRPr="00E8358C" w:rsidRDefault="004C50DC" w:rsidP="004C50DC">
      <w:pPr>
        <w:spacing w:before="120" w:after="120"/>
        <w:jc w:val="both"/>
      </w:pPr>
      <w:r w:rsidRPr="00E8358C">
        <w:rPr>
          <w:rStyle w:val="Appelnotedebasdep"/>
        </w:rPr>
        <w:t>-------</w:t>
      </w:r>
      <w:r w:rsidRPr="00E8358C">
        <w:t xml:space="preserve">, « Lois, décrets et sauvegarde du patrimoine », </w:t>
      </w:r>
      <w:r w:rsidRPr="00E8358C">
        <w:rPr>
          <w:i/>
        </w:rPr>
        <w:t>Bulletin de l’ISPAN</w:t>
      </w:r>
      <w:r w:rsidRPr="00E8358C">
        <w:t>, n</w:t>
      </w:r>
      <w:r w:rsidRPr="00E8358C">
        <w:rPr>
          <w:vertAlign w:val="superscript"/>
        </w:rPr>
        <w:t>o</w:t>
      </w:r>
      <w:r w:rsidRPr="00E8358C">
        <w:t> 27, 1</w:t>
      </w:r>
      <w:r w:rsidRPr="00E8358C">
        <w:rPr>
          <w:vertAlign w:val="superscript"/>
        </w:rPr>
        <w:t>er</w:t>
      </w:r>
      <w:r w:rsidRPr="00E8358C">
        <w:t xml:space="preserve"> août 2011.</w:t>
      </w:r>
    </w:p>
    <w:p w:rsidR="004C50DC" w:rsidRPr="00E8358C" w:rsidRDefault="004C50DC" w:rsidP="004C50DC">
      <w:pPr>
        <w:spacing w:before="120" w:after="120"/>
        <w:jc w:val="both"/>
      </w:pPr>
      <w:r w:rsidRPr="00E8358C">
        <w:rPr>
          <w:rStyle w:val="Appelnotedebasdep"/>
        </w:rPr>
        <w:t>-------</w:t>
      </w:r>
      <w:r w:rsidRPr="00E8358C">
        <w:t xml:space="preserve">, « La Crête-à-Pierrot, site de hauts faits d’armes », </w:t>
      </w:r>
      <w:r w:rsidRPr="00E8358C">
        <w:rPr>
          <w:i/>
        </w:rPr>
        <w:t>Bulletin de l’ISPAN</w:t>
      </w:r>
      <w:r w:rsidRPr="00E8358C">
        <w:t>, n</w:t>
      </w:r>
      <w:r w:rsidRPr="00E8358C">
        <w:rPr>
          <w:vertAlign w:val="superscript"/>
        </w:rPr>
        <w:t>o</w:t>
      </w:r>
      <w:r w:rsidRPr="00E8358C">
        <w:t> 22, 1</w:t>
      </w:r>
      <w:r w:rsidRPr="00E8358C">
        <w:rPr>
          <w:vertAlign w:val="superscript"/>
        </w:rPr>
        <w:t>er</w:t>
      </w:r>
      <w:r w:rsidRPr="00E8358C">
        <w:t xml:space="preserve"> mars 2011, p</w:t>
      </w:r>
      <w:r>
        <w:t>p</w:t>
      </w:r>
      <w:r w:rsidRPr="00E8358C">
        <w:t>. 1-2.</w:t>
      </w:r>
    </w:p>
    <w:p w:rsidR="004C50DC" w:rsidRPr="00E8358C" w:rsidRDefault="004C50DC" w:rsidP="004C50DC">
      <w:pPr>
        <w:spacing w:before="120" w:after="120"/>
        <w:jc w:val="both"/>
      </w:pPr>
      <w:r w:rsidRPr="00E8358C">
        <w:rPr>
          <w:rStyle w:val="Appelnotedebasdep"/>
        </w:rPr>
        <w:t>-------</w:t>
      </w:r>
      <w:r w:rsidRPr="00E8358C">
        <w:t xml:space="preserve">, « La Citadelle Henry : un monument qui le mît debout », </w:t>
      </w:r>
      <w:r w:rsidRPr="00E8358C">
        <w:rPr>
          <w:i/>
        </w:rPr>
        <w:t>Bu</w:t>
      </w:r>
      <w:r w:rsidRPr="00E8358C">
        <w:rPr>
          <w:i/>
        </w:rPr>
        <w:t>l</w:t>
      </w:r>
      <w:r w:rsidRPr="00E8358C">
        <w:rPr>
          <w:i/>
        </w:rPr>
        <w:t>letin de l’ISPAN</w:t>
      </w:r>
      <w:r w:rsidRPr="00E8358C">
        <w:t>, n</w:t>
      </w:r>
      <w:r w:rsidRPr="00E8358C">
        <w:rPr>
          <w:vertAlign w:val="superscript"/>
        </w:rPr>
        <w:t>o</w:t>
      </w:r>
      <w:r w:rsidRPr="00E8358C">
        <w:t> 28, 1</w:t>
      </w:r>
      <w:r w:rsidRPr="00E8358C">
        <w:rPr>
          <w:vertAlign w:val="superscript"/>
        </w:rPr>
        <w:t>er</w:t>
      </w:r>
      <w:r w:rsidRPr="00E8358C">
        <w:t xml:space="preserve"> septembre 2011, p. 2.</w:t>
      </w:r>
    </w:p>
    <w:p w:rsidR="004C50DC" w:rsidRPr="00E8358C" w:rsidRDefault="004C50DC" w:rsidP="004C50DC">
      <w:pPr>
        <w:spacing w:before="120" w:after="120"/>
        <w:jc w:val="both"/>
      </w:pPr>
      <w:r w:rsidRPr="00E8358C">
        <w:rPr>
          <w:rStyle w:val="Appelnotedebasdep"/>
        </w:rPr>
        <w:t xml:space="preserve">-------, </w:t>
      </w:r>
      <w:r w:rsidRPr="00E8358C">
        <w:t xml:space="preserve">« Citadelle, Sans-Souci, Ramiers. Les menaces », </w:t>
      </w:r>
      <w:r w:rsidRPr="00E8358C">
        <w:rPr>
          <w:i/>
        </w:rPr>
        <w:t>Bulletin de l’ISPAN</w:t>
      </w:r>
      <w:r w:rsidRPr="00E8358C">
        <w:t>, n</w:t>
      </w:r>
      <w:r w:rsidRPr="00E8358C">
        <w:rPr>
          <w:vertAlign w:val="superscript"/>
        </w:rPr>
        <w:t>o</w:t>
      </w:r>
      <w:r w:rsidRPr="00E8358C">
        <w:t> 11, 1</w:t>
      </w:r>
      <w:r w:rsidRPr="00E8358C">
        <w:rPr>
          <w:vertAlign w:val="superscript"/>
        </w:rPr>
        <w:t>er</w:t>
      </w:r>
      <w:r w:rsidRPr="00E8358C">
        <w:t xml:space="preserve"> avril 2010, p. 3. </w:t>
      </w:r>
    </w:p>
    <w:p w:rsidR="004C50DC" w:rsidRPr="00E8358C" w:rsidRDefault="004C50DC" w:rsidP="004C50DC">
      <w:pPr>
        <w:spacing w:before="120" w:after="120"/>
        <w:jc w:val="both"/>
      </w:pPr>
      <w:r w:rsidRPr="00E8358C">
        <w:rPr>
          <w:rStyle w:val="Appelnotedebasdep"/>
        </w:rPr>
        <w:t>-------</w:t>
      </w:r>
      <w:r w:rsidRPr="00E8358C">
        <w:t xml:space="preserve">, « Chronique des monuments et sites historiques d’Haïti », </w:t>
      </w:r>
      <w:r w:rsidRPr="00E8358C">
        <w:rPr>
          <w:i/>
        </w:rPr>
        <w:t>Bulletin de l’ISPAN</w:t>
      </w:r>
      <w:r w:rsidRPr="00E8358C">
        <w:t>,  n</w:t>
      </w:r>
      <w:r w:rsidRPr="00E8358C">
        <w:rPr>
          <w:vertAlign w:val="superscript"/>
        </w:rPr>
        <w:t>o</w:t>
      </w:r>
      <w:r w:rsidRPr="00E8358C">
        <w:t> 2, 1</w:t>
      </w:r>
      <w:r w:rsidRPr="00E8358C">
        <w:rPr>
          <w:vertAlign w:val="superscript"/>
        </w:rPr>
        <w:t>er</w:t>
      </w:r>
      <w:r w:rsidRPr="00E8358C">
        <w:t xml:space="preserve"> juillet 2009, p. 4.</w:t>
      </w:r>
    </w:p>
    <w:p w:rsidR="004C50DC" w:rsidRPr="00E8358C" w:rsidRDefault="004C50DC" w:rsidP="004C50DC">
      <w:pPr>
        <w:spacing w:before="120" w:after="120"/>
        <w:jc w:val="both"/>
      </w:pPr>
      <w:r w:rsidRPr="00E8358C">
        <w:rPr>
          <w:rStyle w:val="Appelnotedebasdep"/>
        </w:rPr>
        <w:t>-------</w:t>
      </w:r>
      <w:r w:rsidRPr="00E8358C">
        <w:t>, « Les fortiﬁcations de Marchand-Dessalines (1</w:t>
      </w:r>
      <w:r w:rsidRPr="00E8358C">
        <w:rPr>
          <w:vertAlign w:val="superscript"/>
        </w:rPr>
        <w:t>re</w:t>
      </w:r>
      <w:r w:rsidRPr="00E8358C">
        <w:t xml:space="preserve"> partie) », </w:t>
      </w:r>
      <w:r w:rsidRPr="00E8358C">
        <w:rPr>
          <w:i/>
        </w:rPr>
        <w:t>Bulletin de l’ISPAN</w:t>
      </w:r>
      <w:r w:rsidRPr="00E8358C">
        <w:t>, n</w:t>
      </w:r>
      <w:r w:rsidRPr="00E8358C">
        <w:rPr>
          <w:vertAlign w:val="superscript"/>
        </w:rPr>
        <w:t>o</w:t>
      </w:r>
      <w:r w:rsidRPr="00E8358C">
        <w:t> 3, 1</w:t>
      </w:r>
      <w:r w:rsidRPr="00E8358C">
        <w:rPr>
          <w:vertAlign w:val="superscript"/>
        </w:rPr>
        <w:t xml:space="preserve">er </w:t>
      </w:r>
      <w:r w:rsidRPr="00E8358C">
        <w:t>août 2009, p</w:t>
      </w:r>
      <w:r>
        <w:t>p</w:t>
      </w:r>
      <w:r w:rsidRPr="00E8358C">
        <w:t xml:space="preserve">. 1-3. </w:t>
      </w:r>
    </w:p>
    <w:p w:rsidR="004C50DC" w:rsidRPr="00E8358C" w:rsidRDefault="004C50DC" w:rsidP="004C50DC">
      <w:pPr>
        <w:spacing w:before="120" w:after="120"/>
        <w:jc w:val="both"/>
      </w:pPr>
      <w:r w:rsidRPr="00E8358C">
        <w:rPr>
          <w:rStyle w:val="Appelnotedebasdep"/>
        </w:rPr>
        <w:t>-------</w:t>
      </w:r>
      <w:r w:rsidRPr="00E8358C">
        <w:t>, « L’habitation caféière coloniale de Dion et ses ruines de l</w:t>
      </w:r>
      <w:r w:rsidRPr="00E8358C">
        <w:t>o</w:t>
      </w:r>
      <w:r w:rsidRPr="00E8358C">
        <w:t xml:space="preserve">gements d’esclaves », </w:t>
      </w:r>
      <w:r w:rsidRPr="00E8358C">
        <w:rPr>
          <w:i/>
        </w:rPr>
        <w:t>Bulletin de l’ISPAN</w:t>
      </w:r>
      <w:r w:rsidRPr="00E8358C">
        <w:t xml:space="preserve"> n</w:t>
      </w:r>
      <w:r w:rsidRPr="00E8358C">
        <w:rPr>
          <w:vertAlign w:val="superscript"/>
        </w:rPr>
        <w:t>o</w:t>
      </w:r>
      <w:r w:rsidRPr="00E8358C">
        <w:t> 4, 1</w:t>
      </w:r>
      <w:r w:rsidRPr="00E8358C">
        <w:rPr>
          <w:vertAlign w:val="superscript"/>
        </w:rPr>
        <w:t xml:space="preserve">er </w:t>
      </w:r>
      <w:r w:rsidRPr="00E8358C">
        <w:t xml:space="preserve">septembre 2009, </w:t>
      </w:r>
      <w:r>
        <w:t>p</w:t>
      </w:r>
      <w:r w:rsidRPr="00E8358C">
        <w:t>p. 2-3.</w:t>
      </w:r>
    </w:p>
    <w:p w:rsidR="004C50DC" w:rsidRPr="00E8358C" w:rsidRDefault="004C50DC" w:rsidP="004C50DC">
      <w:pPr>
        <w:spacing w:before="120" w:after="120"/>
        <w:jc w:val="both"/>
      </w:pPr>
      <w:r w:rsidRPr="00E8358C">
        <w:rPr>
          <w:rStyle w:val="Appelnotedebasdep"/>
        </w:rPr>
        <w:t xml:space="preserve">-------, </w:t>
      </w:r>
      <w:r w:rsidRPr="00E8358C">
        <w:t xml:space="preserve">« Les fortifications de Marchand-Dessalines (suite et fin) », </w:t>
      </w:r>
      <w:r w:rsidRPr="00E8358C">
        <w:rPr>
          <w:i/>
        </w:rPr>
        <w:t>Bulletin de l’ISPAN</w:t>
      </w:r>
      <w:r w:rsidRPr="00E8358C">
        <w:t>, n</w:t>
      </w:r>
      <w:r w:rsidRPr="00E8358C">
        <w:rPr>
          <w:vertAlign w:val="superscript"/>
        </w:rPr>
        <w:t>o</w:t>
      </w:r>
      <w:r w:rsidRPr="00E8358C">
        <w:t> 3, 1</w:t>
      </w:r>
      <w:r w:rsidRPr="00E8358C">
        <w:rPr>
          <w:vertAlign w:val="superscript"/>
        </w:rPr>
        <w:t>er</w:t>
      </w:r>
      <w:r w:rsidRPr="00E8358C">
        <w:t xml:space="preserve"> octobre 2009, p. 2.</w:t>
      </w:r>
    </w:p>
    <w:p w:rsidR="004C50DC" w:rsidRPr="00E8358C" w:rsidRDefault="004C50DC" w:rsidP="004C50DC">
      <w:pPr>
        <w:spacing w:before="120" w:after="120"/>
        <w:jc w:val="both"/>
      </w:pPr>
      <w:r w:rsidRPr="00E8358C">
        <w:t xml:space="preserve">Iye, Ali Moussa, « Pour les 20 ans de la Route de l’esclave », </w:t>
      </w:r>
      <w:r w:rsidRPr="00E8358C">
        <w:rPr>
          <w:i/>
        </w:rPr>
        <w:t xml:space="preserve">Le Nouvelliste, </w:t>
      </w:r>
      <w:r w:rsidRPr="00E8358C">
        <w:t xml:space="preserve">20 janvier 2015, </w:t>
      </w:r>
      <w:hyperlink r:id="rId145" w:history="1">
        <w:r w:rsidRPr="00E8358C">
          <w:rPr>
            <w:rStyle w:val="Lienhypertexte"/>
          </w:rPr>
          <w:t>http://lenouvelliste.com/lenouvelliste/article/140039/Pour-les-20-ans-de-La-Route-de-lesclave</w:t>
        </w:r>
      </w:hyperlink>
      <w:r w:rsidRPr="00E8358C">
        <w:rPr>
          <w:rStyle w:val="Lienhypertexte"/>
        </w:rPr>
        <w:t>.</w:t>
      </w:r>
    </w:p>
    <w:p w:rsidR="004C50DC" w:rsidRPr="00E8358C" w:rsidRDefault="004C50DC" w:rsidP="004C50DC">
      <w:pPr>
        <w:spacing w:before="120" w:after="120"/>
        <w:jc w:val="both"/>
      </w:pPr>
      <w:r w:rsidRPr="00E8358C">
        <w:t>Jackson, Joseph et René Lemieux, « Les arts et la politique cult</w:t>
      </w:r>
      <w:r w:rsidRPr="00E8358C">
        <w:t>u</w:t>
      </w:r>
      <w:r w:rsidRPr="00E8358C">
        <w:t>relle canadienne », Division des affaires politiques et sociales, Parl</w:t>
      </w:r>
      <w:r w:rsidRPr="00E8358C">
        <w:t>e</w:t>
      </w:r>
      <w:r w:rsidRPr="00E8358C">
        <w:t xml:space="preserve">ment du Canada, révisé le 15 octobre 1999, en ligne, </w:t>
      </w:r>
      <w:hyperlink r:id="rId146" w:anchor="DÉFINITION" w:history="1">
        <w:r w:rsidRPr="00E8358C">
          <w:rPr>
            <w:rStyle w:val="Lienhypertexte"/>
          </w:rPr>
          <w:t>http://www.parl.gc.ca/content/lop/researchpublications/933-f.htm#DÉFINITION</w:t>
        </w:r>
      </w:hyperlink>
    </w:p>
    <w:p w:rsidR="004C50DC" w:rsidRPr="00E8358C" w:rsidRDefault="004C50DC" w:rsidP="004C50DC">
      <w:pPr>
        <w:spacing w:before="120" w:after="120"/>
        <w:jc w:val="both"/>
      </w:pPr>
      <w:r w:rsidRPr="00E8358C">
        <w:t xml:space="preserve">Janvier, Louis-Joseph, </w:t>
      </w:r>
      <w:r w:rsidRPr="00E8358C">
        <w:rPr>
          <w:i/>
        </w:rPr>
        <w:t>Les Constitutions d’Haïti (1801-1885),</w:t>
      </w:r>
      <w:r w:rsidRPr="00E8358C">
        <w:t xml:space="preserve"> P</w:t>
      </w:r>
      <w:r w:rsidRPr="00E8358C">
        <w:t>a</w:t>
      </w:r>
      <w:r w:rsidRPr="00E8358C">
        <w:t>ris, Marpon et Flammarion, 1886.</w:t>
      </w:r>
    </w:p>
    <w:p w:rsidR="004C50DC" w:rsidRPr="00E8358C" w:rsidRDefault="004C50DC" w:rsidP="004C50DC">
      <w:pPr>
        <w:spacing w:before="120" w:after="120"/>
        <w:jc w:val="both"/>
      </w:pPr>
      <w:r w:rsidRPr="00E8358C">
        <w:t xml:space="preserve">-------, </w:t>
      </w:r>
      <w:r w:rsidRPr="00E8358C">
        <w:rPr>
          <w:i/>
        </w:rPr>
        <w:t>La République d’Haïti et ses visiteurs (1840-1882) : répo</w:t>
      </w:r>
      <w:r w:rsidRPr="00E8358C">
        <w:rPr>
          <w:i/>
        </w:rPr>
        <w:t>n</w:t>
      </w:r>
      <w:r w:rsidRPr="00E8358C">
        <w:rPr>
          <w:i/>
        </w:rPr>
        <w:t>se à M. Victor Cochinat (de la petite presse) et à quelques autres écr</w:t>
      </w:r>
      <w:r w:rsidRPr="00E8358C">
        <w:rPr>
          <w:i/>
        </w:rPr>
        <w:t>i</w:t>
      </w:r>
      <w:r w:rsidRPr="00E8358C">
        <w:rPr>
          <w:i/>
        </w:rPr>
        <w:t>vains</w:t>
      </w:r>
      <w:r w:rsidRPr="00E8358C">
        <w:t>, Paris, Marpon et Flammarion, 1883.</w:t>
      </w:r>
    </w:p>
    <w:p w:rsidR="004C50DC" w:rsidRPr="00E8358C" w:rsidRDefault="004C50DC" w:rsidP="004C50DC">
      <w:pPr>
        <w:spacing w:before="120" w:after="120"/>
        <w:jc w:val="both"/>
      </w:pPr>
      <w:r w:rsidRPr="00E8358C">
        <w:t xml:space="preserve">-------, </w:t>
      </w:r>
      <w:r w:rsidRPr="00E8358C">
        <w:rPr>
          <w:i/>
        </w:rPr>
        <w:t xml:space="preserve">Les détracteurs de la race noire et de la République d’Haïti (Réponse à Léo Quesnel), </w:t>
      </w:r>
      <w:r w:rsidRPr="00E8358C">
        <w:t xml:space="preserve">Paris, Marpon et Flammarion, 1882. </w:t>
      </w:r>
    </w:p>
    <w:p w:rsidR="004C50DC" w:rsidRPr="00E8358C" w:rsidRDefault="004C50DC" w:rsidP="004C50DC">
      <w:pPr>
        <w:spacing w:before="120" w:after="120"/>
        <w:jc w:val="both"/>
      </w:pPr>
      <w:r w:rsidRPr="00E8358C">
        <w:t xml:space="preserve">Jean, Eddy-Arnold, </w:t>
      </w:r>
      <w:r w:rsidRPr="00E8358C">
        <w:rPr>
          <w:i/>
        </w:rPr>
        <w:t>La littérature haïtienne. Le Dix-neuvième si</w:t>
      </w:r>
      <w:r w:rsidRPr="00E8358C">
        <w:rPr>
          <w:i/>
        </w:rPr>
        <w:t>è</w:t>
      </w:r>
      <w:r w:rsidRPr="00E8358C">
        <w:rPr>
          <w:i/>
        </w:rPr>
        <w:t>cle haïtien</w:t>
      </w:r>
      <w:r w:rsidRPr="00E8358C">
        <w:t>, tome 1, Port-au-Prince, Haïti Demain, 2013.</w:t>
      </w:r>
    </w:p>
    <w:p w:rsidR="004C50DC" w:rsidRPr="00E8358C" w:rsidRDefault="004C50DC" w:rsidP="004C50DC">
      <w:pPr>
        <w:spacing w:before="120" w:after="120"/>
        <w:jc w:val="both"/>
      </w:pPr>
      <w:r w:rsidRPr="007F5D4F">
        <w:t xml:space="preserve">Jean-Baptiste, Pierre Joseph, </w:t>
      </w:r>
      <w:r w:rsidRPr="007F5D4F">
        <w:rPr>
          <w:i/>
        </w:rPr>
        <w:t>La route d’un Empire</w:t>
      </w:r>
      <w:r w:rsidRPr="007F5D4F">
        <w:t xml:space="preserve">, </w:t>
      </w:r>
      <w:r w:rsidRPr="00E8358C">
        <w:t>Bloomington</w:t>
      </w:r>
      <w:r w:rsidRPr="007F5D4F">
        <w:t>,</w:t>
      </w:r>
      <w:r w:rsidRPr="00E8358C">
        <w:rPr>
          <w:i/>
        </w:rPr>
        <w:t xml:space="preserve"> </w:t>
      </w:r>
      <w:r w:rsidRPr="00E8358C">
        <w:t>iUniverse</w:t>
      </w:r>
      <w:r w:rsidRPr="00E8358C">
        <w:rPr>
          <w:i/>
        </w:rPr>
        <w:t xml:space="preserve">, </w:t>
      </w:r>
      <w:r w:rsidRPr="00E8358C">
        <w:t>2013.</w:t>
      </w:r>
    </w:p>
    <w:p w:rsidR="004C50DC" w:rsidRPr="00E8358C" w:rsidRDefault="004C50DC" w:rsidP="004C50DC">
      <w:pPr>
        <w:spacing w:before="120" w:after="120"/>
        <w:jc w:val="both"/>
      </w:pPr>
      <w:r w:rsidRPr="00E8358C">
        <w:t>Jean-Julien, Olsen, « Enjeux du Tourisme durable en Haïti face au paradigme actuel en gestion de sites à haute valeur culturelle - Le cas du Parc National Historique : Citadelle, Sans Souci, Ramiers », IC</w:t>
      </w:r>
      <w:r w:rsidRPr="00E8358C">
        <w:t>O</w:t>
      </w:r>
      <w:r w:rsidRPr="00E8358C">
        <w:t>MOS, 16</w:t>
      </w:r>
      <w:r w:rsidRPr="00E8358C">
        <w:rPr>
          <w:vertAlign w:val="superscript"/>
        </w:rPr>
        <w:t>e</w:t>
      </w:r>
      <w:r w:rsidRPr="00E8358C">
        <w:t xml:space="preserve"> Assemblée générale et symposium scientifique, 29 septe</w:t>
      </w:r>
      <w:r w:rsidRPr="00E8358C">
        <w:t>m</w:t>
      </w:r>
      <w:r w:rsidRPr="00E8358C">
        <w:t>bre-4 octobre 2008, Québec.</w:t>
      </w:r>
    </w:p>
    <w:p w:rsidR="004C50DC" w:rsidRPr="00E8358C" w:rsidRDefault="004C50DC" w:rsidP="004C50DC">
      <w:pPr>
        <w:spacing w:before="120" w:after="120"/>
        <w:jc w:val="both"/>
      </w:pPr>
      <w:r w:rsidRPr="00E8358C">
        <w:t>Jewsiewicki Koss, Bogumil, « Patrimonialiser les mémoires pour accorder à la souffrance la reconnaissance qu’elle mérite », dans Vi</w:t>
      </w:r>
      <w:r w:rsidRPr="00E8358C">
        <w:t>n</w:t>
      </w:r>
      <w:r w:rsidRPr="00E8358C">
        <w:t>cent Auzas et Bogumil Jewsiewicki Koss</w:t>
      </w:r>
      <w:r>
        <w:t xml:space="preserve"> [481]</w:t>
      </w:r>
      <w:r w:rsidRPr="00E8358C">
        <w:t xml:space="preserve"> (dir.), </w:t>
      </w:r>
      <w:r w:rsidRPr="00E8358C">
        <w:rPr>
          <w:i/>
        </w:rPr>
        <w:t>Traumatisme collectif pour patrimoine. Regard sur un mouvement transnational</w:t>
      </w:r>
      <w:r w:rsidRPr="00E8358C">
        <w:t>, Québec, Presses de l’Université Laval, 2008, p</w:t>
      </w:r>
      <w:r>
        <w:t>p</w:t>
      </w:r>
      <w:r w:rsidRPr="00E8358C">
        <w:t>. 3-12.</w:t>
      </w:r>
    </w:p>
    <w:p w:rsidR="004C50DC" w:rsidRPr="00E8358C" w:rsidRDefault="004C50DC" w:rsidP="004C50DC">
      <w:pPr>
        <w:spacing w:before="120" w:after="120"/>
        <w:jc w:val="both"/>
      </w:pPr>
      <w:r w:rsidRPr="00E8358C">
        <w:rPr>
          <w:lang w:eastAsia="en-CA"/>
        </w:rPr>
        <w:t>-------</w:t>
      </w:r>
      <w:r w:rsidRPr="00E8358C">
        <w:t xml:space="preserve">, « L’actualité de la mémoire et l’émergence du témoin », Séminaire virtuel </w:t>
      </w:r>
      <w:r w:rsidRPr="00E8358C">
        <w:rPr>
          <w:i/>
          <w:iCs/>
        </w:rPr>
        <w:t xml:space="preserve">Mémoire historiques d’ici et d’ailleurs, </w:t>
      </w:r>
      <w:r w:rsidRPr="00E8358C">
        <w:t>Paris, Ma</w:t>
      </w:r>
      <w:r w:rsidRPr="00E8358C">
        <w:t>i</w:t>
      </w:r>
      <w:r w:rsidRPr="00E8358C">
        <w:t xml:space="preserve">son Suger (MSH), AUF, EHESS et Chaire du Canada en histoire comparée de la mémoire, 10 décembre 2003, conférence sur support numérique, en ligne, </w:t>
      </w:r>
      <w:hyperlink r:id="rId147" w:history="1">
        <w:r w:rsidRPr="00E8358C">
          <w:rPr>
            <w:rStyle w:val="Lienhypertexte"/>
          </w:rPr>
          <w:t>http://www.anamnesis.fl.ulaval.ca/andromeda</w:t>
        </w:r>
      </w:hyperlink>
    </w:p>
    <w:p w:rsidR="004C50DC" w:rsidRPr="00E8358C" w:rsidRDefault="004C50DC" w:rsidP="004C50DC">
      <w:pPr>
        <w:spacing w:before="120" w:after="120"/>
        <w:jc w:val="both"/>
      </w:pPr>
      <w:r w:rsidRPr="00E8358C">
        <w:t xml:space="preserve">Joseph, André Lafontant, « Dessalines à la rencontre de Pétion. Au-delà du slogan politique », </w:t>
      </w:r>
      <w:r w:rsidRPr="00E8358C">
        <w:rPr>
          <w:i/>
        </w:rPr>
        <w:t>Le Nouvelliste</w:t>
      </w:r>
      <w:r w:rsidRPr="00E8358C">
        <w:t xml:space="preserve">, 19 novembre 2013, en ligne, </w:t>
      </w:r>
      <w:hyperlink r:id="rId148" w:history="1">
        <w:r w:rsidRPr="00E8358C">
          <w:rPr>
            <w:rStyle w:val="Lienhypertexte"/>
          </w:rPr>
          <w:t>http://lenouvelliste.com/lenouvelliste/article/ 124076/Dessalines-a-la-rencontre-de-Petion-Au-dela-du-slogan-politique.html</w:t>
        </w:r>
      </w:hyperlink>
    </w:p>
    <w:p w:rsidR="004C50DC" w:rsidRPr="00E8358C" w:rsidRDefault="004C50DC" w:rsidP="004C50DC">
      <w:pPr>
        <w:spacing w:before="120" w:after="120"/>
        <w:jc w:val="both"/>
      </w:pPr>
      <w:r w:rsidRPr="00E8358C">
        <w:t xml:space="preserve">Juste-Constant, Voegeli, </w:t>
      </w:r>
      <w:r w:rsidRPr="00E8358C">
        <w:rPr>
          <w:i/>
        </w:rPr>
        <w:t>La musique. Ses origines, son développ</w:t>
      </w:r>
      <w:r w:rsidRPr="00E8358C">
        <w:rPr>
          <w:i/>
        </w:rPr>
        <w:t>e</w:t>
      </w:r>
      <w:r w:rsidRPr="00E8358C">
        <w:rPr>
          <w:i/>
        </w:rPr>
        <w:t>ment en Europe, ses caractéristiques négro-africaines et aspect dans le milieu national</w:t>
      </w:r>
      <w:r w:rsidRPr="00E8358C">
        <w:t>, Port-au-Prince, Publication du bureau d’Ethnologie de la République d’Haïti, Imprimerie des Antilles, 1980.</w:t>
      </w:r>
    </w:p>
    <w:p w:rsidR="004C50DC" w:rsidRPr="00E8358C" w:rsidRDefault="004C50DC" w:rsidP="004C50DC">
      <w:pPr>
        <w:spacing w:before="120" w:after="120"/>
        <w:jc w:val="both"/>
      </w:pPr>
      <w:r w:rsidRPr="00E8358C">
        <w:rPr>
          <w:lang w:eastAsia="en-CA"/>
        </w:rPr>
        <w:t xml:space="preserve">Kane, Mouhamadou, </w:t>
      </w:r>
      <w:r w:rsidRPr="00E8358C">
        <w:rPr>
          <w:i/>
          <w:lang w:eastAsia="en-CA"/>
        </w:rPr>
        <w:t>Birago Diop, l’homme et l’œuvre</w:t>
      </w:r>
      <w:r w:rsidRPr="00E8358C">
        <w:rPr>
          <w:lang w:eastAsia="en-CA"/>
        </w:rPr>
        <w:t>, Paris, Pr</w:t>
      </w:r>
      <w:r w:rsidRPr="00E8358C">
        <w:rPr>
          <w:lang w:eastAsia="en-CA"/>
        </w:rPr>
        <w:t>é</w:t>
      </w:r>
      <w:r w:rsidRPr="00E8358C">
        <w:rPr>
          <w:lang w:eastAsia="en-CA"/>
        </w:rPr>
        <w:t>sence Africaine, 1971.</w:t>
      </w:r>
    </w:p>
    <w:p w:rsidR="004C50DC" w:rsidRPr="00E8358C" w:rsidRDefault="004C50DC" w:rsidP="004C50DC">
      <w:pPr>
        <w:spacing w:before="120" w:after="120"/>
        <w:jc w:val="both"/>
      </w:pPr>
      <w:r w:rsidRPr="00E8358C">
        <w:t xml:space="preserve">Kilani, Mondher, </w:t>
      </w:r>
      <w:r w:rsidRPr="00E8358C">
        <w:rPr>
          <w:i/>
        </w:rPr>
        <w:t>L’invention de l’autre</w:t>
      </w:r>
      <w:r w:rsidRPr="00E8358C">
        <w:t>, Lausanne, Payot-Lausanne, 1994.</w:t>
      </w:r>
    </w:p>
    <w:p w:rsidR="004C50DC" w:rsidRPr="00E8358C" w:rsidRDefault="004C50DC" w:rsidP="004C50DC">
      <w:pPr>
        <w:spacing w:before="120" w:after="120"/>
        <w:jc w:val="both"/>
      </w:pPr>
      <w:r w:rsidRPr="00E8358C">
        <w:t xml:space="preserve">Klein, Herbert S., </w:t>
      </w:r>
      <w:r w:rsidRPr="00E8358C">
        <w:rPr>
          <w:i/>
        </w:rPr>
        <w:t>The Atlantic Slave Trade</w:t>
      </w:r>
      <w:r w:rsidRPr="00E8358C">
        <w:t>, New York, Cambridge University Press, 2010.</w:t>
      </w:r>
    </w:p>
    <w:p w:rsidR="004C50DC" w:rsidRPr="00E8358C" w:rsidRDefault="004C50DC" w:rsidP="004C50DC">
      <w:pPr>
        <w:spacing w:before="120" w:after="120"/>
        <w:jc w:val="both"/>
      </w:pPr>
      <w:r w:rsidRPr="00E8358C">
        <w:t xml:space="preserve">Kolchin, Peter, </w:t>
      </w:r>
      <w:r w:rsidRPr="00E8358C">
        <w:rPr>
          <w:i/>
        </w:rPr>
        <w:t>Une institution très particulière. L’esclavage aux États-Unis, 1619-1877</w:t>
      </w:r>
      <w:r w:rsidRPr="00E8358C">
        <w:t>, Paris, Belin, 1998.</w:t>
      </w:r>
    </w:p>
    <w:p w:rsidR="004C50DC" w:rsidRPr="00E8358C" w:rsidRDefault="004C50DC" w:rsidP="004C50DC">
      <w:pPr>
        <w:spacing w:before="120" w:after="120"/>
        <w:jc w:val="both"/>
        <w:rPr>
          <w:rFonts w:eastAsia="Calibri"/>
        </w:rPr>
      </w:pPr>
      <w:r w:rsidRPr="00E8358C">
        <w:t xml:space="preserve">Konaté, Doulayé, </w:t>
      </w:r>
      <w:r w:rsidRPr="00E8358C">
        <w:rPr>
          <w:rFonts w:eastAsia="Calibri"/>
          <w:bCs/>
          <w:i/>
        </w:rPr>
        <w:t>Relire les lieux de mémoire à la lumière de la construction nationale au Mali,</w:t>
      </w:r>
      <w:r w:rsidRPr="00E8358C">
        <w:rPr>
          <w:rFonts w:eastAsia="Calibri"/>
          <w:bCs/>
        </w:rPr>
        <w:t xml:space="preserve"> vidéo, CD-Rom, </w:t>
      </w:r>
      <w:r w:rsidRPr="00E8358C">
        <w:rPr>
          <w:rFonts w:eastAsia="Calibri"/>
        </w:rPr>
        <w:t>Agence universitaire de la Francophonie, Chaire de recherche du Canada en histoire co</w:t>
      </w:r>
      <w:r w:rsidRPr="00E8358C">
        <w:rPr>
          <w:rFonts w:eastAsia="Calibri"/>
        </w:rPr>
        <w:t>m</w:t>
      </w:r>
      <w:r w:rsidRPr="00E8358C">
        <w:rPr>
          <w:rFonts w:eastAsia="Calibri"/>
        </w:rPr>
        <w:t>parée de la mémoire, CÉLAT, Québec, 2006.</w:t>
      </w:r>
    </w:p>
    <w:p w:rsidR="004C50DC" w:rsidRPr="00E8358C" w:rsidRDefault="004C50DC" w:rsidP="004C50DC">
      <w:pPr>
        <w:spacing w:before="120" w:after="120"/>
        <w:jc w:val="both"/>
      </w:pPr>
      <w:r w:rsidRPr="00E8358C">
        <w:t xml:space="preserve">Kooiman, Jan, </w:t>
      </w:r>
      <w:r w:rsidRPr="00E8358C">
        <w:rPr>
          <w:i/>
        </w:rPr>
        <w:t>Modern gouvernance </w:t>
      </w:r>
      <w:r w:rsidRPr="00E8358C">
        <w:t xml:space="preserve">: </w:t>
      </w:r>
      <w:r w:rsidRPr="00E8358C">
        <w:rPr>
          <w:i/>
        </w:rPr>
        <w:t>New Government, Society Interactions</w:t>
      </w:r>
      <w:r w:rsidRPr="00E8358C">
        <w:t>, Londres, Sage, 1993.</w:t>
      </w:r>
    </w:p>
    <w:p w:rsidR="004C50DC" w:rsidRPr="00E8358C" w:rsidRDefault="004C50DC" w:rsidP="004C50DC">
      <w:pPr>
        <w:spacing w:before="120" w:after="120"/>
        <w:jc w:val="both"/>
      </w:pPr>
      <w:r w:rsidRPr="00E8358C">
        <w:t xml:space="preserve">Kriegel, Blandine, </w:t>
      </w:r>
      <w:r w:rsidRPr="00E8358C">
        <w:rPr>
          <w:i/>
        </w:rPr>
        <w:t>L’État et les esclaves. Réflexion pour l’histoire des États</w:t>
      </w:r>
      <w:r w:rsidRPr="00E8358C">
        <w:t>, Paris, Payot &amp; Rivages, 2003.</w:t>
      </w:r>
    </w:p>
    <w:p w:rsidR="004C50DC" w:rsidRPr="00E8358C" w:rsidRDefault="004C50DC" w:rsidP="004C50DC">
      <w:pPr>
        <w:spacing w:before="120" w:after="120"/>
        <w:jc w:val="both"/>
      </w:pPr>
      <w:r w:rsidRPr="00E8358C">
        <w:t xml:space="preserve">Labat, Jean-Baptiste r.p., </w:t>
      </w:r>
      <w:r w:rsidRPr="00E8358C">
        <w:rPr>
          <w:i/>
        </w:rPr>
        <w:t>Nouveau voyage aux isles Françoises de l’Amérique</w:t>
      </w:r>
      <w:r w:rsidRPr="00E8358C">
        <w:t>, tomes III et IV, La Haye, P. Husson, 1724.</w:t>
      </w:r>
    </w:p>
    <w:p w:rsidR="004C50DC" w:rsidRPr="00E8358C" w:rsidRDefault="004C50DC" w:rsidP="004C50DC">
      <w:pPr>
        <w:spacing w:before="120" w:after="120"/>
        <w:jc w:val="both"/>
      </w:pPr>
      <w:r w:rsidRPr="00E8358C">
        <w:rPr>
          <w:rFonts w:eastAsia="Calibri"/>
          <w:lang w:eastAsia="en-CA"/>
        </w:rPr>
        <w:t xml:space="preserve">Labelle, Micheline, </w:t>
      </w:r>
      <w:hyperlink r:id="rId149" w:history="1">
        <w:r w:rsidRPr="00CF6931">
          <w:rPr>
            <w:rStyle w:val="Lienhypertexte"/>
            <w:rFonts w:eastAsia="Calibri"/>
            <w:i/>
            <w:lang w:eastAsia="en-CA"/>
          </w:rPr>
          <w:t>Idéologie de couleur et classes sociales en Haïti</w:t>
        </w:r>
      </w:hyperlink>
      <w:r w:rsidRPr="00E8358C">
        <w:rPr>
          <w:rFonts w:eastAsia="Calibri"/>
          <w:lang w:eastAsia="en-CA"/>
        </w:rPr>
        <w:t>, Montréal, Les Presses de l’Université de Montréal, 1987.</w:t>
      </w:r>
    </w:p>
    <w:p w:rsidR="004C50DC" w:rsidRPr="00E8358C" w:rsidRDefault="004C50DC" w:rsidP="004C50DC">
      <w:pPr>
        <w:spacing w:before="120" w:after="120"/>
        <w:jc w:val="both"/>
      </w:pPr>
      <w:r w:rsidRPr="00E8358C">
        <w:t xml:space="preserve">Labica, Georges et Gérard Bensussan (dir.), </w:t>
      </w:r>
      <w:r w:rsidRPr="00E8358C">
        <w:rPr>
          <w:i/>
        </w:rPr>
        <w:t>Dictionnaire critique du marxisme</w:t>
      </w:r>
      <w:r w:rsidRPr="00E8358C">
        <w:t>, Paris, PUF, 1985.</w:t>
      </w:r>
    </w:p>
    <w:p w:rsidR="004C50DC" w:rsidRPr="007F5D4F" w:rsidRDefault="004C50DC" w:rsidP="004C50DC">
      <w:pPr>
        <w:spacing w:before="120" w:after="120"/>
        <w:jc w:val="both"/>
      </w:pPr>
      <w:r w:rsidRPr="00E8358C">
        <w:t xml:space="preserve">Laguerre, Michel, </w:t>
      </w:r>
      <w:r w:rsidRPr="007F5D4F">
        <w:rPr>
          <w:i/>
        </w:rPr>
        <w:t>Études sur le vodou haïtien. Bibliographie an</w:t>
      </w:r>
      <w:r w:rsidRPr="007F5D4F">
        <w:rPr>
          <w:i/>
        </w:rPr>
        <w:t>a</w:t>
      </w:r>
      <w:r w:rsidRPr="007F5D4F">
        <w:rPr>
          <w:i/>
        </w:rPr>
        <w:t>lytique</w:t>
      </w:r>
      <w:r w:rsidRPr="007F5D4F">
        <w:t>, Montréal</w:t>
      </w:r>
      <w:r w:rsidRPr="00E8358C">
        <w:t>, Centre de recherches caraïbes</w:t>
      </w:r>
      <w:r w:rsidRPr="007F5D4F">
        <w:t>, 1979.</w:t>
      </w:r>
    </w:p>
    <w:p w:rsidR="004C50DC" w:rsidRPr="00E8358C" w:rsidRDefault="004C50DC" w:rsidP="004C50DC">
      <w:pPr>
        <w:spacing w:before="120" w:after="120"/>
        <w:jc w:val="both"/>
      </w:pPr>
      <w:r w:rsidRPr="00E8358C">
        <w:t>Lamothe, Laurent Salvador,</w:t>
      </w:r>
      <w:r w:rsidRPr="00E8358C">
        <w:rPr>
          <w:i/>
        </w:rPr>
        <w:t xml:space="preserve"> « Fòk pèp la jwenn »</w:t>
      </w:r>
      <w:r w:rsidRPr="00E8358C">
        <w:t>, Énoncé de pol</w:t>
      </w:r>
      <w:r w:rsidRPr="00E8358C">
        <w:t>i</w:t>
      </w:r>
      <w:r w:rsidRPr="00E8358C">
        <w:t>tique générale du Premier ministre, Port-au-Prince, mai 2012, en l</w:t>
      </w:r>
      <w:r w:rsidRPr="00E8358C">
        <w:t>i</w:t>
      </w:r>
      <w:r w:rsidRPr="00E8358C">
        <w:t xml:space="preserve">gne, </w:t>
      </w:r>
      <w:hyperlink r:id="rId150" w:history="1">
        <w:r w:rsidRPr="00E8358C">
          <w:rPr>
            <w:rStyle w:val="Lienhypertexte"/>
          </w:rPr>
          <w:t>http://www.haitilibre.com/article-5597-haiti-politique-texte-de-la-politique-generale-du-premier-ministre-premiere-partie.html</w:t>
        </w:r>
      </w:hyperlink>
    </w:p>
    <w:p w:rsidR="004C50DC" w:rsidRPr="00E8358C" w:rsidRDefault="004C50DC" w:rsidP="004C50DC">
      <w:pPr>
        <w:spacing w:before="120" w:after="120"/>
        <w:jc w:val="both"/>
      </w:pPr>
      <w:r w:rsidRPr="007F5D4F">
        <w:t>Landi, Élisabeth, « </w:t>
      </w:r>
      <w:r w:rsidRPr="00E8358C">
        <w:t>La bataille de Vertières (18 novembre 1803) », en ligne, http://www.serge-letchimy.fr/2012/11/14/4752/</w:t>
      </w:r>
    </w:p>
    <w:p w:rsidR="004C50DC" w:rsidRPr="00E8358C" w:rsidRDefault="004C50DC" w:rsidP="004C50DC">
      <w:pPr>
        <w:spacing w:before="120" w:after="120"/>
        <w:jc w:val="both"/>
      </w:pPr>
      <w:r w:rsidRPr="00E8358C">
        <w:t xml:space="preserve">Laraque, Paul et Franck Laraque, </w:t>
      </w:r>
      <w:r w:rsidRPr="00E8358C">
        <w:rPr>
          <w:i/>
        </w:rPr>
        <w:t>Haïti. La lutte et l’espoir</w:t>
      </w:r>
      <w:r w:rsidRPr="00E8358C">
        <w:t>, Cidh</w:t>
      </w:r>
      <w:r w:rsidRPr="00E8358C">
        <w:t>i</w:t>
      </w:r>
      <w:r w:rsidRPr="00E8358C">
        <w:t>ca, Montréal, 2003.</w:t>
      </w:r>
    </w:p>
    <w:p w:rsidR="004C50DC" w:rsidRPr="00E8358C" w:rsidRDefault="004C50DC" w:rsidP="004C50DC">
      <w:pPr>
        <w:spacing w:before="120" w:after="120"/>
        <w:jc w:val="both"/>
      </w:pPr>
      <w:r w:rsidRPr="00E8358C">
        <w:t xml:space="preserve">Laroche, Maximilien, « Oraliture et littérature », </w:t>
      </w:r>
      <w:r w:rsidRPr="00E8358C">
        <w:rPr>
          <w:i/>
        </w:rPr>
        <w:t>Sociopoética,</w:t>
      </w:r>
      <w:r w:rsidRPr="00E8358C">
        <w:t xml:space="preserve"> vol.</w:t>
      </w:r>
      <w:r>
        <w:t> </w:t>
      </w:r>
      <w:r w:rsidRPr="00E8358C">
        <w:t>1, n</w:t>
      </w:r>
      <w:r w:rsidRPr="00E8358C">
        <w:rPr>
          <w:vertAlign w:val="superscript"/>
        </w:rPr>
        <w:t>o</w:t>
      </w:r>
      <w:r w:rsidRPr="00E8358C">
        <w:t> 3, 2009, en ligne, http://eduep.uepb.edu.br/sociopoetica/publicacoes/v1n3pdf/09_maximilien_laroche.pdf</w:t>
      </w:r>
    </w:p>
    <w:p w:rsidR="004C50DC" w:rsidRPr="00E8358C" w:rsidRDefault="004C50DC" w:rsidP="004C50DC">
      <w:pPr>
        <w:spacing w:before="120" w:after="120"/>
        <w:jc w:val="both"/>
      </w:pPr>
      <w:r w:rsidRPr="00E8358C">
        <w:t xml:space="preserve">-------, « J’oublie, je me souviens, je rêve », dans </w:t>
      </w:r>
      <w:r w:rsidRPr="00E8358C">
        <w:rPr>
          <w:i/>
        </w:rPr>
        <w:t>Ethnologies</w:t>
      </w:r>
      <w:r w:rsidRPr="00E8358C">
        <w:t>, n</w:t>
      </w:r>
      <w:r w:rsidRPr="00E8358C">
        <w:t>u</w:t>
      </w:r>
      <w:r w:rsidRPr="00E8358C">
        <w:t xml:space="preserve">méro thématique </w:t>
      </w:r>
      <w:r w:rsidRPr="00E8358C">
        <w:rPr>
          <w:i/>
        </w:rPr>
        <w:t>Haïti face au passé</w:t>
      </w:r>
      <w:r w:rsidRPr="00E8358C">
        <w:t xml:space="preserve">, </w:t>
      </w:r>
      <w:r w:rsidRPr="00E8358C">
        <w:rPr>
          <w:i/>
        </w:rPr>
        <w:t>Ethnologies</w:t>
      </w:r>
      <w:r w:rsidRPr="00E8358C">
        <w:t>, vol. 28, n</w:t>
      </w:r>
      <w:r w:rsidRPr="00E8358C">
        <w:rPr>
          <w:vertAlign w:val="superscript"/>
        </w:rPr>
        <w:t>o</w:t>
      </w:r>
      <w:r w:rsidRPr="00E8358C">
        <w:t> 1, 2006, p</w:t>
      </w:r>
      <w:r>
        <w:t>p</w:t>
      </w:r>
      <w:r w:rsidRPr="00E8358C">
        <w:t>. 133-145.</w:t>
      </w:r>
    </w:p>
    <w:p w:rsidR="004C50DC" w:rsidRDefault="004C50DC" w:rsidP="004C50DC">
      <w:pPr>
        <w:spacing w:before="120" w:after="120"/>
        <w:jc w:val="both"/>
      </w:pPr>
      <w:r>
        <w:t>[482]</w:t>
      </w:r>
    </w:p>
    <w:p w:rsidR="004C50DC" w:rsidRPr="00E8358C" w:rsidRDefault="004C50DC" w:rsidP="004C50DC">
      <w:pPr>
        <w:spacing w:before="120" w:after="120"/>
        <w:jc w:val="both"/>
      </w:pPr>
      <w:r w:rsidRPr="00E8358C">
        <w:t>--------,</w:t>
      </w:r>
      <w:r w:rsidRPr="00E8358C">
        <w:rPr>
          <w:i/>
        </w:rPr>
        <w:t xml:space="preserve"> </w:t>
      </w:r>
      <w:hyperlink r:id="rId151" w:history="1">
        <w:r w:rsidRPr="00CF6931">
          <w:rPr>
            <w:rStyle w:val="Lienhypertexte"/>
            <w:i/>
          </w:rPr>
          <w:t>La double scène de la représentation. Oraliture et littér</w:t>
        </w:r>
        <w:r w:rsidRPr="00CF6931">
          <w:rPr>
            <w:rStyle w:val="Lienhypertexte"/>
            <w:i/>
          </w:rPr>
          <w:t>a</w:t>
        </w:r>
        <w:r w:rsidRPr="00CF6931">
          <w:rPr>
            <w:rStyle w:val="Lienhypertexte"/>
            <w:i/>
          </w:rPr>
          <w:t>ture dans la Caraïbe</w:t>
        </w:r>
      </w:hyperlink>
      <w:r w:rsidRPr="00E8358C">
        <w:t>, Québec, GRELCA, Université Laval, coll. « Essais », n</w:t>
      </w:r>
      <w:r w:rsidRPr="00E8358C">
        <w:rPr>
          <w:vertAlign w:val="superscript"/>
        </w:rPr>
        <w:t>o</w:t>
      </w:r>
      <w:r w:rsidRPr="00E8358C">
        <w:t> 8, 1991.</w:t>
      </w:r>
    </w:p>
    <w:p w:rsidR="004C50DC" w:rsidRPr="00E8358C" w:rsidRDefault="004C50DC" w:rsidP="004C50DC">
      <w:pPr>
        <w:spacing w:before="120" w:after="120"/>
        <w:jc w:val="both"/>
      </w:pPr>
      <w:r w:rsidRPr="00E8358C">
        <w:rPr>
          <w:rFonts w:eastAsia="Calibri"/>
        </w:rPr>
        <w:t xml:space="preserve">-------, « La diglossie littéraire dans “Gouverneurs de la rosée” : termes de couleur et conflit de langues », </w:t>
      </w:r>
      <w:r w:rsidRPr="00E8358C">
        <w:rPr>
          <w:rFonts w:eastAsia="Calibri"/>
          <w:i/>
        </w:rPr>
        <w:t>Études littéraires</w:t>
      </w:r>
      <w:r w:rsidRPr="00E8358C">
        <w:rPr>
          <w:rFonts w:eastAsia="Calibri"/>
        </w:rPr>
        <w:t>, vol. 13, n</w:t>
      </w:r>
      <w:r w:rsidRPr="00E8358C">
        <w:rPr>
          <w:rFonts w:eastAsia="Calibri"/>
          <w:vertAlign w:val="superscript"/>
        </w:rPr>
        <w:t>o</w:t>
      </w:r>
      <w:r w:rsidRPr="00E8358C">
        <w:rPr>
          <w:rFonts w:eastAsia="Calibri"/>
        </w:rPr>
        <w:t> 2, 1980, p</w:t>
      </w:r>
      <w:r>
        <w:rPr>
          <w:rFonts w:eastAsia="Calibri"/>
        </w:rPr>
        <w:t>p</w:t>
      </w:r>
      <w:r w:rsidRPr="00E8358C">
        <w:rPr>
          <w:rFonts w:eastAsia="Calibri"/>
        </w:rPr>
        <w:t>. 263-288</w:t>
      </w:r>
      <w:r w:rsidRPr="00E8358C">
        <w:t>.</w:t>
      </w:r>
    </w:p>
    <w:p w:rsidR="004C50DC" w:rsidRPr="00E8358C" w:rsidRDefault="004C50DC" w:rsidP="004C50DC">
      <w:pPr>
        <w:spacing w:before="120" w:after="120"/>
        <w:jc w:val="both"/>
      </w:pPr>
      <w:r w:rsidRPr="00E8358C">
        <w:t>-------, « Mythe africain et mythe antillais : le personnage du zo</w:t>
      </w:r>
      <w:r w:rsidRPr="00E8358C">
        <w:t>m</w:t>
      </w:r>
      <w:r w:rsidRPr="00E8358C">
        <w:t xml:space="preserve">bi », </w:t>
      </w:r>
      <w:r w:rsidRPr="00E8358C">
        <w:rPr>
          <w:i/>
        </w:rPr>
        <w:t>Revue canadienne des études africaines</w:t>
      </w:r>
      <w:r w:rsidRPr="00E8358C">
        <w:t>, vol. IX, n</w:t>
      </w:r>
      <w:r w:rsidRPr="00E8358C">
        <w:rPr>
          <w:vertAlign w:val="superscript"/>
        </w:rPr>
        <w:t>o</w:t>
      </w:r>
      <w:r w:rsidRPr="00E8358C">
        <w:t xml:space="preserve"> 3, 1975, p</w:t>
      </w:r>
      <w:r>
        <w:t>p</w:t>
      </w:r>
      <w:r w:rsidRPr="00E8358C">
        <w:t>. 479-491.</w:t>
      </w:r>
    </w:p>
    <w:p w:rsidR="004C50DC" w:rsidRPr="00E8358C" w:rsidRDefault="004C50DC" w:rsidP="004C50DC">
      <w:pPr>
        <w:spacing w:before="120" w:after="120"/>
        <w:jc w:val="both"/>
        <w:rPr>
          <w:rFonts w:eastAsia="Calibri"/>
        </w:rPr>
      </w:pPr>
      <w:r w:rsidRPr="00E8358C">
        <w:t xml:space="preserve">La Selve, Edgar, </w:t>
      </w:r>
      <w:r w:rsidRPr="00E8358C">
        <w:rPr>
          <w:i/>
        </w:rPr>
        <w:t xml:space="preserve">Le pays des Nègres. Voyage à Haïti, ancienne partie française de Saint-Domingue, </w:t>
      </w:r>
      <w:r w:rsidRPr="00E8358C">
        <w:t>Paris, Hachette et C</w:t>
      </w:r>
      <w:r w:rsidRPr="00E8358C">
        <w:rPr>
          <w:vertAlign w:val="superscript"/>
        </w:rPr>
        <w:t>ie</w:t>
      </w:r>
      <w:r w:rsidRPr="00E8358C">
        <w:t>, 1881.</w:t>
      </w:r>
    </w:p>
    <w:p w:rsidR="004C50DC" w:rsidRPr="00E8358C" w:rsidRDefault="004C50DC" w:rsidP="004C50DC">
      <w:pPr>
        <w:spacing w:before="120" w:after="120"/>
        <w:jc w:val="both"/>
        <w:rPr>
          <w:lang w:eastAsia="en-CA"/>
        </w:rPr>
      </w:pPr>
      <w:r w:rsidRPr="00E8358C">
        <w:rPr>
          <w:lang w:eastAsia="en-CA"/>
        </w:rPr>
        <w:t xml:space="preserve">Lefeuvre, Daniel, </w:t>
      </w:r>
      <w:r w:rsidRPr="00E8358C">
        <w:rPr>
          <w:i/>
          <w:lang w:eastAsia="en-CA"/>
        </w:rPr>
        <w:t>Pour en finir avec la repentance coloniale,</w:t>
      </w:r>
      <w:r w:rsidRPr="00E8358C">
        <w:rPr>
          <w:lang w:eastAsia="en-CA"/>
        </w:rPr>
        <w:t xml:space="preserve"> Paris, Flammarion, 2006.</w:t>
      </w:r>
    </w:p>
    <w:p w:rsidR="004C50DC" w:rsidRPr="00E8358C" w:rsidRDefault="004C50DC" w:rsidP="004C50DC">
      <w:pPr>
        <w:spacing w:before="120" w:after="120"/>
        <w:jc w:val="both"/>
        <w:rPr>
          <w:lang w:eastAsia="en-CA"/>
        </w:rPr>
      </w:pPr>
      <w:r w:rsidRPr="00E8358C">
        <w:t xml:space="preserve">Le Glaunec, Jean-Pierre, </w:t>
      </w:r>
      <w:r w:rsidRPr="00E8358C">
        <w:rPr>
          <w:i/>
        </w:rPr>
        <w:t>L’armée indigène. La défaite de Nap</w:t>
      </w:r>
      <w:r w:rsidRPr="00E8358C">
        <w:rPr>
          <w:i/>
        </w:rPr>
        <w:t>o</w:t>
      </w:r>
      <w:r w:rsidRPr="00E8358C">
        <w:rPr>
          <w:i/>
        </w:rPr>
        <w:t>léon en Haïti</w:t>
      </w:r>
      <w:r w:rsidRPr="00E8358C">
        <w:t>, Montréal, Lux, 2014.</w:t>
      </w:r>
    </w:p>
    <w:p w:rsidR="004C50DC" w:rsidRPr="00E8358C" w:rsidRDefault="004C50DC" w:rsidP="004C50DC">
      <w:pPr>
        <w:spacing w:before="120" w:after="120"/>
        <w:jc w:val="both"/>
      </w:pPr>
      <w:r w:rsidRPr="00E8358C">
        <w:t xml:space="preserve">Le Goff, Jacques (dir.), </w:t>
      </w:r>
      <w:r w:rsidRPr="00E8358C">
        <w:rPr>
          <w:i/>
        </w:rPr>
        <w:t>Patrimoine et passions identitaires. Actes des entretiens du patrimoine</w:t>
      </w:r>
      <w:r w:rsidRPr="00E8358C">
        <w:t>, Paris, Fayard/CNMHS/Éditions du p</w:t>
      </w:r>
      <w:r w:rsidRPr="00E8358C">
        <w:t>a</w:t>
      </w:r>
      <w:r w:rsidRPr="00E8358C">
        <w:t>trimoine, 1998.</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Histoire et mémoire</w:t>
      </w:r>
      <w:r w:rsidRPr="00E8358C">
        <w:t>, Paris, Gallimard, 1988.</w:t>
      </w:r>
    </w:p>
    <w:p w:rsidR="004C50DC" w:rsidRPr="00E8358C" w:rsidRDefault="004C50DC" w:rsidP="004C50DC">
      <w:pPr>
        <w:spacing w:before="120" w:after="120"/>
        <w:jc w:val="both"/>
      </w:pPr>
      <w:r w:rsidRPr="00E8358C">
        <w:t xml:space="preserve">Lepaludier, Laurent, </w:t>
      </w:r>
      <w:r w:rsidRPr="00E8358C">
        <w:rPr>
          <w:i/>
        </w:rPr>
        <w:t>L’objet et le récit de fiction</w:t>
      </w:r>
      <w:r w:rsidRPr="00E8358C">
        <w:t>, Rennes, Presses de l’Université de Rennes, 2004.</w:t>
      </w:r>
    </w:p>
    <w:p w:rsidR="004C50DC" w:rsidRPr="00E8358C" w:rsidRDefault="004C50DC" w:rsidP="004C50DC">
      <w:pPr>
        <w:spacing w:before="120" w:after="120"/>
        <w:jc w:val="both"/>
      </w:pPr>
      <w:r w:rsidRPr="00E8358C">
        <w:t xml:space="preserve">Lerebours, Michel-Philippe, </w:t>
      </w:r>
      <w:r w:rsidRPr="00E8358C">
        <w:rPr>
          <w:i/>
        </w:rPr>
        <w:t>L’habitation sucrière dominguoise et les vestiges d’habitations sucrières dans la région de Port-au-Prince</w:t>
      </w:r>
      <w:r w:rsidRPr="00E8358C">
        <w:t>, Port-au-Prince, Presses nationales d’Haïti, 2006.</w:t>
      </w:r>
    </w:p>
    <w:p w:rsidR="004C50DC" w:rsidRPr="00E8358C" w:rsidRDefault="004C50DC" w:rsidP="004C50DC">
      <w:pPr>
        <w:spacing w:before="120" w:after="120"/>
        <w:jc w:val="both"/>
      </w:pPr>
      <w:r w:rsidRPr="00E8358C">
        <w:t xml:space="preserve">-------, </w:t>
      </w:r>
      <w:r w:rsidRPr="00E8358C">
        <w:rPr>
          <w:i/>
          <w:iCs/>
        </w:rPr>
        <w:t>Esclavage : mémoire et patrimoine. Vestiges d’habitations sucrières de la région de Port-au-Prince</w:t>
      </w:r>
      <w:r w:rsidRPr="00E8358C">
        <w:t>, Port-au-Prince, Presses n</w:t>
      </w:r>
      <w:r w:rsidRPr="00E8358C">
        <w:t>a</w:t>
      </w:r>
      <w:r w:rsidRPr="00E8358C">
        <w:t>tionales d’Haïti, 1999.</w:t>
      </w:r>
    </w:p>
    <w:p w:rsidR="004C50DC" w:rsidRPr="00E8358C" w:rsidRDefault="004C50DC" w:rsidP="004C50DC">
      <w:pPr>
        <w:spacing w:before="120" w:after="120"/>
        <w:jc w:val="both"/>
      </w:pPr>
      <w:r w:rsidRPr="00E8358C">
        <w:t xml:space="preserve">Leroi-Gourhan, André, « Cinéma et Sciences humaines, le film ethnographique existe-t-il ? », </w:t>
      </w:r>
      <w:r w:rsidRPr="00E8358C">
        <w:rPr>
          <w:i/>
        </w:rPr>
        <w:t>Revue de géographie humaine et d’ethnologie</w:t>
      </w:r>
      <w:r w:rsidRPr="00E8358C">
        <w:t>, n</w:t>
      </w:r>
      <w:r w:rsidRPr="00E8358C">
        <w:rPr>
          <w:vertAlign w:val="superscript"/>
        </w:rPr>
        <w:t>o</w:t>
      </w:r>
      <w:r w:rsidRPr="00E8358C">
        <w:t xml:space="preserve"> 3, 1948, </w:t>
      </w:r>
      <w:r>
        <w:t>p</w:t>
      </w:r>
      <w:r w:rsidRPr="00E8358C">
        <w:t>p. 42-51.</w:t>
      </w:r>
    </w:p>
    <w:p w:rsidR="004C50DC" w:rsidRPr="00E8358C" w:rsidRDefault="004C50DC" w:rsidP="004C50DC">
      <w:pPr>
        <w:spacing w:before="120" w:after="120"/>
        <w:jc w:val="both"/>
      </w:pPr>
      <w:r w:rsidRPr="00E8358C">
        <w:t xml:space="preserve">Leroy-Beaulieu, Paul, </w:t>
      </w:r>
      <w:r w:rsidRPr="00E8358C">
        <w:rPr>
          <w:i/>
        </w:rPr>
        <w:t>De la colonisation chez les peuples mode</w:t>
      </w:r>
      <w:r w:rsidRPr="00E8358C">
        <w:rPr>
          <w:i/>
        </w:rPr>
        <w:t>r</w:t>
      </w:r>
      <w:r w:rsidRPr="00E8358C">
        <w:rPr>
          <w:i/>
        </w:rPr>
        <w:t>nes</w:t>
      </w:r>
      <w:r w:rsidRPr="00E8358C">
        <w:t>, Paris, Guillaumin et Cie, 1882.</w:t>
      </w:r>
    </w:p>
    <w:p w:rsidR="004C50DC" w:rsidRPr="00E8358C" w:rsidRDefault="004C50DC" w:rsidP="004C50DC">
      <w:pPr>
        <w:spacing w:before="120" w:after="120"/>
        <w:jc w:val="both"/>
      </w:pPr>
      <w:r w:rsidRPr="00E8358C">
        <w:t xml:space="preserve">Le Roux, Yannick, Réginald Auger et Nathalie Cazelles, </w:t>
      </w:r>
      <w:r w:rsidRPr="00E8358C">
        <w:rPr>
          <w:i/>
        </w:rPr>
        <w:t>Les jésu</w:t>
      </w:r>
      <w:r w:rsidRPr="00E8358C">
        <w:rPr>
          <w:i/>
        </w:rPr>
        <w:t>i</w:t>
      </w:r>
      <w:r w:rsidRPr="00E8358C">
        <w:rPr>
          <w:i/>
        </w:rPr>
        <w:t xml:space="preserve">tes et l’esclavage. Loyola : l’habitation des jésuites de Rémire en Guyane française, </w:t>
      </w:r>
      <w:r w:rsidRPr="00E8358C">
        <w:t>Montréal, Presses de l’Université de Québec, 2009.</w:t>
      </w:r>
    </w:p>
    <w:p w:rsidR="004C50DC" w:rsidRPr="00E8358C" w:rsidRDefault="004C50DC" w:rsidP="004C50DC">
      <w:pPr>
        <w:spacing w:before="120" w:after="120"/>
        <w:jc w:val="both"/>
      </w:pPr>
      <w:r w:rsidRPr="00E8358C">
        <w:t xml:space="preserve">Lesko, Kathleen M., Valerie Babb et Carroll R. Gibbs, </w:t>
      </w:r>
      <w:r w:rsidRPr="00E8358C">
        <w:rPr>
          <w:i/>
        </w:rPr>
        <w:t>Black Georgetown Remembered. A History of its Black Community from the founding of « The Town of George » in 1751 to the present day</w:t>
      </w:r>
      <w:r w:rsidRPr="00E8358C">
        <w:t>, Wa</w:t>
      </w:r>
      <w:r w:rsidRPr="00E8358C">
        <w:t>s</w:t>
      </w:r>
      <w:r w:rsidRPr="00E8358C">
        <w:t>hington DC, Georgetown University Press, 1991.</w:t>
      </w:r>
    </w:p>
    <w:p w:rsidR="004C50DC" w:rsidRPr="00E8358C" w:rsidRDefault="004C50DC" w:rsidP="004C50DC">
      <w:pPr>
        <w:spacing w:before="120" w:after="120"/>
        <w:jc w:val="both"/>
      </w:pPr>
      <w:r w:rsidRPr="00E8358C">
        <w:t>« Les proverbes. Les formes non narratives : yelbûndi ou prove</w:t>
      </w:r>
      <w:r w:rsidRPr="00E8358C">
        <w:t>r</w:t>
      </w:r>
      <w:r w:rsidRPr="00E8358C">
        <w:t xml:space="preserve">be », en ligne, </w:t>
      </w:r>
      <w:hyperlink r:id="rId152" w:history="1">
        <w:r w:rsidRPr="00E8358C">
          <w:rPr>
            <w:rStyle w:val="Lienhypertexte"/>
          </w:rPr>
          <w:t>http://www.bf.refer.org/sissao/html/p2chap15_4.html</w:t>
        </w:r>
      </w:hyperlink>
    </w:p>
    <w:p w:rsidR="004C50DC" w:rsidRPr="00E8358C" w:rsidRDefault="004C50DC" w:rsidP="004C50DC">
      <w:pPr>
        <w:spacing w:before="120" w:after="120"/>
        <w:jc w:val="both"/>
      </w:pPr>
      <w:r w:rsidRPr="00E8358C">
        <w:t xml:space="preserve">Lessault, Bertrand, « F. Hartog. Régimes d’historicité. Présentisme et expérience du temps », </w:t>
      </w:r>
      <w:r w:rsidRPr="00E8358C">
        <w:rPr>
          <w:i/>
        </w:rPr>
        <w:t>L’orientation scolaire et professionnelle</w:t>
      </w:r>
      <w:r w:rsidRPr="00E8358C">
        <w:t>, vol. 33, n</w:t>
      </w:r>
      <w:r w:rsidRPr="00E8358C">
        <w:rPr>
          <w:vertAlign w:val="superscript"/>
        </w:rPr>
        <w:t>o</w:t>
      </w:r>
      <w:r w:rsidRPr="00E8358C">
        <w:t xml:space="preserve"> 3, 2004, en ligne, </w:t>
      </w:r>
      <w:hyperlink r:id="rId153" w:history="1">
        <w:r w:rsidRPr="00E8358C">
          <w:rPr>
            <w:rStyle w:val="Lienhypertexte"/>
          </w:rPr>
          <w:t>http://osp.revues.org/752</w:t>
        </w:r>
      </w:hyperlink>
    </w:p>
    <w:p w:rsidR="004C50DC" w:rsidRPr="00E8358C" w:rsidRDefault="004C50DC" w:rsidP="004C50DC">
      <w:pPr>
        <w:spacing w:before="120" w:after="120"/>
        <w:jc w:val="both"/>
      </w:pPr>
      <w:r w:rsidRPr="00E8358C">
        <w:t xml:space="preserve">Loicq, Jean, « La toponymie ou science des noms de lieux. Son application au patrimoine celtique de l’Ardenne », </w:t>
      </w:r>
      <w:r w:rsidRPr="00E8358C">
        <w:rPr>
          <w:i/>
        </w:rPr>
        <w:t>Folia Electronica Classica</w:t>
      </w:r>
      <w:r w:rsidRPr="00E8358C">
        <w:t xml:space="preserve"> (Louvain-la-Neuve), n</w:t>
      </w:r>
      <w:r w:rsidRPr="00E8358C">
        <w:rPr>
          <w:vertAlign w:val="superscript"/>
        </w:rPr>
        <w:t>o</w:t>
      </w:r>
      <w:r w:rsidRPr="00E8358C">
        <w:t xml:space="preserve"> 5, janvier-juin 2003, en ligne, </w:t>
      </w:r>
      <w:hyperlink r:id="rId154" w:history="1">
        <w:r w:rsidRPr="00E8358C">
          <w:rPr>
            <w:rStyle w:val="Lienhypertexte"/>
          </w:rPr>
          <w:t>http://bcs.fltr.ucl.ac.be/fe/05/toponymie.html</w:t>
        </w:r>
      </w:hyperlink>
    </w:p>
    <w:p w:rsidR="004C50DC" w:rsidRPr="00E8358C" w:rsidRDefault="004C50DC" w:rsidP="004C50DC">
      <w:pPr>
        <w:spacing w:before="120" w:after="120"/>
        <w:jc w:val="both"/>
      </w:pPr>
      <w:r w:rsidRPr="00E8358C">
        <w:t xml:space="preserve">Louis, Marceau, </w:t>
      </w:r>
      <w:r w:rsidRPr="00E8358C">
        <w:rPr>
          <w:i/>
        </w:rPr>
        <w:t>Marie Claire Heureuse Impératrice d’Haïti</w:t>
      </w:r>
      <w:r w:rsidRPr="00E8358C">
        <w:t>, Port-au-Prince, Les Presses Libres, 1954.</w:t>
      </w:r>
    </w:p>
    <w:p w:rsidR="004C50DC" w:rsidRPr="00E8358C" w:rsidRDefault="004C50DC" w:rsidP="004C50DC">
      <w:pPr>
        <w:spacing w:before="120" w:after="120"/>
        <w:jc w:val="both"/>
      </w:pPr>
      <w:r w:rsidRPr="00E8358C">
        <w:t>Lowenthal, Ira P.,</w:t>
      </w:r>
      <w:r w:rsidRPr="00E8358C">
        <w:rPr>
          <w:rStyle w:val="apple-converted-space"/>
        </w:rPr>
        <w:t xml:space="preserve"> « Haiti: Behind Mountains, More Mountains », </w:t>
      </w:r>
      <w:r w:rsidRPr="00E8358C">
        <w:rPr>
          <w:rStyle w:val="Accentuation"/>
        </w:rPr>
        <w:t>Reviews in Anthropology</w:t>
      </w:r>
      <w:r w:rsidRPr="00E8358C">
        <w:t>, vol. 3, n</w:t>
      </w:r>
      <w:r w:rsidRPr="00E8358C">
        <w:rPr>
          <w:vertAlign w:val="superscript"/>
        </w:rPr>
        <w:t>o</w:t>
      </w:r>
      <w:r w:rsidRPr="00E8358C">
        <w:t>  6, 1976, p</w:t>
      </w:r>
      <w:r>
        <w:t>p</w:t>
      </w:r>
      <w:r w:rsidRPr="00E8358C">
        <w:t>. 656-669.</w:t>
      </w:r>
    </w:p>
    <w:p w:rsidR="004C50DC" w:rsidRPr="00E8358C" w:rsidRDefault="004C50DC" w:rsidP="004C50DC">
      <w:pPr>
        <w:spacing w:before="120" w:after="120"/>
        <w:jc w:val="both"/>
      </w:pPr>
      <w:r w:rsidRPr="00E8358C">
        <w:t xml:space="preserve">Lubin, Eddy et Ronald Paul, </w:t>
      </w:r>
      <w:r w:rsidRPr="00E8358C">
        <w:rPr>
          <w:i/>
        </w:rPr>
        <w:t>La politique culturelle de la Républ</w:t>
      </w:r>
      <w:r w:rsidRPr="00E8358C">
        <w:rPr>
          <w:i/>
        </w:rPr>
        <w:t>i</w:t>
      </w:r>
      <w:r w:rsidRPr="00E8358C">
        <w:rPr>
          <w:i/>
        </w:rPr>
        <w:t>que d’Haïti. Proposition du ministre Eddy Lubin</w:t>
      </w:r>
      <w:r w:rsidRPr="00E8358C">
        <w:t>, Port-au-Prince, Presses nationales d’Haïti, mars 2008.</w:t>
      </w:r>
    </w:p>
    <w:p w:rsidR="004C50DC" w:rsidRPr="00E8358C" w:rsidRDefault="004C50DC" w:rsidP="004C50DC">
      <w:pPr>
        <w:spacing w:before="120" w:after="120"/>
        <w:jc w:val="both"/>
      </w:pPr>
      <w:r w:rsidRPr="00E8358C">
        <w:t xml:space="preserve">Lubin, Maurice A., </w:t>
      </w:r>
      <w:r w:rsidRPr="00E8358C">
        <w:rPr>
          <w:i/>
        </w:rPr>
        <w:t>L’Afrique dans la poésie haïtienne</w:t>
      </w:r>
      <w:r w:rsidRPr="00E8358C">
        <w:t>, Port-au-Prince, Panorama, 1965.</w:t>
      </w:r>
    </w:p>
    <w:p w:rsidR="004C50DC" w:rsidRDefault="004C50DC" w:rsidP="004C50DC">
      <w:pPr>
        <w:spacing w:before="120" w:after="120"/>
        <w:jc w:val="both"/>
      </w:pPr>
      <w:r>
        <w:t>[483]</w:t>
      </w:r>
    </w:p>
    <w:p w:rsidR="004C50DC" w:rsidRPr="00E8358C" w:rsidRDefault="004C50DC" w:rsidP="004C50DC">
      <w:pPr>
        <w:spacing w:before="120" w:after="120"/>
        <w:jc w:val="both"/>
      </w:pPr>
      <w:r w:rsidRPr="00E8358C">
        <w:t xml:space="preserve">Lucas, Rafael, « Figures de l’autorité dans l’histoire et la littérature haïtiennes », dans Pierre-Louis Naud (dir.), </w:t>
      </w:r>
      <w:r w:rsidRPr="00E8358C">
        <w:rPr>
          <w:i/>
        </w:rPr>
        <w:t>Haïti. Les recherches en sciences sociales et les mutations sociopolitiques et économiques</w:t>
      </w:r>
      <w:r w:rsidRPr="00E8358C">
        <w:t>, P</w:t>
      </w:r>
      <w:r w:rsidRPr="00E8358C">
        <w:t>a</w:t>
      </w:r>
      <w:r w:rsidRPr="00E8358C">
        <w:t>ris, L’Harmattan, 2007, p</w:t>
      </w:r>
      <w:r>
        <w:t>p</w:t>
      </w:r>
      <w:r w:rsidRPr="00E8358C">
        <w:t>. 83-113.</w:t>
      </w:r>
    </w:p>
    <w:p w:rsidR="004C50DC" w:rsidRPr="00E8358C" w:rsidRDefault="004C50DC" w:rsidP="004C50DC">
      <w:pPr>
        <w:spacing w:before="120" w:after="120"/>
        <w:jc w:val="both"/>
      </w:pPr>
      <w:r w:rsidRPr="007F5D4F">
        <w:t xml:space="preserve">MacCannell, Dean, « Tourisme et identité culturelle », </w:t>
      </w:r>
      <w:r w:rsidRPr="007F5D4F">
        <w:rPr>
          <w:i/>
        </w:rPr>
        <w:t>Commun</w:t>
      </w:r>
      <w:r w:rsidRPr="007F5D4F">
        <w:rPr>
          <w:i/>
        </w:rPr>
        <w:t>i</w:t>
      </w:r>
      <w:r w:rsidRPr="007F5D4F">
        <w:rPr>
          <w:i/>
        </w:rPr>
        <w:t>tas</w:t>
      </w:r>
      <w:r w:rsidRPr="007F5D4F">
        <w:t>, no 43, 1986, pp. 169-186.</w:t>
      </w:r>
    </w:p>
    <w:p w:rsidR="004C50DC" w:rsidRPr="00E8358C" w:rsidRDefault="004C50DC" w:rsidP="004C50DC">
      <w:pPr>
        <w:spacing w:before="120" w:after="120"/>
        <w:jc w:val="both"/>
      </w:pPr>
      <w:r w:rsidRPr="00E8358C">
        <w:t xml:space="preserve">Madiou, Thomas, </w:t>
      </w:r>
      <w:r w:rsidRPr="00E8358C">
        <w:rPr>
          <w:i/>
        </w:rPr>
        <w:t>Histoire d’Haïti</w:t>
      </w:r>
      <w:r w:rsidRPr="00E8358C">
        <w:t>, Tome III, Port-au-Prince, Henri Deschamps, 1989.</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Histoire d’Haïti</w:t>
      </w:r>
      <w:r w:rsidRPr="00E8358C">
        <w:t>, tome I, Port-au-Prince, Chenet, 1922.</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Histoire d’Haïti</w:t>
      </w:r>
      <w:r w:rsidRPr="00E8358C">
        <w:t>, tome I, Port-au-Prince, J. Courtois, 1847.</w:t>
      </w:r>
    </w:p>
    <w:p w:rsidR="004C50DC" w:rsidRPr="00E8358C" w:rsidRDefault="004C50DC" w:rsidP="004C50DC">
      <w:pPr>
        <w:spacing w:before="120" w:after="120"/>
        <w:jc w:val="both"/>
        <w:rPr>
          <w:lang w:eastAsia="en-CA"/>
        </w:rPr>
      </w:pPr>
      <w:r w:rsidRPr="00E8358C">
        <w:rPr>
          <w:lang w:eastAsia="en-CA"/>
        </w:rPr>
        <w:t xml:space="preserve">Maffesoli, Michel, </w:t>
      </w:r>
      <w:r w:rsidRPr="00E8358C">
        <w:rPr>
          <w:i/>
          <w:lang w:eastAsia="en-CA"/>
        </w:rPr>
        <w:t>Matrimonium. Petit traité d’écosophie</w:t>
      </w:r>
      <w:r w:rsidRPr="00E8358C">
        <w:rPr>
          <w:lang w:eastAsia="en-CA"/>
        </w:rPr>
        <w:t>, Paris, CNRS, 2010.</w:t>
      </w:r>
    </w:p>
    <w:p w:rsidR="004C50DC" w:rsidRPr="00E8358C" w:rsidRDefault="004C50DC" w:rsidP="004C50DC">
      <w:pPr>
        <w:spacing w:before="120" w:after="120"/>
        <w:jc w:val="both"/>
      </w:pPr>
      <w:r w:rsidRPr="00E8358C">
        <w:t xml:space="preserve">Magnien, Catherine,  </w:t>
      </w:r>
      <w:r w:rsidRPr="00E8358C">
        <w:rPr>
          <w:i/>
        </w:rPr>
        <w:t>Charles Perrault, Contes</w:t>
      </w:r>
      <w:r w:rsidRPr="00E8358C">
        <w:t>, Paris, Classiques de Poche, 2006.</w:t>
      </w:r>
    </w:p>
    <w:p w:rsidR="004C50DC" w:rsidRPr="00E8358C" w:rsidRDefault="004C50DC" w:rsidP="004C50DC">
      <w:pPr>
        <w:spacing w:before="120" w:after="120"/>
        <w:jc w:val="both"/>
        <w:rPr>
          <w:lang w:eastAsia="en-CA"/>
        </w:rPr>
      </w:pPr>
      <w:r w:rsidRPr="00E8358C">
        <w:rPr>
          <w:rStyle w:val="lev"/>
          <w:b w:val="0"/>
          <w:bCs/>
        </w:rPr>
        <w:t>Maheux, Hubertet Marc</w:t>
      </w:r>
      <w:r w:rsidRPr="00E8358C">
        <w:rPr>
          <w:rStyle w:val="familyname"/>
        </w:rPr>
        <w:t>Pabois</w:t>
      </w:r>
      <w:r w:rsidRPr="00E8358C">
        <w:t xml:space="preserve">, « Haïti », </w:t>
      </w:r>
      <w:r w:rsidRPr="00E8358C">
        <w:rPr>
          <w:rStyle w:val="Accentuation"/>
        </w:rPr>
        <w:t>In Situ. Revue des patr</w:t>
      </w:r>
      <w:r w:rsidRPr="00E8358C">
        <w:rPr>
          <w:rStyle w:val="Accentuation"/>
        </w:rPr>
        <w:t>i</w:t>
      </w:r>
      <w:r w:rsidRPr="00E8358C">
        <w:rPr>
          <w:rStyle w:val="Accentuation"/>
        </w:rPr>
        <w:t>moines</w:t>
      </w:r>
      <w:r w:rsidRPr="00E8358C">
        <w:t>, n</w:t>
      </w:r>
      <w:r w:rsidRPr="00E8358C">
        <w:rPr>
          <w:vertAlign w:val="superscript"/>
        </w:rPr>
        <w:t>o</w:t>
      </w:r>
      <w:r w:rsidRPr="00E8358C">
        <w:t> 3, 2003, en ligne, http://insitu.revues.org/2061; DOI : 10.4000/insitu.2061</w:t>
      </w:r>
    </w:p>
    <w:p w:rsidR="004C50DC" w:rsidRPr="00E8358C" w:rsidRDefault="004C50DC" w:rsidP="004C50DC">
      <w:pPr>
        <w:spacing w:before="120" w:after="120"/>
        <w:jc w:val="both"/>
      </w:pPr>
      <w:r w:rsidRPr="00E8358C">
        <w:t xml:space="preserve">Malet, Pierre, « La traite négrière reste un tabou. De Bordeaux aux côtes africaines », </w:t>
      </w:r>
      <w:r w:rsidRPr="00E8358C">
        <w:rPr>
          <w:i/>
        </w:rPr>
        <w:t>Slate.fr</w:t>
      </w:r>
      <w:r w:rsidRPr="00E8358C">
        <w:t xml:space="preserve">, 7 mai 2009, en ligne, </w:t>
      </w:r>
      <w:hyperlink r:id="rId155" w:history="1">
        <w:r w:rsidRPr="00E8358C">
          <w:rPr>
            <w:rStyle w:val="Lienhypertexte"/>
          </w:rPr>
          <w:t>http://www.slate.fr/story/4839/la-traite-négrière-reste-un-sujet-tabou</w:t>
        </w:r>
      </w:hyperlink>
    </w:p>
    <w:p w:rsidR="004C50DC" w:rsidRPr="00E8358C" w:rsidRDefault="004C50DC" w:rsidP="004C50DC">
      <w:pPr>
        <w:spacing w:before="120" w:after="120"/>
        <w:jc w:val="both"/>
      </w:pPr>
      <w:r w:rsidRPr="00E8358C">
        <w:t xml:space="preserve">Malone, Joseph C., « La sentencia del TC », </w:t>
      </w:r>
      <w:r w:rsidRPr="00E8358C">
        <w:rPr>
          <w:i/>
        </w:rPr>
        <w:t>Listin Diario</w:t>
      </w:r>
      <w:r w:rsidRPr="00E8358C">
        <w:t>, 30 se</w:t>
      </w:r>
      <w:r w:rsidRPr="00E8358C">
        <w:t>p</w:t>
      </w:r>
      <w:r w:rsidRPr="00E8358C">
        <w:t xml:space="preserve">tembre 2013, en ligne, </w:t>
      </w:r>
      <w:hyperlink r:id="rId156" w:history="1">
        <w:r w:rsidRPr="00E8358C">
          <w:rPr>
            <w:rStyle w:val="Lienhypertexte"/>
          </w:rPr>
          <w:t>http://www.listindiario.com/puntos-de-vista/2013/09/30/294004/la-sentencia-del-tc</w:t>
        </w:r>
      </w:hyperlink>
    </w:p>
    <w:p w:rsidR="004C50DC" w:rsidRPr="00E8358C" w:rsidRDefault="004C50DC" w:rsidP="004C50DC">
      <w:pPr>
        <w:spacing w:before="120" w:after="120"/>
        <w:jc w:val="both"/>
      </w:pPr>
      <w:r w:rsidRPr="00E8358C">
        <w:t xml:space="preserve">Manigat, Leslie-François, </w:t>
      </w:r>
      <w:hyperlink r:id="rId157" w:history="1">
        <w:r w:rsidRPr="00E8358C">
          <w:rPr>
            <w:i/>
          </w:rPr>
          <w:t>La crise haïtienne contemporaine. R</w:t>
        </w:r>
        <w:r w:rsidRPr="00E8358C">
          <w:rPr>
            <w:i/>
          </w:rPr>
          <w:t>é</w:t>
        </w:r>
        <w:r w:rsidRPr="00E8358C">
          <w:rPr>
            <w:i/>
          </w:rPr>
          <w:t xml:space="preserve">trospective et perspective dans la saisie du point de vue critique d’aujourd’hui. Une lecture d’historien-politologue, </w:t>
        </w:r>
        <w:r w:rsidRPr="00E8358C">
          <w:t>collection du CHUDAC, 2009.</w:t>
        </w:r>
      </w:hyperlink>
    </w:p>
    <w:p w:rsidR="004C50DC" w:rsidRPr="00E8358C" w:rsidRDefault="004C50DC" w:rsidP="004C50DC">
      <w:pPr>
        <w:spacing w:before="120" w:after="120"/>
        <w:jc w:val="both"/>
      </w:pPr>
      <w:r w:rsidRPr="00E8358C">
        <w:t xml:space="preserve">-------, </w:t>
      </w:r>
      <w:r w:rsidRPr="00E8358C">
        <w:rPr>
          <w:i/>
        </w:rPr>
        <w:t>La révolution de 1843. Essai d’analyse historique d’une conjoncture de crise</w:t>
      </w:r>
      <w:r w:rsidRPr="00E8358C">
        <w:t>, Port-au-Prince, Centre « Humanisme démocrat</w:t>
      </w:r>
      <w:r w:rsidRPr="00E8358C">
        <w:t>i</w:t>
      </w:r>
      <w:r w:rsidRPr="00E8358C">
        <w:t>que en action », 1997.</w:t>
      </w:r>
    </w:p>
    <w:p w:rsidR="004C50DC" w:rsidRPr="00E8358C" w:rsidRDefault="004C50DC" w:rsidP="004C50DC">
      <w:pPr>
        <w:spacing w:before="120" w:after="120"/>
        <w:jc w:val="both"/>
      </w:pPr>
      <w:r w:rsidRPr="00E8358C">
        <w:t>-------, « Annotations réflexives sur un thème porteur. La Révol</w:t>
      </w:r>
      <w:r w:rsidRPr="00E8358C">
        <w:t>u</w:t>
      </w:r>
      <w:r w:rsidRPr="00E8358C">
        <w:t>tion d’indépendance nationale  d’Haïti, de l’ethno-nationalisme à l’universalisme des droits de l’Homme (concepts et conceptions des droits de l’homme dans la dynamique du message révolutionnaire ha</w:t>
      </w:r>
      <w:r w:rsidRPr="00E8358C">
        <w:t>ï</w:t>
      </w:r>
      <w:r w:rsidRPr="00E8358C">
        <w:t xml:space="preserve">tien) », communication au colloque international </w:t>
      </w:r>
      <w:r w:rsidRPr="00E8358C">
        <w:rPr>
          <w:i/>
        </w:rPr>
        <w:t>Révolution haïtienne et Universalité des droits de l’Homme. Apports, parcours historique, perspectives,</w:t>
      </w:r>
      <w:r w:rsidRPr="00E8358C">
        <w:t xml:space="preserve"> à l’occasion du soixantième anniversaire de la Déclar</w:t>
      </w:r>
      <w:r w:rsidRPr="00E8358C">
        <w:t>a</w:t>
      </w:r>
      <w:r w:rsidRPr="00E8358C">
        <w:t>tion universelle des droits de l’Homme, Port-au-Prince, 21-23 août 2009.</w:t>
      </w:r>
    </w:p>
    <w:p w:rsidR="004C50DC" w:rsidRPr="00E8358C" w:rsidRDefault="004C50DC" w:rsidP="004C50DC">
      <w:pPr>
        <w:spacing w:before="120" w:after="120"/>
        <w:jc w:val="both"/>
      </w:pPr>
      <w:r w:rsidRPr="00E8358C">
        <w:t xml:space="preserve">-------, « En matière de dédicace », dans </w:t>
      </w:r>
      <w:r w:rsidRPr="00E8358C">
        <w:rPr>
          <w:i/>
        </w:rPr>
        <w:t>Témoignages sur la vie et l’œuvre du Dr. Jean Price Mars 1876-1956</w:t>
      </w:r>
      <w:r w:rsidRPr="00E8358C">
        <w:t>, Port-au-Prince, Imprim</w:t>
      </w:r>
      <w:r w:rsidRPr="00E8358C">
        <w:t>e</w:t>
      </w:r>
      <w:r w:rsidRPr="00E8358C">
        <w:t>rie de l’État, 1956, p</w:t>
      </w:r>
      <w:r>
        <w:t>p</w:t>
      </w:r>
      <w:r w:rsidRPr="00E8358C">
        <w:t>. 150-173.</w:t>
      </w:r>
    </w:p>
    <w:p w:rsidR="004C50DC" w:rsidRPr="00E8358C" w:rsidRDefault="004C50DC" w:rsidP="004C50DC">
      <w:pPr>
        <w:spacing w:before="120" w:after="120"/>
        <w:jc w:val="both"/>
      </w:pPr>
      <w:r w:rsidRPr="007F5D4F">
        <w:t>Marion, Henri</w:t>
      </w:r>
      <w:r w:rsidRPr="00E8358C">
        <w:t xml:space="preserve">, </w:t>
      </w:r>
      <w:r w:rsidRPr="00E8358C">
        <w:rPr>
          <w:i/>
        </w:rPr>
        <w:t xml:space="preserve">Leçons de morale, </w:t>
      </w:r>
      <w:r w:rsidRPr="00E8358C">
        <w:t>Paris, Armand Colin et C</w:t>
      </w:r>
      <w:r w:rsidRPr="00E8358C">
        <w:rPr>
          <w:vertAlign w:val="superscript"/>
        </w:rPr>
        <w:t>ie</w:t>
      </w:r>
      <w:r w:rsidRPr="00E8358C">
        <w:t>, 1884.</w:t>
      </w:r>
    </w:p>
    <w:p w:rsidR="004C50DC" w:rsidRPr="00E8358C" w:rsidRDefault="004C50DC" w:rsidP="004C50DC">
      <w:pPr>
        <w:spacing w:before="120" w:after="120"/>
        <w:jc w:val="both"/>
      </w:pPr>
      <w:r w:rsidRPr="00E8358C">
        <w:t xml:space="preserve">Martelly, Sophia, « Préambule », </w:t>
      </w:r>
      <w:r w:rsidRPr="00E8358C">
        <w:rPr>
          <w:i/>
        </w:rPr>
        <w:t>Chimen libète. Le chemin de la liberté, 20 septembre 2012-20 octobre 2012</w:t>
      </w:r>
      <w:r w:rsidRPr="00E8358C">
        <w:t>, Catalogue d’exposition, Musée du panthéon national haïtien (MUPANAH), Port-au-Prince, Henri Deschamps, 2012.</w:t>
      </w:r>
    </w:p>
    <w:p w:rsidR="004C50DC" w:rsidRPr="00E8358C" w:rsidRDefault="004C50DC" w:rsidP="004C50DC">
      <w:pPr>
        <w:spacing w:before="120" w:after="120"/>
        <w:jc w:val="both"/>
      </w:pPr>
      <w:r w:rsidRPr="00E8358C">
        <w:t xml:space="preserve">Martin, Gaston, </w:t>
      </w:r>
      <w:r w:rsidRPr="00E8358C">
        <w:rPr>
          <w:i/>
        </w:rPr>
        <w:t>Nantes au XVIII</w:t>
      </w:r>
      <w:r w:rsidRPr="00E8358C">
        <w:rPr>
          <w:i/>
          <w:vertAlign w:val="superscript"/>
        </w:rPr>
        <w:t>e</w:t>
      </w:r>
      <w:r w:rsidRPr="00E8358C">
        <w:rPr>
          <w:i/>
        </w:rPr>
        <w:t xml:space="preserve"> siècle. L’ère des négriers (1717-1774)</w:t>
      </w:r>
      <w:r w:rsidRPr="00E8358C">
        <w:t xml:space="preserve">, Paris, Karthala, 1993 [Félix Alcan, 1931]. </w:t>
      </w:r>
    </w:p>
    <w:p w:rsidR="004C50DC" w:rsidRPr="00E8358C" w:rsidRDefault="004C50DC" w:rsidP="004C50DC">
      <w:pPr>
        <w:spacing w:before="120" w:after="120"/>
        <w:jc w:val="both"/>
      </w:pPr>
      <w:r w:rsidRPr="00E8358C">
        <w:t xml:space="preserve">Martin-Doisy, Félix, </w:t>
      </w:r>
      <w:r w:rsidRPr="00E8358C">
        <w:rPr>
          <w:i/>
        </w:rPr>
        <w:t>Dictionnaire d’Économie Charitable ou E</w:t>
      </w:r>
      <w:r w:rsidRPr="00E8358C">
        <w:rPr>
          <w:i/>
        </w:rPr>
        <w:t>x</w:t>
      </w:r>
      <w:r w:rsidRPr="00E8358C">
        <w:rPr>
          <w:i/>
        </w:rPr>
        <w:t>posé Historique, théorique et pratique de l’assistance religieuse, p</w:t>
      </w:r>
      <w:r w:rsidRPr="00E8358C">
        <w:rPr>
          <w:i/>
        </w:rPr>
        <w:t>u</w:t>
      </w:r>
      <w:r w:rsidRPr="00E8358C">
        <w:rPr>
          <w:i/>
        </w:rPr>
        <w:t>blique et privée</w:t>
      </w:r>
      <w:r w:rsidRPr="00E8358C">
        <w:t>, vol.7, Paris, J.P. Migné, 1836.</w:t>
      </w:r>
    </w:p>
    <w:p w:rsidR="004C50DC" w:rsidRPr="00E8358C" w:rsidRDefault="004C50DC" w:rsidP="004C50DC">
      <w:pPr>
        <w:spacing w:before="120" w:after="120"/>
        <w:jc w:val="both"/>
      </w:pPr>
      <w:r w:rsidRPr="007F5D4F">
        <w:t xml:space="preserve">Marx, Karl, </w:t>
      </w:r>
      <w:r w:rsidRPr="007F5D4F">
        <w:rPr>
          <w:i/>
        </w:rPr>
        <w:t>Capital</w:t>
      </w:r>
      <w:r w:rsidRPr="007F5D4F">
        <w:t>, vol. I, New York, Penguin Classics, 1992.</w:t>
      </w:r>
    </w:p>
    <w:p w:rsidR="004C50DC" w:rsidRPr="00E8358C" w:rsidRDefault="004C50DC" w:rsidP="004C50DC">
      <w:pPr>
        <w:spacing w:before="120" w:after="120"/>
        <w:jc w:val="both"/>
        <w:rPr>
          <w:rFonts w:eastAsia="Cambria"/>
          <w:bCs/>
          <w:lang w:eastAsia="en-CA"/>
        </w:rPr>
      </w:pPr>
      <w:r w:rsidRPr="00E8358C">
        <w:t>Matsuura, Koïchiro, « </w:t>
      </w:r>
      <w:r w:rsidRPr="00E8358C">
        <w:rPr>
          <w:rFonts w:eastAsia="Cambria"/>
          <w:bCs/>
          <w:lang w:eastAsia="en-CA"/>
        </w:rPr>
        <w:t>Message du Directeur général de l’UNESCO à l’occasion de l’Année internationale de commémoration de la lutte contre l’esclavage et de son abolition », UNESCO, 2004</w:t>
      </w:r>
      <w:r w:rsidRPr="00E8358C">
        <w:t xml:space="preserve">, en ligne, </w:t>
      </w:r>
      <w:hyperlink r:id="rId158" w:history="1">
        <w:r w:rsidRPr="00E8358C">
          <w:rPr>
            <w:rStyle w:val="Lienhypertexte"/>
            <w:rFonts w:eastAsia="Cambria"/>
            <w:bCs/>
            <w:lang w:eastAsia="en-CA"/>
          </w:rPr>
          <w:t>http://unesdoc.unesco.org/images/0013/001337/133738f.pdf</w:t>
        </w:r>
      </w:hyperlink>
    </w:p>
    <w:p w:rsidR="004C50DC" w:rsidRDefault="004C50DC" w:rsidP="004C50DC">
      <w:pPr>
        <w:spacing w:before="120" w:after="120"/>
        <w:jc w:val="both"/>
      </w:pPr>
      <w:r>
        <w:t>[484]</w:t>
      </w:r>
    </w:p>
    <w:p w:rsidR="004C50DC" w:rsidRPr="00E8358C" w:rsidRDefault="004C50DC" w:rsidP="004C50DC">
      <w:pPr>
        <w:spacing w:before="120" w:after="120"/>
        <w:jc w:val="both"/>
      </w:pPr>
      <w:r w:rsidRPr="00E8358C">
        <w:t xml:space="preserve">Matthewson, Tim, « Jefferson and the non recognition of Haïti », </w:t>
      </w:r>
      <w:r w:rsidRPr="00E8358C">
        <w:rPr>
          <w:i/>
        </w:rPr>
        <w:t>Proceedings of the American Philosophical Society</w:t>
      </w:r>
      <w:r w:rsidRPr="00E8358C">
        <w:t>, vol. 140, n</w:t>
      </w:r>
      <w:r w:rsidRPr="00E8358C">
        <w:rPr>
          <w:vertAlign w:val="superscript"/>
        </w:rPr>
        <w:t>o</w:t>
      </w:r>
      <w:r w:rsidRPr="00E8358C">
        <w:t> 1, mars 1996, p</w:t>
      </w:r>
      <w:r>
        <w:t>p</w:t>
      </w:r>
      <w:r w:rsidRPr="00E8358C">
        <w:t>. 22-48.</w:t>
      </w:r>
    </w:p>
    <w:p w:rsidR="004C50DC" w:rsidRPr="00E8358C" w:rsidRDefault="004C50DC" w:rsidP="004C50DC">
      <w:pPr>
        <w:spacing w:before="120" w:after="120"/>
        <w:jc w:val="both"/>
      </w:pPr>
      <w:r w:rsidRPr="00E8358C">
        <w:t>Mazzoleni, Florent, « Des habitations de Saint-Domingue à la culture du fleuve Mississippi : une musique des échanges atlant</w:t>
      </w:r>
      <w:r w:rsidRPr="00E8358C">
        <w:t>i</w:t>
      </w:r>
      <w:r w:rsidRPr="00E8358C">
        <w:t xml:space="preserve">ques », dans François Hubert, Jacques de Cauna et Christian Block (dir.), </w:t>
      </w:r>
      <w:r w:rsidRPr="00E8358C">
        <w:rPr>
          <w:i/>
        </w:rPr>
        <w:t>Bordeaux au XVIII</w:t>
      </w:r>
      <w:r w:rsidRPr="00E8358C">
        <w:rPr>
          <w:i/>
          <w:vertAlign w:val="superscript"/>
        </w:rPr>
        <w:t>e</w:t>
      </w:r>
      <w:r w:rsidRPr="00E8358C">
        <w:rPr>
          <w:i/>
        </w:rPr>
        <w:t xml:space="preserve"> siècle. Le commerce atlantique et l’esclavage</w:t>
      </w:r>
      <w:r w:rsidRPr="00E8358C">
        <w:t>, Bordeaux, Le Festin, 2010, p</w:t>
      </w:r>
      <w:r>
        <w:t>p</w:t>
      </w:r>
      <w:r w:rsidRPr="00E8358C">
        <w:t>. 193-197.</w:t>
      </w:r>
    </w:p>
    <w:p w:rsidR="004C50DC" w:rsidRPr="00E8358C" w:rsidRDefault="004C50DC" w:rsidP="004C50DC">
      <w:pPr>
        <w:spacing w:before="120" w:after="120"/>
        <w:jc w:val="both"/>
        <w:rPr>
          <w:rFonts w:eastAsia="Calibri"/>
          <w:lang w:eastAsia="en-CA"/>
        </w:rPr>
      </w:pPr>
      <w:r w:rsidRPr="00E8358C">
        <w:rPr>
          <w:rFonts w:eastAsia="Calibri"/>
          <w:lang w:eastAsia="en-CA"/>
        </w:rPr>
        <w:t xml:space="preserve">Mbembe, Achille, « Qu’est-ce que la pensée postcoloniale ? », </w:t>
      </w:r>
      <w:r w:rsidRPr="007F5D4F">
        <w:rPr>
          <w:rFonts w:eastAsia="Calibri"/>
          <w:lang w:eastAsia="en-CA"/>
        </w:rPr>
        <w:t>E</w:t>
      </w:r>
      <w:r w:rsidRPr="007F5D4F">
        <w:rPr>
          <w:rFonts w:eastAsia="Calibri"/>
          <w:lang w:eastAsia="en-CA"/>
        </w:rPr>
        <w:t>s</w:t>
      </w:r>
      <w:r w:rsidRPr="007F5D4F">
        <w:rPr>
          <w:rFonts w:eastAsia="Calibri"/>
          <w:lang w:eastAsia="en-CA"/>
        </w:rPr>
        <w:t>prit</w:t>
      </w:r>
      <w:r w:rsidRPr="00E8358C">
        <w:rPr>
          <w:rFonts w:eastAsia="Calibri"/>
          <w:lang w:eastAsia="en-CA"/>
        </w:rPr>
        <w:t>, n</w:t>
      </w:r>
      <w:r w:rsidRPr="007F5D4F">
        <w:rPr>
          <w:rFonts w:eastAsia="Calibri"/>
          <w:lang w:eastAsia="en-CA"/>
        </w:rPr>
        <w:t>o</w:t>
      </w:r>
      <w:r w:rsidRPr="00E8358C">
        <w:rPr>
          <w:rFonts w:eastAsia="Calibri"/>
          <w:lang w:eastAsia="en-CA"/>
        </w:rPr>
        <w:t> 330, 2006, p</w:t>
      </w:r>
      <w:r>
        <w:rPr>
          <w:rFonts w:eastAsia="Calibri"/>
          <w:lang w:eastAsia="en-CA"/>
        </w:rPr>
        <w:t>p</w:t>
      </w:r>
      <w:r w:rsidRPr="00E8358C">
        <w:rPr>
          <w:rFonts w:eastAsia="Calibri"/>
          <w:lang w:eastAsia="en-CA"/>
        </w:rPr>
        <w:t>. 117-133.</w:t>
      </w:r>
    </w:p>
    <w:p w:rsidR="004C50DC" w:rsidRPr="007F5D4F" w:rsidRDefault="004C50DC" w:rsidP="004C50DC">
      <w:pPr>
        <w:spacing w:before="120" w:after="120"/>
        <w:jc w:val="both"/>
        <w:rPr>
          <w:rFonts w:eastAsia="Calibri"/>
          <w:lang w:eastAsia="en-CA"/>
        </w:rPr>
      </w:pPr>
      <w:r w:rsidRPr="007F5D4F">
        <w:rPr>
          <w:rFonts w:eastAsia="Calibri"/>
          <w:lang w:eastAsia="en-CA"/>
        </w:rPr>
        <w:t xml:space="preserve">Meillassoux, Claude, </w:t>
      </w:r>
      <w:r w:rsidRPr="007F5D4F">
        <w:rPr>
          <w:rFonts w:eastAsia="Calibri"/>
          <w:i/>
          <w:lang w:eastAsia="en-CA"/>
        </w:rPr>
        <w:t>Anthropologie de l’esclavage. Le ventre de fer et d’argent</w:t>
      </w:r>
      <w:r w:rsidRPr="007F5D4F">
        <w:rPr>
          <w:rFonts w:eastAsia="Calibri"/>
          <w:lang w:eastAsia="en-CA"/>
        </w:rPr>
        <w:t>, Paris, Presses Universitaires de France, 1986.</w:t>
      </w:r>
    </w:p>
    <w:p w:rsidR="004C50DC" w:rsidRPr="00E8358C" w:rsidRDefault="004C50DC" w:rsidP="004C50DC">
      <w:pPr>
        <w:spacing w:before="120" w:after="120"/>
        <w:jc w:val="both"/>
      </w:pPr>
      <w:r w:rsidRPr="00E8358C">
        <w:t xml:space="preserve">Memmi, Albert, </w:t>
      </w:r>
      <w:r w:rsidRPr="00E8358C">
        <w:rPr>
          <w:i/>
        </w:rPr>
        <w:t xml:space="preserve">Portrait du colonisé, </w:t>
      </w:r>
      <w:r w:rsidRPr="00E8358C">
        <w:t>précédé du</w:t>
      </w:r>
      <w:r w:rsidRPr="00E8358C">
        <w:rPr>
          <w:i/>
        </w:rPr>
        <w:t xml:space="preserve"> Portrait du col</w:t>
      </w:r>
      <w:r w:rsidRPr="00E8358C">
        <w:rPr>
          <w:i/>
        </w:rPr>
        <w:t>o</w:t>
      </w:r>
      <w:r w:rsidRPr="00E8358C">
        <w:rPr>
          <w:i/>
        </w:rPr>
        <w:t>nisateur</w:t>
      </w:r>
      <w:r w:rsidRPr="00E8358C">
        <w:t>, Paris, Gallimard, 1985.</w:t>
      </w:r>
    </w:p>
    <w:p w:rsidR="004C50DC" w:rsidRPr="00E8358C" w:rsidRDefault="004C50DC" w:rsidP="004C50DC">
      <w:pPr>
        <w:spacing w:before="120" w:after="120"/>
        <w:jc w:val="both"/>
      </w:pPr>
      <w:r w:rsidRPr="00E8358C">
        <w:t xml:space="preserve">Menant, Marc, </w:t>
      </w:r>
      <w:r w:rsidRPr="00E8358C">
        <w:rPr>
          <w:i/>
        </w:rPr>
        <w:t>Le petit roman de Haïti</w:t>
      </w:r>
      <w:r w:rsidRPr="00E8358C">
        <w:t>, Monaco, Éditions du R</w:t>
      </w:r>
      <w:r w:rsidRPr="00E8358C">
        <w:t>o</w:t>
      </w:r>
      <w:r w:rsidRPr="00E8358C">
        <w:t>cher, 2010.</w:t>
      </w:r>
    </w:p>
    <w:p w:rsidR="004C50DC" w:rsidRPr="00E8358C" w:rsidRDefault="004C50DC" w:rsidP="004C50DC">
      <w:pPr>
        <w:spacing w:before="120" w:after="120"/>
        <w:jc w:val="both"/>
      </w:pPr>
      <w:r w:rsidRPr="00E8358C">
        <w:t xml:space="preserve">Ménanteau, Loïc et Jean-René Vanney, « Atlas côtier du Nord-Est d’Haïti. Environnement et patrimoine culturel de la région de Fort-Liberté », en ligne, </w:t>
      </w:r>
      <w:hyperlink r:id="rId159" w:tgtFrame="_blank" w:history="1">
        <w:r w:rsidRPr="00E8358C">
          <w:rPr>
            <w:rStyle w:val="Lienhypertexte"/>
          </w:rPr>
          <w:t>http://www.sudoc.fr/</w:t>
        </w:r>
      </w:hyperlink>
      <w:hyperlink r:id="rId160" w:tgtFrame="_blank" w:history="1">
        <w:r w:rsidRPr="00E8358C">
          <w:rPr>
            <w:rStyle w:val="Lienhypertexte"/>
          </w:rPr>
          <w:t>04850243X</w:t>
        </w:r>
      </w:hyperlink>
    </w:p>
    <w:p w:rsidR="004C50DC" w:rsidRPr="007F5D4F" w:rsidRDefault="004C50DC" w:rsidP="004C50DC">
      <w:pPr>
        <w:spacing w:before="120" w:after="120"/>
        <w:jc w:val="both"/>
        <w:rPr>
          <w:rFonts w:eastAsia="Code2000"/>
        </w:rPr>
      </w:pPr>
      <w:r w:rsidRPr="007F5D4F">
        <w:rPr>
          <w:rFonts w:eastAsia="Code2000"/>
        </w:rPr>
        <w:t>Menateau, Jean, « La toponymie, témoin fragile des mémoires r</w:t>
      </w:r>
      <w:r w:rsidRPr="007F5D4F">
        <w:rPr>
          <w:rFonts w:eastAsia="Code2000"/>
        </w:rPr>
        <w:t>é</w:t>
      </w:r>
      <w:r w:rsidRPr="007F5D4F">
        <w:rPr>
          <w:rFonts w:eastAsia="Code2000"/>
        </w:rPr>
        <w:t xml:space="preserve">gionales », </w:t>
      </w:r>
      <w:r w:rsidRPr="007F5D4F">
        <w:rPr>
          <w:rFonts w:eastAsia="Code2000"/>
          <w:i/>
          <w:iCs/>
        </w:rPr>
        <w:t>Le Monde</w:t>
      </w:r>
      <w:r w:rsidRPr="007F5D4F">
        <w:rPr>
          <w:rFonts w:eastAsia="Code2000"/>
        </w:rPr>
        <w:t>, 9 octobre 1999.</w:t>
      </w:r>
    </w:p>
    <w:p w:rsidR="004C50DC" w:rsidRPr="00E8358C" w:rsidRDefault="004C50DC" w:rsidP="004C50DC">
      <w:pPr>
        <w:spacing w:before="120" w:after="120"/>
        <w:jc w:val="both"/>
        <w:rPr>
          <w:rFonts w:eastAsia="Code2000"/>
        </w:rPr>
      </w:pPr>
      <w:r w:rsidRPr="00E8358C">
        <w:rPr>
          <w:rFonts w:eastAsia="Code2000"/>
        </w:rPr>
        <w:t xml:space="preserve">Mendels, Franklin, « Proto-industrialization : The First Phase of the Industrialization process », </w:t>
      </w:r>
      <w:r w:rsidRPr="00E8358C">
        <w:rPr>
          <w:rFonts w:eastAsia="Code2000"/>
          <w:i/>
        </w:rPr>
        <w:t>Journal ofEconomic History</w:t>
      </w:r>
      <w:r w:rsidRPr="00E8358C">
        <w:rPr>
          <w:rFonts w:eastAsia="Code2000"/>
        </w:rPr>
        <w:t>, mars 1972, p</w:t>
      </w:r>
      <w:r>
        <w:rPr>
          <w:rFonts w:eastAsia="Code2000"/>
        </w:rPr>
        <w:t>p</w:t>
      </w:r>
      <w:r w:rsidRPr="00E8358C">
        <w:rPr>
          <w:rFonts w:eastAsia="Code2000"/>
        </w:rPr>
        <w:t>. 241-261.</w:t>
      </w:r>
    </w:p>
    <w:p w:rsidR="004C50DC" w:rsidRPr="00E8358C" w:rsidRDefault="004C50DC" w:rsidP="004C50DC">
      <w:pPr>
        <w:spacing w:before="120" w:after="120"/>
        <w:jc w:val="both"/>
      </w:pPr>
      <w:r w:rsidRPr="00E8358C">
        <w:t>Mensah, Ayoko, « La gestion de la mémoire est une question ha</w:t>
      </w:r>
      <w:r w:rsidRPr="00E8358C">
        <w:t>u</w:t>
      </w:r>
      <w:r w:rsidRPr="00E8358C">
        <w:t>tement politique », entretien avec Ali Moussa Iyé, chef de la Division des politiques culturelles et du dialogue interculturel de l’UNESCO, responsable du programme « La Route de l’Esclave »,</w:t>
      </w:r>
      <w:r w:rsidRPr="00E8358C">
        <w:rPr>
          <w:i/>
        </w:rPr>
        <w:t xml:space="preserve"> Africultures, </w:t>
      </w:r>
      <w:r w:rsidRPr="00E8358C">
        <w:t>Vol. 2</w:t>
      </w:r>
      <w:r w:rsidRPr="00E8358C">
        <w:rPr>
          <w:i/>
        </w:rPr>
        <w:t xml:space="preserve">,  </w:t>
      </w:r>
      <w:r w:rsidRPr="00E8358C">
        <w:t>n</w:t>
      </w:r>
      <w:r w:rsidRPr="00E8358C">
        <w:rPr>
          <w:vertAlign w:val="superscript"/>
        </w:rPr>
        <w:t>o</w:t>
      </w:r>
      <w:r w:rsidRPr="00E8358C">
        <w:t xml:space="preserve"> 67, mai 2006, </w:t>
      </w:r>
      <w:r>
        <w:t>p</w:t>
      </w:r>
      <w:r w:rsidRPr="00E8358C">
        <w:t>p. 140-145.</w:t>
      </w:r>
    </w:p>
    <w:p w:rsidR="004C50DC" w:rsidRPr="00E8358C" w:rsidRDefault="004C50DC" w:rsidP="004C50DC">
      <w:pPr>
        <w:spacing w:before="120" w:after="120"/>
        <w:jc w:val="both"/>
      </w:pPr>
      <w:r w:rsidRPr="00E8358C">
        <w:t xml:space="preserve">Mésidor, Eddy, </w:t>
      </w:r>
      <w:r w:rsidRPr="00E8358C">
        <w:rPr>
          <w:i/>
        </w:rPr>
        <w:t>Il était une fois Haïti…</w:t>
      </w:r>
      <w:r w:rsidRPr="00E8358C">
        <w:t>, Freeport (NY), Fordi 9, 2007.</w:t>
      </w:r>
    </w:p>
    <w:p w:rsidR="004C50DC" w:rsidRPr="00E8358C" w:rsidRDefault="004C50DC" w:rsidP="004C50DC">
      <w:pPr>
        <w:spacing w:before="120" w:after="120"/>
        <w:jc w:val="both"/>
      </w:pPr>
      <w:r w:rsidRPr="00E8358C">
        <w:t xml:space="preserve">Métraux, Alfred, </w:t>
      </w:r>
      <w:r w:rsidRPr="00E8358C">
        <w:rPr>
          <w:i/>
        </w:rPr>
        <w:t>Le vaudou haïtien</w:t>
      </w:r>
      <w:r w:rsidRPr="00E8358C">
        <w:t>, Paris, Gallimard, 1958.</w:t>
      </w:r>
    </w:p>
    <w:p w:rsidR="004C50DC" w:rsidRPr="00E8358C" w:rsidRDefault="004C50DC" w:rsidP="004C50DC">
      <w:pPr>
        <w:spacing w:before="120" w:after="120"/>
        <w:jc w:val="both"/>
      </w:pPr>
      <w:r w:rsidRPr="00E8358C">
        <w:t xml:space="preserve">Mézière, Henri, </w:t>
      </w:r>
      <w:r w:rsidRPr="00E8358C">
        <w:rPr>
          <w:i/>
        </w:rPr>
        <w:t>Le général Leclerc (1772-1802) et l’expédition de Saint-Domingue</w:t>
      </w:r>
      <w:r w:rsidRPr="00E8358C">
        <w:t>, Paris, Tallandier, 1990.</w:t>
      </w:r>
    </w:p>
    <w:p w:rsidR="004C50DC" w:rsidRPr="00E8358C" w:rsidRDefault="004C50DC" w:rsidP="004C50DC">
      <w:pPr>
        <w:spacing w:before="120" w:after="120"/>
        <w:jc w:val="both"/>
      </w:pPr>
      <w:r w:rsidRPr="00E8358C">
        <w:t>-------,  « L’expédition de Saint-Domingue. Les opérations terre</w:t>
      </w:r>
      <w:r w:rsidRPr="00E8358C">
        <w:t>s</w:t>
      </w:r>
      <w:r w:rsidRPr="00E8358C">
        <w:t xml:space="preserve">tres (février-juin 1802) », </w:t>
      </w:r>
      <w:r w:rsidRPr="00E8358C">
        <w:rPr>
          <w:i/>
        </w:rPr>
        <w:t>Revue du souvenir napoléonien</w:t>
      </w:r>
      <w:r w:rsidRPr="00E8358C">
        <w:t>, n</w:t>
      </w:r>
      <w:r w:rsidRPr="00E8358C">
        <w:rPr>
          <w:vertAlign w:val="superscript"/>
        </w:rPr>
        <w:t>o</w:t>
      </w:r>
      <w:r w:rsidRPr="00E8358C">
        <w:t xml:space="preserve"> 440, avril-mai 2002, p. 29-36, en ligne, </w:t>
      </w:r>
      <w:hyperlink r:id="rId161" w:history="1">
        <w:r w:rsidRPr="00E8358C">
          <w:rPr>
            <w:rStyle w:val="Lienhypertexte"/>
          </w:rPr>
          <w:t>http://www.napoleon.org/fr/salle_lecture/articles/files/stdomingue_fevrier1802.asp</w:t>
        </w:r>
      </w:hyperlink>
    </w:p>
    <w:p w:rsidR="004C50DC" w:rsidRPr="00E8358C" w:rsidRDefault="004C50DC" w:rsidP="004C50DC">
      <w:pPr>
        <w:spacing w:before="120" w:after="120"/>
        <w:jc w:val="both"/>
      </w:pPr>
      <w:r w:rsidRPr="00E8358C">
        <w:t>Mezilas, Glodel, « La trajectoire du français et du créole en Ha</w:t>
      </w:r>
      <w:r w:rsidRPr="00E8358C">
        <w:t>ï</w:t>
      </w:r>
      <w:r w:rsidRPr="00E8358C">
        <w:t xml:space="preserve">ti », </w:t>
      </w:r>
      <w:r w:rsidRPr="00E8358C">
        <w:rPr>
          <w:i/>
        </w:rPr>
        <w:t>Tanbou</w:t>
      </w:r>
      <w:r w:rsidRPr="00E8358C">
        <w:t xml:space="preserve">, en ligne, </w:t>
      </w:r>
      <w:hyperlink r:id="rId162" w:history="1">
        <w:r w:rsidRPr="00E8358C">
          <w:rPr>
            <w:rStyle w:val="Lienhypertexte"/>
          </w:rPr>
          <w:t>http://www.tanbou.com/2008/TrajectoireFrancaisCreoleHaiti.htm</w:t>
        </w:r>
      </w:hyperlink>
    </w:p>
    <w:p w:rsidR="004C50DC" w:rsidRPr="00E8358C" w:rsidRDefault="004C50DC" w:rsidP="004C50DC">
      <w:pPr>
        <w:spacing w:before="120" w:after="120"/>
        <w:jc w:val="both"/>
      </w:pPr>
      <w:r w:rsidRPr="00E8358C">
        <w:rPr>
          <w:rFonts w:eastAsia="Calibri"/>
        </w:rPr>
        <w:t xml:space="preserve">Michelet, Jules, </w:t>
      </w:r>
      <w:r w:rsidRPr="00E8358C">
        <w:rPr>
          <w:rFonts w:eastAsia="Calibri"/>
          <w:i/>
          <w:iCs/>
        </w:rPr>
        <w:t>La Femme</w:t>
      </w:r>
      <w:r w:rsidRPr="00E8358C">
        <w:rPr>
          <w:rFonts w:eastAsia="Calibri"/>
        </w:rPr>
        <w:t>, Paris, Calmann Lévy, 1879.</w:t>
      </w:r>
    </w:p>
    <w:p w:rsidR="004C50DC" w:rsidRPr="00E8358C" w:rsidRDefault="004C50DC" w:rsidP="004C50DC">
      <w:pPr>
        <w:spacing w:before="120" w:after="120"/>
        <w:jc w:val="both"/>
      </w:pPr>
      <w:r w:rsidRPr="00E8358C">
        <w:t xml:space="preserve">Michon, Bernard, « Nantes au temps de l’apogée négrier : la place de la traite dans le commerce nantais », dans Éric Saunier (dir.), </w:t>
      </w:r>
      <w:r w:rsidRPr="00E8358C">
        <w:rPr>
          <w:i/>
        </w:rPr>
        <w:t>Villes portuaires du commerce triangulaire à l’abolition, Cahiers de l’histoire et des mémoires de la traite négrière, de l’esclavage et de leurs abolitions en Normandie</w:t>
      </w:r>
      <w:r w:rsidRPr="00E8358C">
        <w:t xml:space="preserve">, n° 1, Actes du colloque du Havre (9-10 mai 2008), Le Havre, Les Routes du Philanthrope - CIRTAI, 2009, </w:t>
      </w:r>
      <w:r>
        <w:t>p</w:t>
      </w:r>
      <w:r w:rsidRPr="00E8358C">
        <w:t>p. 71-96.</w:t>
      </w:r>
    </w:p>
    <w:p w:rsidR="004C50DC" w:rsidRPr="00E8358C" w:rsidRDefault="004C50DC" w:rsidP="004C50DC">
      <w:pPr>
        <w:spacing w:before="120" w:after="120"/>
        <w:jc w:val="both"/>
      </w:pPr>
      <w:r w:rsidRPr="00E8358C">
        <w:t xml:space="preserve">Midy, Franklin, « Vers l’indépendance des colonies d’esclaves des Amériques. L’exception haïtienne », dans Marcel Dorigny (dir.), </w:t>
      </w:r>
      <w:r w:rsidRPr="00E8358C">
        <w:rPr>
          <w:i/>
        </w:rPr>
        <w:t>Ha</w:t>
      </w:r>
      <w:r w:rsidRPr="00E8358C">
        <w:rPr>
          <w:i/>
        </w:rPr>
        <w:t>ï</w:t>
      </w:r>
      <w:r w:rsidRPr="00E8358C">
        <w:rPr>
          <w:i/>
        </w:rPr>
        <w:t>ti, première république noire,</w:t>
      </w:r>
      <w:r w:rsidRPr="00E8358C">
        <w:t xml:space="preserve"> Paris, SFHOM-APECE, 2003, p. 121-138.</w:t>
      </w:r>
    </w:p>
    <w:p w:rsidR="004C50DC" w:rsidRPr="00E8358C" w:rsidRDefault="004C50DC" w:rsidP="004C50DC">
      <w:pPr>
        <w:spacing w:before="120" w:after="120"/>
        <w:jc w:val="both"/>
      </w:pPr>
      <w:r w:rsidRPr="00E8358C">
        <w:t xml:space="preserve">Miller, Daniel, </w:t>
      </w:r>
      <w:r w:rsidRPr="00E8358C">
        <w:rPr>
          <w:i/>
        </w:rPr>
        <w:t>Materiality</w:t>
      </w:r>
      <w:r w:rsidRPr="00E8358C">
        <w:t xml:space="preserve">, Durham, Duke University Press, 2005. </w:t>
      </w:r>
    </w:p>
    <w:p w:rsidR="004C50DC" w:rsidRPr="00E8358C" w:rsidRDefault="004C50DC" w:rsidP="004C50DC">
      <w:pPr>
        <w:spacing w:before="120" w:after="120"/>
        <w:jc w:val="both"/>
      </w:pPr>
      <w:r w:rsidRPr="00E8358C">
        <w:t xml:space="preserve">-------, </w:t>
      </w:r>
      <w:r w:rsidRPr="00E8358C">
        <w:rPr>
          <w:i/>
        </w:rPr>
        <w:t>Material cultures</w:t>
      </w:r>
      <w:r w:rsidRPr="00E8358C">
        <w:t xml:space="preserve">. </w:t>
      </w:r>
      <w:r w:rsidRPr="00E8358C">
        <w:rPr>
          <w:i/>
        </w:rPr>
        <w:t>Why some things matter</w:t>
      </w:r>
      <w:r w:rsidRPr="00E8358C">
        <w:t>, Chicago, The University of Chicago Press, 1998.</w:t>
      </w:r>
    </w:p>
    <w:p w:rsidR="004C50DC" w:rsidRPr="00E8358C" w:rsidRDefault="004C50DC" w:rsidP="004C50DC">
      <w:pPr>
        <w:spacing w:before="120" w:after="120"/>
        <w:jc w:val="both"/>
      </w:pPr>
      <w:r w:rsidRPr="00E8358C">
        <w:t xml:space="preserve">Ministère de la Culture et de la Communication, </w:t>
      </w:r>
      <w:r w:rsidRPr="00E8358C">
        <w:rPr>
          <w:i/>
        </w:rPr>
        <w:t>Les grands axes de l’action du</w:t>
      </w:r>
      <w:r>
        <w:t xml:space="preserve"> [485]</w:t>
      </w:r>
      <w:r w:rsidRPr="00E8358C">
        <w:rPr>
          <w:i/>
        </w:rPr>
        <w:t xml:space="preserve"> gouvernement dans le secteur de la culture et de la communication. Feuille de route</w:t>
      </w:r>
      <w:r w:rsidRPr="00E8358C">
        <w:t>, Port-au-Prince, octobre 2008.</w:t>
      </w:r>
    </w:p>
    <w:p w:rsidR="004C50DC" w:rsidRPr="00E8358C" w:rsidRDefault="004C50DC" w:rsidP="004C50DC">
      <w:pPr>
        <w:spacing w:before="120" w:after="120"/>
        <w:jc w:val="both"/>
      </w:pPr>
      <w:r w:rsidRPr="00E8358C">
        <w:t xml:space="preserve">Mintz, Sydney W. et Richard Price, </w:t>
      </w:r>
      <w:r w:rsidRPr="00E8358C">
        <w:rPr>
          <w:i/>
          <w:iCs/>
        </w:rPr>
        <w:t>The birth of African-American culture : an anthropological perspective</w:t>
      </w:r>
      <w:r w:rsidRPr="00E8358C">
        <w:t>, Boston, Beacon Press, 1976.</w:t>
      </w:r>
    </w:p>
    <w:p w:rsidR="004C50DC" w:rsidRPr="00E8358C" w:rsidRDefault="004C50DC" w:rsidP="004C50DC">
      <w:pPr>
        <w:spacing w:before="120" w:after="120"/>
        <w:jc w:val="both"/>
      </w:pPr>
      <w:r w:rsidRPr="00E8358C">
        <w:t xml:space="preserve">Minustah, « Le rara, rythme vaudou », 28 mars 2013, en ligne, </w:t>
      </w:r>
      <w:hyperlink r:id="rId163" w:history="1">
        <w:r w:rsidRPr="00E8358C">
          <w:rPr>
            <w:rStyle w:val="Lienhypertexte"/>
          </w:rPr>
          <w:t>http://www.minustah.org/le-rara-rythme-vaudou/</w:t>
        </w:r>
      </w:hyperlink>
    </w:p>
    <w:p w:rsidR="004C50DC" w:rsidRPr="007F5D4F" w:rsidRDefault="004C50DC" w:rsidP="004C50DC">
      <w:pPr>
        <w:spacing w:before="120" w:after="120"/>
        <w:jc w:val="both"/>
      </w:pPr>
      <w:r w:rsidRPr="00E8358C">
        <w:t xml:space="preserve">Moïse, Claude, </w:t>
      </w:r>
      <w:r w:rsidRPr="00E8358C">
        <w:rPr>
          <w:i/>
        </w:rPr>
        <w:t>Dictionnaire historique de la Révolution haïtienne (1789-1804)</w:t>
      </w:r>
      <w:r w:rsidRPr="00E8358C">
        <w:t xml:space="preserve">, 2003, </w:t>
      </w:r>
      <w:r w:rsidRPr="007F5D4F">
        <w:t>Montréal, Cidihca, 2014.</w:t>
      </w:r>
    </w:p>
    <w:p w:rsidR="004C50DC" w:rsidRPr="00E8358C" w:rsidRDefault="004C50DC" w:rsidP="004C50DC">
      <w:pPr>
        <w:spacing w:before="120" w:after="120"/>
        <w:jc w:val="both"/>
      </w:pPr>
      <w:r w:rsidRPr="00E8358C">
        <w:t xml:space="preserve">Moral, Paul, </w:t>
      </w:r>
      <w:r w:rsidRPr="00E8358C">
        <w:rPr>
          <w:i/>
        </w:rPr>
        <w:t>Le paysan haïtien (Étude sur la vie rurale en Haïti)</w:t>
      </w:r>
      <w:r w:rsidRPr="00E8358C">
        <w:t>, [Paris, G.P. Maisonneuve et Larose, 1961], Port-au-Prince, Fardin, 1978.</w:t>
      </w:r>
    </w:p>
    <w:p w:rsidR="004C50DC" w:rsidRPr="00E8358C" w:rsidRDefault="004C50DC" w:rsidP="004C50DC">
      <w:pPr>
        <w:spacing w:before="120" w:after="120"/>
        <w:jc w:val="both"/>
      </w:pPr>
      <w:r w:rsidRPr="00E8358C">
        <w:t xml:space="preserve">Moreau de Saint-Méry, Médéric Louis Élie, </w:t>
      </w:r>
      <w:r w:rsidRPr="00E8358C">
        <w:rPr>
          <w:i/>
        </w:rPr>
        <w:t>Description de la pa</w:t>
      </w:r>
      <w:r w:rsidRPr="00E8358C">
        <w:rPr>
          <w:i/>
        </w:rPr>
        <w:t>r</w:t>
      </w:r>
      <w:r w:rsidRPr="00E8358C">
        <w:rPr>
          <w:i/>
        </w:rPr>
        <w:t>tie française de l’Isle de Saint-Domingue</w:t>
      </w:r>
      <w:r w:rsidRPr="00E8358C">
        <w:t>, 3 vol., Paris, Larose, Soci</w:t>
      </w:r>
      <w:r w:rsidRPr="00E8358C">
        <w:t>é</w:t>
      </w:r>
      <w:r w:rsidRPr="00E8358C">
        <w:t>té française histoire d’outre-mer, 1958 [Philadelphie, 1798].</w:t>
      </w:r>
    </w:p>
    <w:p w:rsidR="004C50DC" w:rsidRPr="00E8358C" w:rsidRDefault="004C50DC" w:rsidP="004C50DC">
      <w:pPr>
        <w:spacing w:before="120" w:after="120"/>
        <w:jc w:val="both"/>
        <w:rPr>
          <w:rFonts w:eastAsia="Calibri"/>
        </w:rPr>
      </w:pPr>
      <w:r w:rsidRPr="00E8358C">
        <w:rPr>
          <w:rFonts w:eastAsia="Calibri"/>
        </w:rPr>
        <w:t xml:space="preserve">Morisset, Lucie K., </w:t>
      </w:r>
      <w:r w:rsidRPr="00E8358C">
        <w:rPr>
          <w:i/>
        </w:rPr>
        <w:t>Des régimes d’authenticité. Essai sur la m</w:t>
      </w:r>
      <w:r w:rsidRPr="00E8358C">
        <w:rPr>
          <w:i/>
        </w:rPr>
        <w:t>é</w:t>
      </w:r>
      <w:r w:rsidRPr="00E8358C">
        <w:rPr>
          <w:i/>
        </w:rPr>
        <w:t>moire patrimoniale</w:t>
      </w:r>
      <w:r w:rsidRPr="00E8358C">
        <w:t>, Québec, Presses de l’Université du Québec,</w:t>
      </w:r>
      <w:r w:rsidRPr="00E8358C">
        <w:rPr>
          <w:rFonts w:eastAsia="Calibri"/>
        </w:rPr>
        <w:t xml:space="preserve"> 2009.</w:t>
      </w:r>
    </w:p>
    <w:p w:rsidR="004C50DC" w:rsidRPr="00E8358C" w:rsidRDefault="004C50DC" w:rsidP="004C50DC">
      <w:pPr>
        <w:spacing w:before="120" w:after="120"/>
        <w:jc w:val="both"/>
        <w:rPr>
          <w:bCs/>
        </w:rPr>
      </w:pPr>
      <w:r w:rsidRPr="00E8358C">
        <w:t>Moura, Jean-Marc</w:t>
      </w:r>
      <w:r w:rsidRPr="00E8358C">
        <w:rPr>
          <w:bCs/>
        </w:rPr>
        <w:t xml:space="preserve">, </w:t>
      </w:r>
      <w:r w:rsidRPr="00E8358C">
        <w:rPr>
          <w:bCs/>
          <w:i/>
          <w:iCs/>
        </w:rPr>
        <w:t>Littératures francophones et théorie postcol</w:t>
      </w:r>
      <w:r w:rsidRPr="00E8358C">
        <w:rPr>
          <w:bCs/>
          <w:i/>
          <w:iCs/>
        </w:rPr>
        <w:t>o</w:t>
      </w:r>
      <w:r w:rsidRPr="00E8358C">
        <w:rPr>
          <w:bCs/>
          <w:i/>
          <w:iCs/>
        </w:rPr>
        <w:t>niale,</w:t>
      </w:r>
      <w:r>
        <w:rPr>
          <w:bCs/>
          <w:i/>
          <w:iCs/>
        </w:rPr>
        <w:t xml:space="preserve"> </w:t>
      </w:r>
      <w:r w:rsidRPr="00E8358C">
        <w:rPr>
          <w:bCs/>
        </w:rPr>
        <w:t>Paris,</w:t>
      </w:r>
      <w:r>
        <w:rPr>
          <w:bCs/>
        </w:rPr>
        <w:t xml:space="preserve"> </w:t>
      </w:r>
      <w:r w:rsidRPr="00E8358C">
        <w:rPr>
          <w:bCs/>
        </w:rPr>
        <w:t>PUF, 1999.</w:t>
      </w:r>
    </w:p>
    <w:p w:rsidR="004C50DC" w:rsidRPr="00E8358C" w:rsidRDefault="004C50DC" w:rsidP="004C50DC">
      <w:pPr>
        <w:spacing w:before="120" w:after="120"/>
        <w:jc w:val="both"/>
        <w:rPr>
          <w:rFonts w:eastAsia="Calibri"/>
          <w:lang w:eastAsia="ar-SA"/>
        </w:rPr>
      </w:pPr>
      <w:r w:rsidRPr="00E8358C">
        <w:t xml:space="preserve">Musée d’Aquitaine, </w:t>
      </w:r>
      <w:r w:rsidRPr="00E8358C">
        <w:rPr>
          <w:rFonts w:eastAsia="Calibri"/>
          <w:i/>
          <w:lang w:eastAsia="ar-SA"/>
        </w:rPr>
        <w:t>Bordeaux au XVIII</w:t>
      </w:r>
      <w:r w:rsidRPr="00E8358C">
        <w:rPr>
          <w:rFonts w:eastAsia="Calibri"/>
          <w:i/>
          <w:vertAlign w:val="superscript"/>
          <w:lang w:eastAsia="ar-SA"/>
        </w:rPr>
        <w:t>e</w:t>
      </w:r>
      <w:r w:rsidRPr="00E8358C">
        <w:rPr>
          <w:rFonts w:eastAsia="Calibri"/>
          <w:i/>
          <w:lang w:eastAsia="ar-SA"/>
        </w:rPr>
        <w:t xml:space="preserve"> siècle. Le commerce atlantique et l’esclavage</w:t>
      </w:r>
      <w:r w:rsidRPr="00E8358C">
        <w:rPr>
          <w:rFonts w:eastAsia="Calibri"/>
          <w:lang w:eastAsia="ar-SA"/>
        </w:rPr>
        <w:t>, Bordeaux, Le Festin, 2010.</w:t>
      </w:r>
    </w:p>
    <w:p w:rsidR="004C50DC" w:rsidRPr="00E8358C" w:rsidRDefault="004C50DC" w:rsidP="004C50DC">
      <w:pPr>
        <w:spacing w:before="120" w:after="120"/>
        <w:jc w:val="both"/>
        <w:rPr>
          <w:rFonts w:eastAsia="Calibri"/>
          <w:lang w:eastAsia="ar-SA"/>
        </w:rPr>
      </w:pPr>
      <w:r w:rsidRPr="00E8358C">
        <w:t xml:space="preserve">Musée du Panthéon national haïtien (MUPANAH), </w:t>
      </w:r>
      <w:r w:rsidRPr="00E8358C">
        <w:rPr>
          <w:i/>
        </w:rPr>
        <w:t>Chimen libète. Le chemin de la liberté, 20 septembre - 20 octobre 2012</w:t>
      </w:r>
      <w:r w:rsidRPr="00E8358C">
        <w:t>, Port-au-Prince, Henri Deschamps, 2012</w:t>
      </w:r>
    </w:p>
    <w:p w:rsidR="004C50DC" w:rsidRPr="00E8358C" w:rsidRDefault="004C50DC" w:rsidP="004C50DC">
      <w:pPr>
        <w:spacing w:before="120" w:after="120"/>
        <w:jc w:val="both"/>
      </w:pPr>
      <w:r w:rsidRPr="00E8358C">
        <w:t>Muxel, Anne, « Temps, mémoire et transmission », dans</w:t>
      </w:r>
      <w:r w:rsidRPr="00E8358C">
        <w:rPr>
          <w:lang w:eastAsia="fr-FR"/>
        </w:rPr>
        <w:t xml:space="preserve">Monique Léonard (dir.), </w:t>
      </w:r>
      <w:r w:rsidRPr="00E8358C">
        <w:rPr>
          <w:i/>
          <w:lang w:eastAsia="fr-FR"/>
        </w:rPr>
        <w:t>Mémoire et écriture</w:t>
      </w:r>
      <w:r w:rsidRPr="00E8358C">
        <w:rPr>
          <w:lang w:eastAsia="fr-FR"/>
        </w:rPr>
        <w:t>, Paris, Honoré Champion, 2003, p</w:t>
      </w:r>
      <w:r>
        <w:rPr>
          <w:lang w:eastAsia="fr-FR"/>
        </w:rPr>
        <w:t>p</w:t>
      </w:r>
      <w:r w:rsidRPr="00E8358C">
        <w:rPr>
          <w:lang w:eastAsia="fr-FR"/>
        </w:rPr>
        <w:t>. 13-27.</w:t>
      </w:r>
    </w:p>
    <w:p w:rsidR="004C50DC" w:rsidRPr="00E8358C" w:rsidRDefault="004C50DC" w:rsidP="004C50DC">
      <w:pPr>
        <w:spacing w:before="120" w:after="120"/>
        <w:jc w:val="both"/>
      </w:pPr>
      <w:r w:rsidRPr="00E8358C">
        <w:t xml:space="preserve">Najman, Charles, </w:t>
      </w:r>
      <w:r w:rsidRPr="00E8358C">
        <w:rPr>
          <w:i/>
        </w:rPr>
        <w:t>Haïti, Dieu seul me voit</w:t>
      </w:r>
      <w:r w:rsidRPr="00E8358C">
        <w:t>, Paris, Balland, 1995.</w:t>
      </w:r>
    </w:p>
    <w:p w:rsidR="004C50DC" w:rsidRPr="00E8358C" w:rsidRDefault="004C50DC" w:rsidP="004C50DC">
      <w:pPr>
        <w:spacing w:before="120" w:after="120"/>
        <w:jc w:val="both"/>
      </w:pPr>
      <w:r w:rsidRPr="00E8358C">
        <w:t xml:space="preserve">Nau, Émile, Ducis Viard et Eugène Nau, </w:t>
      </w:r>
      <w:r w:rsidRPr="00E8358C">
        <w:rPr>
          <w:i/>
        </w:rPr>
        <w:t>Histoire des Caciques d’Haïti</w:t>
      </w:r>
      <w:r w:rsidRPr="00E8358C">
        <w:t>, Paris, G. Guérin, 1894.</w:t>
      </w:r>
    </w:p>
    <w:p w:rsidR="004C50DC" w:rsidRPr="00E8358C" w:rsidRDefault="004C50DC" w:rsidP="004C50DC">
      <w:pPr>
        <w:spacing w:before="120" w:after="120"/>
        <w:jc w:val="both"/>
      </w:pPr>
      <w:r w:rsidRPr="00E8358C">
        <w:t xml:space="preserve">Nicholls, David, « Idéologie et mouvements politiques en Haïti, 1915-1946 », dans </w:t>
      </w:r>
      <w:r w:rsidRPr="00E8358C">
        <w:rPr>
          <w:bCs/>
        </w:rPr>
        <w:t>Marc Ferro (dir.)</w:t>
      </w:r>
      <w:r w:rsidRPr="00E8358C">
        <w:rPr>
          <w:bCs/>
          <w:i/>
        </w:rPr>
        <w:t>, Le livre noir du colonialisme. XVI</w:t>
      </w:r>
      <w:r w:rsidRPr="00E8358C">
        <w:rPr>
          <w:bCs/>
          <w:i/>
          <w:vertAlign w:val="superscript"/>
        </w:rPr>
        <w:t>e</w:t>
      </w:r>
      <w:r w:rsidRPr="00E8358C">
        <w:rPr>
          <w:bCs/>
          <w:i/>
        </w:rPr>
        <w:t>-XXI</w:t>
      </w:r>
      <w:r w:rsidRPr="00E8358C">
        <w:rPr>
          <w:bCs/>
          <w:i/>
          <w:vertAlign w:val="superscript"/>
        </w:rPr>
        <w:t>e</w:t>
      </w:r>
      <w:r w:rsidRPr="00E8358C">
        <w:rPr>
          <w:bCs/>
          <w:i/>
        </w:rPr>
        <w:t xml:space="preserve"> siècle : de l’extermination à la  repentance,</w:t>
      </w:r>
      <w:r w:rsidRPr="00E8358C">
        <w:rPr>
          <w:bCs/>
        </w:rPr>
        <w:t xml:space="preserve"> Paris, Hachette, 2004, p</w:t>
      </w:r>
      <w:r>
        <w:rPr>
          <w:bCs/>
        </w:rPr>
        <w:t>p</w:t>
      </w:r>
      <w:r w:rsidRPr="00E8358C">
        <w:rPr>
          <w:bCs/>
        </w:rPr>
        <w:t>. 304-307.</w:t>
      </w:r>
    </w:p>
    <w:p w:rsidR="004C50DC" w:rsidRPr="00E8358C" w:rsidRDefault="004C50DC" w:rsidP="004C50DC">
      <w:pPr>
        <w:spacing w:before="120" w:after="120"/>
        <w:jc w:val="both"/>
      </w:pPr>
      <w:r w:rsidRPr="00E8358C">
        <w:rPr>
          <w:rFonts w:eastAsia="Calibri"/>
          <w:lang w:eastAsia="ar-SA"/>
        </w:rPr>
        <w:t xml:space="preserve">Nicolas, Thierry, « À la poursuite du patrimoine. </w:t>
      </w:r>
      <w:r w:rsidRPr="00E8358C">
        <w:t>Les lieux de m</w:t>
      </w:r>
      <w:r w:rsidRPr="00E8358C">
        <w:t>é</w:t>
      </w:r>
      <w:r w:rsidRPr="00E8358C">
        <w:t>moire de l’esclavage dans les départements d’outre-mer (DOM)</w:t>
      </w:r>
      <w:r w:rsidRPr="00E8358C">
        <w:rPr>
          <w:rFonts w:eastAsia="Calibri"/>
          <w:lang w:eastAsia="ar-SA"/>
        </w:rPr>
        <w:t xml:space="preserve"> », </w:t>
      </w:r>
      <w:r w:rsidRPr="00E8358C">
        <w:rPr>
          <w:rFonts w:eastAsia="Calibri"/>
          <w:i/>
          <w:iCs/>
          <w:lang w:eastAsia="ar-SA"/>
        </w:rPr>
        <w:t>EchoGéo</w:t>
      </w:r>
      <w:r w:rsidRPr="00E8358C">
        <w:rPr>
          <w:rFonts w:eastAsia="Calibri"/>
          <w:lang w:eastAsia="ar-SA"/>
        </w:rPr>
        <w:t xml:space="preserve">, en ligne, </w:t>
      </w:r>
      <w:hyperlink r:id="rId164" w:history="1">
        <w:r w:rsidRPr="00E8358C">
          <w:rPr>
            <w:rStyle w:val="Lienhypertexte"/>
          </w:rPr>
          <w:t>http://echogeo.revues.org/11300</w:t>
        </w:r>
      </w:hyperlink>
    </w:p>
    <w:p w:rsidR="004C50DC" w:rsidRPr="00E8358C" w:rsidRDefault="004C50DC" w:rsidP="004C50DC">
      <w:pPr>
        <w:spacing w:before="120" w:after="120"/>
        <w:jc w:val="both"/>
      </w:pPr>
      <w:r w:rsidRPr="00E8358C">
        <w:rPr>
          <w:rStyle w:val="SansinterligneCar"/>
        </w:rPr>
        <w:t xml:space="preserve">Nietzsche, Friedrich, </w:t>
      </w:r>
      <w:r w:rsidRPr="00E8358C">
        <w:rPr>
          <w:i/>
        </w:rPr>
        <w:t>Considérations inactuelles, II, « De l’inconvénient et de l’utilité pour la vie de l’histoire »</w:t>
      </w:r>
      <w:r w:rsidRPr="00E8358C">
        <w:t xml:space="preserve"> [Paris, Hache</w:t>
      </w:r>
      <w:r w:rsidRPr="00E8358C">
        <w:t>t</w:t>
      </w:r>
      <w:r w:rsidRPr="00E8358C">
        <w:t>te, 1874], Paris, Gallimard, 1992.</w:t>
      </w:r>
    </w:p>
    <w:p w:rsidR="004C50DC" w:rsidRPr="00E8358C" w:rsidRDefault="004C50DC" w:rsidP="004C50DC">
      <w:pPr>
        <w:spacing w:before="120" w:after="120"/>
        <w:jc w:val="both"/>
      </w:pPr>
      <w:r w:rsidRPr="00E8358C">
        <w:t xml:space="preserve">Nippel, Wilfried, « Marx, Weber et l’esclavage », </w:t>
      </w:r>
      <w:r w:rsidRPr="00E8358C">
        <w:rPr>
          <w:i/>
        </w:rPr>
        <w:t>Anabases</w:t>
      </w:r>
      <w:r w:rsidRPr="00E8358C">
        <w:t>, n</w:t>
      </w:r>
      <w:r w:rsidRPr="00E8358C">
        <w:rPr>
          <w:vertAlign w:val="superscript"/>
        </w:rPr>
        <w:t>o</w:t>
      </w:r>
      <w:r w:rsidRPr="00E8358C">
        <w:t xml:space="preserve"> 2, 2005, en ligne : </w:t>
      </w:r>
      <w:hyperlink r:id="rId165" w:history="1">
        <w:r w:rsidRPr="00E8358C">
          <w:rPr>
            <w:rStyle w:val="Lienhypertexte"/>
          </w:rPr>
          <w:t>http://anabases.revues.org/1531</w:t>
        </w:r>
      </w:hyperlink>
    </w:p>
    <w:p w:rsidR="004C50DC" w:rsidRPr="00E8358C" w:rsidRDefault="004C50DC" w:rsidP="004C50DC">
      <w:pPr>
        <w:spacing w:before="120" w:after="120"/>
        <w:jc w:val="both"/>
      </w:pPr>
      <w:r w:rsidRPr="00E8358C">
        <w:t xml:space="preserve">Nora, Pierre (dir.), </w:t>
      </w:r>
      <w:r w:rsidRPr="00E8358C">
        <w:rPr>
          <w:i/>
        </w:rPr>
        <w:t>Les lieux de mémoire</w:t>
      </w:r>
      <w:r w:rsidRPr="00E8358C">
        <w:t>, Paris, Gallimard, (1984, 1987, 1992).</w:t>
      </w:r>
    </w:p>
    <w:p w:rsidR="004C50DC" w:rsidRPr="00E8358C" w:rsidRDefault="004C50DC" w:rsidP="004C50DC">
      <w:pPr>
        <w:spacing w:before="120" w:after="120"/>
        <w:jc w:val="both"/>
      </w:pPr>
      <w:r w:rsidRPr="00E8358C">
        <w:t>Oakes, Leigh, « Le français comme “langue publique commune” au Québec »</w:t>
      </w:r>
      <w:r w:rsidRPr="00E8358C">
        <w:rPr>
          <w:i/>
        </w:rPr>
        <w:t xml:space="preserve">, Globe. Revue internationale d’études québécoises, </w:t>
      </w:r>
      <w:r w:rsidRPr="00E8358C">
        <w:t>vol.</w:t>
      </w:r>
      <w:r>
        <w:t> </w:t>
      </w:r>
      <w:r w:rsidRPr="00E8358C">
        <w:t>7, n</w:t>
      </w:r>
      <w:r w:rsidRPr="00E8358C">
        <w:rPr>
          <w:vertAlign w:val="superscript"/>
        </w:rPr>
        <w:t>o</w:t>
      </w:r>
      <w:r w:rsidRPr="00E8358C">
        <w:t> 2, 2004, p</w:t>
      </w:r>
      <w:r>
        <w:t>p</w:t>
      </w:r>
      <w:r w:rsidRPr="00E8358C">
        <w:t>. 155-176</w:t>
      </w:r>
      <w:r w:rsidRPr="00E8358C">
        <w:rPr>
          <w:i/>
        </w:rPr>
        <w:t>.</w:t>
      </w:r>
    </w:p>
    <w:p w:rsidR="004C50DC" w:rsidRPr="00E8358C" w:rsidRDefault="004C50DC" w:rsidP="004C50DC">
      <w:pPr>
        <w:spacing w:before="120" w:after="120"/>
        <w:jc w:val="both"/>
      </w:pPr>
      <w:r w:rsidRPr="007F5D4F">
        <w:t xml:space="preserve">Oberlé, Thierry, « En Haïti, le vaudou est toujours debout », </w:t>
      </w:r>
      <w:r w:rsidRPr="007F5D4F">
        <w:rPr>
          <w:i/>
        </w:rPr>
        <w:t>Le F</w:t>
      </w:r>
      <w:r w:rsidRPr="007F5D4F">
        <w:rPr>
          <w:i/>
        </w:rPr>
        <w:t>i</w:t>
      </w:r>
      <w:r w:rsidRPr="007F5D4F">
        <w:rPr>
          <w:i/>
        </w:rPr>
        <w:t>garo</w:t>
      </w:r>
      <w:r w:rsidRPr="007F5D4F">
        <w:t xml:space="preserve">, en ligne, </w:t>
      </w:r>
      <w:hyperlink r:id="rId166" w:history="1">
        <w:r w:rsidRPr="007F5D4F">
          <w:t>http://www.lefigaro.fr/international/2010/02/04/01003-20100204ARTFIG00002-en-haiti-le-vaudou-est-toujours-debout-.php</w:t>
        </w:r>
      </w:hyperlink>
    </w:p>
    <w:p w:rsidR="004C50DC" w:rsidRPr="00E8358C" w:rsidRDefault="004C50DC" w:rsidP="004C50DC">
      <w:pPr>
        <w:spacing w:before="120" w:after="120"/>
        <w:jc w:val="both"/>
      </w:pPr>
      <w:r w:rsidRPr="00E8358C">
        <w:t>Olsen, Jean-Julien, « Enjeux du tourisme durable en Haïti face au paradigme actuel en gestion de sites à haute valeur culturelle - Le cas du Parc National Historique : Citadelle, Sans Souci, Ramiers », dans 16</w:t>
      </w:r>
      <w:r w:rsidRPr="00E8358C">
        <w:rPr>
          <w:vertAlign w:val="superscript"/>
        </w:rPr>
        <w:t>th</w:t>
      </w:r>
      <w:r w:rsidRPr="00E8358C">
        <w:t xml:space="preserve"> ICOMOS General Assembly and International Symposium : « Finding the spirit of place – Between the tangible and the intang</w:t>
      </w:r>
      <w:r w:rsidRPr="00E8358C">
        <w:t>i</w:t>
      </w:r>
      <w:r w:rsidRPr="00E8358C">
        <w:t>ble », 29 septembre-4 octobre 2008, Québec.</w:t>
      </w:r>
    </w:p>
    <w:p w:rsidR="004C50DC" w:rsidRDefault="004C50DC" w:rsidP="004C50DC">
      <w:pPr>
        <w:spacing w:before="120" w:after="120"/>
        <w:jc w:val="both"/>
      </w:pPr>
      <w:r>
        <w:t>[486]</w:t>
      </w:r>
    </w:p>
    <w:p w:rsidR="004C50DC" w:rsidRPr="00E8358C" w:rsidRDefault="004C50DC" w:rsidP="004C50DC">
      <w:pPr>
        <w:spacing w:before="120" w:after="120"/>
        <w:jc w:val="both"/>
      </w:pPr>
      <w:r w:rsidRPr="00E8358C">
        <w:t xml:space="preserve">Organisation des Nations unies, « Conférence mondiale contre le racisme, la discrimination raciale, la xénophobie et l’intolérance qui y est associée. Déclaration de Durban (Afrique du Sud), du 31 août au 8 septembre 2001 », en ligne, </w:t>
      </w:r>
      <w:hyperlink r:id="rId167" w:history="1">
        <w:r w:rsidRPr="00E8358C">
          <w:rPr>
            <w:rStyle w:val="Lienhypertexte"/>
          </w:rPr>
          <w:t>http://www.un.org/french/WCAR/durban_fr.pdf</w:t>
        </w:r>
      </w:hyperlink>
    </w:p>
    <w:p w:rsidR="004C50DC" w:rsidRPr="00E8358C" w:rsidRDefault="004C50DC" w:rsidP="004C50DC">
      <w:pPr>
        <w:spacing w:before="120" w:after="120"/>
        <w:jc w:val="both"/>
      </w:pPr>
      <w:r w:rsidRPr="00E8358C">
        <w:t xml:space="preserve">Oriol, Michel, </w:t>
      </w:r>
      <w:r w:rsidRPr="00E8358C">
        <w:rPr>
          <w:i/>
        </w:rPr>
        <w:t>Images de la Révolution de Saint-Domingue</w:t>
      </w:r>
      <w:r w:rsidRPr="00E8358C">
        <w:t>, Port-au-Prince, Henri Deschamps, 1992.</w:t>
      </w:r>
    </w:p>
    <w:p w:rsidR="004C50DC" w:rsidRPr="00E8358C" w:rsidRDefault="004C50DC" w:rsidP="004C50DC">
      <w:pPr>
        <w:spacing w:before="120" w:after="120"/>
        <w:jc w:val="both"/>
      </w:pPr>
      <w:r w:rsidRPr="00E8358C">
        <w:t>Oriol, Michèle, « Toponymes français et créole. La mémoire v</w:t>
      </w:r>
      <w:r w:rsidRPr="00E8358C">
        <w:t>i</w:t>
      </w:r>
      <w:r w:rsidRPr="00E8358C">
        <w:t>vante de Saint-Domingue en Haïti », communication au colloque E</w:t>
      </w:r>
      <w:r w:rsidRPr="00E8358C">
        <w:t>x</w:t>
      </w:r>
      <w:r w:rsidRPr="00E8358C">
        <w:t>périences et mémoire : partager en français la diversité du monde, B</w:t>
      </w:r>
      <w:r w:rsidRPr="00E8358C">
        <w:t>u</w:t>
      </w:r>
      <w:r w:rsidRPr="00E8358C">
        <w:t>carest, septembre 2006.</w:t>
      </w:r>
    </w:p>
    <w:p w:rsidR="004C50DC" w:rsidRPr="00E8358C" w:rsidRDefault="004C50DC" w:rsidP="004C50DC">
      <w:pPr>
        <w:spacing w:before="120" w:after="120"/>
        <w:jc w:val="both"/>
      </w:pPr>
      <w:r w:rsidRPr="00E8358C">
        <w:t xml:space="preserve">Ortiz, Fernando et Harriet De Onis, </w:t>
      </w:r>
      <w:r w:rsidRPr="00E8358C">
        <w:rPr>
          <w:i/>
        </w:rPr>
        <w:t>Cuban Counterpoint : Tobacco and Sugar</w:t>
      </w:r>
      <w:r w:rsidRPr="00E8358C">
        <w:t>, New York, A.A. Knopf, 1947.</w:t>
      </w:r>
    </w:p>
    <w:p w:rsidR="004C50DC" w:rsidRPr="00E8358C" w:rsidRDefault="004C50DC" w:rsidP="004C50DC">
      <w:pPr>
        <w:spacing w:before="120" w:after="120"/>
        <w:jc w:val="both"/>
      </w:pPr>
      <w:r w:rsidRPr="00E8358C">
        <w:t xml:space="preserve">Ory, Pascal, « La commémoration qu’on mérite », </w:t>
      </w:r>
      <w:r w:rsidRPr="00E8358C">
        <w:rPr>
          <w:i/>
        </w:rPr>
        <w:t>Les lieux de mémoire, Magazine littéraire</w:t>
      </w:r>
      <w:r w:rsidRPr="00E8358C">
        <w:t>, n</w:t>
      </w:r>
      <w:r w:rsidRPr="00E8358C">
        <w:rPr>
          <w:vertAlign w:val="superscript"/>
        </w:rPr>
        <w:t>o</w:t>
      </w:r>
      <w:r w:rsidRPr="00E8358C">
        <w:t xml:space="preserve"> 307, février 1993, </w:t>
      </w:r>
      <w:r>
        <w:t>p</w:t>
      </w:r>
      <w:r w:rsidRPr="00E8358C">
        <w:t>p. 38-47.</w:t>
      </w:r>
    </w:p>
    <w:p w:rsidR="004C50DC" w:rsidRPr="00E8358C" w:rsidRDefault="004C50DC" w:rsidP="004C50DC">
      <w:pPr>
        <w:spacing w:before="120" w:after="120"/>
        <w:jc w:val="both"/>
      </w:pPr>
      <w:r w:rsidRPr="007F5D4F">
        <w:t xml:space="preserve">Pamphile, Léon-Dénius, </w:t>
      </w:r>
      <w:r w:rsidRPr="007F5D4F">
        <w:rPr>
          <w:i/>
        </w:rPr>
        <w:t>L’éducation</w:t>
      </w:r>
      <w:r>
        <w:rPr>
          <w:i/>
        </w:rPr>
        <w:t xml:space="preserve"> </w:t>
      </w:r>
      <w:r w:rsidRPr="007F5D4F">
        <w:rPr>
          <w:i/>
        </w:rPr>
        <w:t>en Haïti</w:t>
      </w:r>
      <w:r>
        <w:t xml:space="preserve"> </w:t>
      </w:r>
      <w:r w:rsidRPr="007F5D4F">
        <w:rPr>
          <w:i/>
        </w:rPr>
        <w:t>sous l’occupation américaine</w:t>
      </w:r>
      <w:r w:rsidRPr="007F5D4F">
        <w:t xml:space="preserve">, </w:t>
      </w:r>
      <w:r w:rsidRPr="007F5D4F">
        <w:rPr>
          <w:i/>
        </w:rPr>
        <w:t>1915-1934</w:t>
      </w:r>
      <w:r w:rsidRPr="007F5D4F">
        <w:t>, Port-au-Prince, Imprimerie des Antilles, 1988.</w:t>
      </w:r>
    </w:p>
    <w:p w:rsidR="004C50DC" w:rsidRPr="00E8358C" w:rsidRDefault="004C50DC" w:rsidP="004C50DC">
      <w:pPr>
        <w:spacing w:before="120" w:after="120"/>
        <w:jc w:val="both"/>
      </w:pPr>
      <w:r w:rsidRPr="00E8358C">
        <w:t xml:space="preserve">Paquin, Lyonel, </w:t>
      </w:r>
      <w:r w:rsidRPr="00E8358C">
        <w:rPr>
          <w:i/>
        </w:rPr>
        <w:t xml:space="preserve">Les Haïtiens. Politique de classe et de couleur, </w:t>
      </w:r>
      <w:r w:rsidRPr="00E8358C">
        <w:t>Port-au-Prince, Le Natal, 1988.</w:t>
      </w:r>
    </w:p>
    <w:p w:rsidR="004C50DC" w:rsidRPr="00E8358C" w:rsidRDefault="004C50DC" w:rsidP="004C50DC">
      <w:pPr>
        <w:spacing w:before="120" w:after="120"/>
        <w:jc w:val="both"/>
      </w:pPr>
      <w:r w:rsidRPr="00E8358C">
        <w:rPr>
          <w:rFonts w:eastAsia="Calibri"/>
        </w:rPr>
        <w:t>Pascal, r.p., Rapport adressé au ministre des Cultes, septembre 1861, Archives de la Congrégation du Saint-Esprit à Chevilly-Larue (Arch. CSSP), 5P1.2.3, correspondance du père Pascal avec l’autorité civile.</w:t>
      </w:r>
    </w:p>
    <w:p w:rsidR="004C50DC" w:rsidRPr="00E8358C" w:rsidRDefault="004C50DC" w:rsidP="004C50DC">
      <w:pPr>
        <w:spacing w:before="120" w:after="120"/>
        <w:jc w:val="both"/>
      </w:pPr>
      <w:r w:rsidRPr="00E8358C">
        <w:t xml:space="preserve">Patterson, Orlando, « Recent Studies on Caribbean Slavery and the Atlantic Slave Trade », </w:t>
      </w:r>
      <w:r w:rsidRPr="00E8358C">
        <w:rPr>
          <w:i/>
          <w:iCs/>
        </w:rPr>
        <w:t xml:space="preserve">Latin American Research Review, </w:t>
      </w:r>
      <w:r w:rsidRPr="00E8358C">
        <w:rPr>
          <w:iCs/>
        </w:rPr>
        <w:t>n</w:t>
      </w:r>
      <w:r w:rsidRPr="00E8358C">
        <w:rPr>
          <w:iCs/>
          <w:vertAlign w:val="superscript"/>
        </w:rPr>
        <w:t>o</w:t>
      </w:r>
      <w:r w:rsidRPr="00E8358C">
        <w:rPr>
          <w:iCs/>
        </w:rPr>
        <w:t> </w:t>
      </w:r>
      <w:r w:rsidRPr="00E8358C">
        <w:t>17, 1982, p</w:t>
      </w:r>
      <w:r>
        <w:t>p</w:t>
      </w:r>
      <w:r w:rsidRPr="00E8358C">
        <w:t>. 251-275.</w:t>
      </w:r>
    </w:p>
    <w:p w:rsidR="004C50DC" w:rsidRPr="005946AF" w:rsidRDefault="004C50DC" w:rsidP="004C50DC">
      <w:pPr>
        <w:spacing w:before="120" w:after="120"/>
        <w:jc w:val="both"/>
      </w:pPr>
      <w:r w:rsidRPr="005946AF">
        <w:rPr>
          <w:rStyle w:val="SansinterligneCar"/>
          <w:szCs w:val="24"/>
        </w:rPr>
        <w:t xml:space="preserve">Péan, Leslie, « Haïti-République Dominicaine. Une responsabilité partagée dans le crime (1 de 3) », </w:t>
      </w:r>
      <w:r w:rsidRPr="005946AF">
        <w:rPr>
          <w:rStyle w:val="SansinterligneCar"/>
          <w:i/>
          <w:szCs w:val="24"/>
        </w:rPr>
        <w:t>AlterPresse</w:t>
      </w:r>
      <w:r w:rsidRPr="005946AF">
        <w:rPr>
          <w:rStyle w:val="SansinterligneCar"/>
          <w:szCs w:val="24"/>
        </w:rPr>
        <w:t xml:space="preserve">, en ligne, </w:t>
      </w:r>
      <w:hyperlink r:id="rId168" w:anchor=".UwU53PldW8A" w:history="1">
        <w:r w:rsidRPr="005946AF">
          <w:rPr>
            <w:rStyle w:val="SansinterligneCar"/>
            <w:szCs w:val="24"/>
          </w:rPr>
          <w:t>http://www.alterpresse.org/spip.php?article15298#. UwU53PldW8A</w:t>
        </w:r>
      </w:hyperlink>
    </w:p>
    <w:p w:rsidR="004C50DC" w:rsidRPr="00E8358C" w:rsidRDefault="004C50DC" w:rsidP="004C50DC">
      <w:pPr>
        <w:spacing w:before="120" w:after="120"/>
        <w:jc w:val="both"/>
      </w:pPr>
      <w:r w:rsidRPr="00E8358C">
        <w:rPr>
          <w:rFonts w:eastAsia="Calibri"/>
          <w:lang w:eastAsia="en-CA"/>
        </w:rPr>
        <w:t>-------</w:t>
      </w:r>
      <w:hyperlink r:id="rId169" w:history="1">
        <w:r w:rsidRPr="00E8358C">
          <w:rPr>
            <w:rStyle w:val="Lienhypertexte"/>
          </w:rPr>
          <w:t>, « Thomas Jefferson disait : “Confiner la peste dans son île” - Marasme économique, transmission des savoirs et langues (6 de 6)</w:t>
        </w:r>
      </w:hyperlink>
      <w:r w:rsidRPr="00E8358C">
        <w:t> </w:t>
      </w:r>
      <w:r w:rsidRPr="00E8358C">
        <w:rPr>
          <w:bdr w:val="none" w:sz="0" w:space="0" w:color="auto" w:frame="1"/>
        </w:rPr>
        <w:t>»</w:t>
      </w:r>
      <w:r w:rsidRPr="00E8358C">
        <w:t xml:space="preserve">, </w:t>
      </w:r>
      <w:r w:rsidRPr="00E8358C">
        <w:rPr>
          <w:i/>
        </w:rPr>
        <w:t>Tout Haïti</w:t>
      </w:r>
      <w:r w:rsidRPr="00E8358C">
        <w:t xml:space="preserve">, en ligne,  </w:t>
      </w:r>
      <w:hyperlink r:id="rId170" w:anchor="_edn4" w:history="1">
        <w:r w:rsidRPr="00E8358C">
          <w:rPr>
            <w:rStyle w:val="Lienhypertexte"/>
          </w:rPr>
          <w:t>http://www.touthaiti.com/economie/2424-leslie-pean-thomas-jefferson-disait-confiner-la-peste-dans-son-ile-marasme-economique-transmission-des-savoirs-et-langues-6-de-6#_edn4</w:t>
        </w:r>
      </w:hyperlink>
    </w:p>
    <w:p w:rsidR="004C50DC" w:rsidRPr="00E8358C" w:rsidRDefault="004C50DC" w:rsidP="004C50DC">
      <w:pPr>
        <w:spacing w:before="120" w:after="120"/>
        <w:jc w:val="both"/>
      </w:pPr>
      <w:r w:rsidRPr="00E8358C">
        <w:rPr>
          <w:rFonts w:eastAsia="Calibri"/>
          <w:lang w:eastAsia="en-CA"/>
        </w:rPr>
        <w:t>-------</w:t>
      </w:r>
      <w:r w:rsidRPr="00E8358C">
        <w:t xml:space="preserve">, « La semaine Dessalines. Le mauvais chemin pris par Haïti dans l’histoire (5 de 7) », en ligne, </w:t>
      </w:r>
      <w:hyperlink r:id="rId171" w:anchor=".VjoJomQvcy4" w:history="1">
        <w:r w:rsidRPr="00E8358C">
          <w:rPr>
            <w:rStyle w:val="Lienhypertexte"/>
          </w:rPr>
          <w:t>http://www.alterpresse.org/spip.php?article19029#.VjoJomQvcy4</w:t>
        </w:r>
      </w:hyperlink>
    </w:p>
    <w:p w:rsidR="004C50DC" w:rsidRPr="00E8358C" w:rsidRDefault="004C50DC" w:rsidP="004C50DC">
      <w:pPr>
        <w:spacing w:before="120" w:after="120"/>
        <w:jc w:val="both"/>
      </w:pPr>
      <w:r w:rsidRPr="00E8358C">
        <w:rPr>
          <w:rFonts w:eastAsia="Calibri"/>
          <w:lang w:eastAsia="en-CA"/>
        </w:rPr>
        <w:t>-------</w:t>
      </w:r>
      <w:r w:rsidRPr="00E8358C">
        <w:t>, « Haïti. Le père Dessalines et les sans repères (1) », lundi 27 octobre 2014, en l</w:t>
      </w:r>
      <w:r w:rsidRPr="00E8358C">
        <w:t>i</w:t>
      </w:r>
      <w:r w:rsidRPr="00E8358C">
        <w:t>gne,</w:t>
      </w:r>
      <w:hyperlink r:id="rId172" w:history="1">
        <w:r w:rsidRPr="00E8358C">
          <w:rPr>
            <w:rStyle w:val="Lienhypertexte"/>
          </w:rPr>
          <w:t>http://www.radiokiskeya.com/spip.php?article10254</w:t>
        </w:r>
      </w:hyperlink>
    </w:p>
    <w:p w:rsidR="004C50DC" w:rsidRPr="00E8358C" w:rsidRDefault="004C50DC" w:rsidP="004C50DC">
      <w:pPr>
        <w:spacing w:before="120" w:after="120"/>
        <w:jc w:val="both"/>
      </w:pPr>
      <w:r w:rsidRPr="00E8358C">
        <w:rPr>
          <w:rFonts w:eastAsia="Calibri"/>
          <w:lang w:eastAsia="en-CA"/>
        </w:rPr>
        <w:t>-------</w:t>
      </w:r>
      <w:r w:rsidRPr="00E8358C">
        <w:t xml:space="preserve">, « Haïti : Retour sur l’article “Économie d’une langue et langue d’une économie” » (Partie 1 de 2), en ligne, </w:t>
      </w:r>
      <w:hyperlink r:id="rId173" w:anchor=".VBy4U" w:history="1">
        <w:r w:rsidRPr="00E8358C">
          <w:rPr>
            <w:rStyle w:val="Lienhypertexte"/>
          </w:rPr>
          <w:t>http://www.alterpresse.org/spip.php?article14332#.VBy4U</w:t>
        </w:r>
      </w:hyperlink>
      <w:r w:rsidRPr="00E8358C">
        <w:t xml:space="preserve"> _ldW8A, 28 mars 2013</w:t>
      </w:r>
    </w:p>
    <w:p w:rsidR="004C50DC" w:rsidRPr="00E8358C" w:rsidRDefault="004C50DC" w:rsidP="004C50DC">
      <w:pPr>
        <w:spacing w:before="120" w:after="120"/>
        <w:jc w:val="both"/>
      </w:pPr>
      <w:r w:rsidRPr="00E8358C">
        <w:rPr>
          <w:rFonts w:eastAsia="Calibri"/>
          <w:lang w:eastAsia="en-CA"/>
        </w:rPr>
        <w:t>-------</w:t>
      </w:r>
      <w:r w:rsidRPr="00E8358C">
        <w:rPr>
          <w:lang w:eastAsia="en-CA"/>
        </w:rPr>
        <w:t>, « </w:t>
      </w:r>
      <w:r w:rsidRPr="00E8358C">
        <w:rPr>
          <w:bCs/>
        </w:rPr>
        <w:t xml:space="preserve">Haïti-Histoire. De Vertières à ce jour en passant par le Pont Rouge », 1 de 4, </w:t>
      </w:r>
      <w:r w:rsidRPr="00E8358C">
        <w:rPr>
          <w:rFonts w:eastAsia="Calibri"/>
          <w:lang w:eastAsia="fr-FR"/>
        </w:rPr>
        <w:t xml:space="preserve">mardi 12 novembre 2013, en ligne, </w:t>
      </w:r>
      <w:hyperlink r:id="rId174" w:anchor="nb5" w:history="1">
        <w:r w:rsidRPr="00E8358C">
          <w:rPr>
            <w:rStyle w:val="Lienhypertexte"/>
            <w:rFonts w:eastAsia="Calibri"/>
            <w:lang w:eastAsia="fr-FR"/>
          </w:rPr>
          <w:t>http://www.alterpresse.org/spip.php?article15461#nb5</w:t>
        </w:r>
      </w:hyperlink>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bCs/>
          <w:lang w:eastAsia="en-CA"/>
        </w:rPr>
        <w:t xml:space="preserve">« Économie politique de la corruption (1791-1990) », </w:t>
      </w:r>
      <w:r w:rsidRPr="00E8358C">
        <w:rPr>
          <w:lang w:eastAsia="en-CA"/>
        </w:rPr>
        <w:t>All</w:t>
      </w:r>
      <w:r w:rsidRPr="00E8358C">
        <w:rPr>
          <w:lang w:eastAsia="en-CA"/>
        </w:rPr>
        <w:t>o</w:t>
      </w:r>
      <w:r w:rsidRPr="00E8358C">
        <w:rPr>
          <w:lang w:eastAsia="en-CA"/>
        </w:rPr>
        <w:t xml:space="preserve">cution à l’Académie dominicaine d’Histoire </w:t>
      </w:r>
      <w:r w:rsidRPr="00E8358C">
        <w:t xml:space="preserve">le 30 mars 2007, </w:t>
      </w:r>
      <w:r w:rsidRPr="00E8358C">
        <w:rPr>
          <w:i/>
          <w:lang w:eastAsia="en-CA"/>
        </w:rPr>
        <w:t>Le No</w:t>
      </w:r>
      <w:r w:rsidRPr="00E8358C">
        <w:rPr>
          <w:i/>
          <w:lang w:eastAsia="en-CA"/>
        </w:rPr>
        <w:t>u</w:t>
      </w:r>
      <w:r w:rsidRPr="00E8358C">
        <w:rPr>
          <w:i/>
          <w:lang w:eastAsia="en-CA"/>
        </w:rPr>
        <w:t>velliste, e</w:t>
      </w:r>
      <w:r w:rsidRPr="00E8358C">
        <w:t xml:space="preserve">n ligne, </w:t>
      </w:r>
      <w:hyperlink r:id="rId175" w:history="1">
        <w:r w:rsidRPr="00E8358C">
          <w:rPr>
            <w:rStyle w:val="Lienhypertexte"/>
          </w:rPr>
          <w:t>http://lenouvelliste.com/lenouvelliste/article/41536/Texte-de-presentation-de-Leslie-Pean-a-lAcademie-Dominicaine-dHistoire</w:t>
        </w:r>
      </w:hyperlink>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Haïti, économie politique de la corruption. L’État marron</w:t>
      </w:r>
      <w:r w:rsidRPr="00E8358C">
        <w:t>, tome 2, Paris, Maisonneuve et Larose, 2003.</w:t>
      </w:r>
    </w:p>
    <w:p w:rsidR="004C50DC" w:rsidRPr="00E8358C" w:rsidRDefault="004C50DC" w:rsidP="004C50DC">
      <w:pPr>
        <w:spacing w:before="120" w:after="120"/>
        <w:jc w:val="both"/>
      </w:pPr>
      <w:r w:rsidRPr="00E8358C">
        <w:rPr>
          <w:bdr w:val="none" w:sz="0" w:space="0" w:color="auto" w:frame="1"/>
        </w:rPr>
        <w:t xml:space="preserve">Peloux, Édouard, </w:t>
      </w:r>
      <w:r w:rsidRPr="00E8358C">
        <w:rPr>
          <w:i/>
          <w:bdr w:val="none" w:sz="0" w:space="0" w:color="auto" w:frame="1"/>
        </w:rPr>
        <w:t>Il était une fois Haïti… 50 ans de photographies</w:t>
      </w:r>
      <w:r w:rsidRPr="00E8358C">
        <w:rPr>
          <w:bdr w:val="none" w:sz="0" w:space="0" w:color="auto" w:frame="1"/>
        </w:rPr>
        <w:t>, Banque de la République d’Haïti/Grissom Company, 2009.</w:t>
      </w:r>
    </w:p>
    <w:p w:rsidR="004C50DC" w:rsidRDefault="004C50DC" w:rsidP="004C50DC">
      <w:pPr>
        <w:spacing w:before="120" w:after="120"/>
        <w:jc w:val="both"/>
      </w:pPr>
      <w:r>
        <w:t>[487]</w:t>
      </w:r>
    </w:p>
    <w:p w:rsidR="004C50DC" w:rsidRPr="00E8358C" w:rsidRDefault="004C50DC" w:rsidP="004C50DC">
      <w:pPr>
        <w:spacing w:before="120" w:after="120"/>
        <w:jc w:val="both"/>
      </w:pPr>
      <w:r w:rsidRPr="00E8358C">
        <w:t xml:space="preserve">Peters, Carl E., </w:t>
      </w:r>
      <w:r w:rsidRPr="00E8358C">
        <w:rPr>
          <w:i/>
        </w:rPr>
        <w:t>Le service des loas</w:t>
      </w:r>
      <w:r w:rsidRPr="00E8358C">
        <w:t>, Port-au-Prince, 1956.</w:t>
      </w:r>
    </w:p>
    <w:p w:rsidR="004C50DC" w:rsidRPr="00E8358C" w:rsidRDefault="004C50DC" w:rsidP="004C50DC">
      <w:pPr>
        <w:spacing w:before="120" w:after="120"/>
        <w:jc w:val="both"/>
      </w:pPr>
      <w:r w:rsidRPr="00E8358C">
        <w:t xml:space="preserve">Petit-Frère, Serge, </w:t>
      </w:r>
      <w:r w:rsidRPr="00E8358C">
        <w:rPr>
          <w:i/>
        </w:rPr>
        <w:t>L’éducation haïtienne en question</w:t>
      </w:r>
      <w:r w:rsidRPr="00E8358C">
        <w:t>, Port-au-Prince, Fardin, 1980.</w:t>
      </w:r>
    </w:p>
    <w:p w:rsidR="004C50DC" w:rsidRPr="00E8358C" w:rsidRDefault="004C50DC" w:rsidP="004C50DC">
      <w:pPr>
        <w:spacing w:before="120" w:after="120"/>
        <w:jc w:val="both"/>
      </w:pPr>
      <w:r w:rsidRPr="00E8358C">
        <w:t xml:space="preserve">Pétré-Grenouilleau, Olivier, </w:t>
      </w:r>
      <w:r w:rsidRPr="00E8358C">
        <w:rPr>
          <w:i/>
        </w:rPr>
        <w:t>Les Traites négrières, essai d’histoire globale</w:t>
      </w:r>
      <w:r w:rsidRPr="00E8358C">
        <w:t>, Paris, Gallimard,</w:t>
      </w:r>
      <w:r>
        <w:t xml:space="preserve"> </w:t>
      </w:r>
      <w:r w:rsidRPr="00E8358C">
        <w:t>2004.</w:t>
      </w:r>
    </w:p>
    <w:p w:rsidR="004C50DC" w:rsidRPr="007F5D4F" w:rsidRDefault="004C50DC" w:rsidP="004C50DC">
      <w:pPr>
        <w:spacing w:before="120" w:after="120"/>
        <w:jc w:val="both"/>
      </w:pPr>
      <w:r w:rsidRPr="007F5D4F">
        <w:t xml:space="preserve">-------, Olivier, </w:t>
      </w:r>
      <w:r w:rsidRPr="007F5D4F">
        <w:rPr>
          <w:i/>
        </w:rPr>
        <w:t>La Traite des noirs</w:t>
      </w:r>
      <w:r w:rsidRPr="00E8358C">
        <w:t>, Paris, Que sais-je ? 1997</w:t>
      </w:r>
      <w:r w:rsidRPr="007F5D4F">
        <w:t>.</w:t>
      </w:r>
    </w:p>
    <w:p w:rsidR="004C50DC" w:rsidRPr="00E8358C" w:rsidRDefault="004C50DC" w:rsidP="004C50DC">
      <w:pPr>
        <w:spacing w:before="120" w:after="120"/>
        <w:jc w:val="both"/>
      </w:pPr>
      <w:r w:rsidRPr="00E8358C">
        <w:t>Pierre-Paul, Liliane, « </w:t>
      </w:r>
      <w:r w:rsidRPr="007F5D4F">
        <w:rPr>
          <w:i/>
        </w:rPr>
        <w:t>Haïti-Insolite : la soupe “joumou” ou la r</w:t>
      </w:r>
      <w:r w:rsidRPr="007F5D4F">
        <w:rPr>
          <w:i/>
        </w:rPr>
        <w:t>e</w:t>
      </w:r>
      <w:r w:rsidRPr="007F5D4F">
        <w:rPr>
          <w:i/>
        </w:rPr>
        <w:t>vanche des va-nu-pieds de 1804 </w:t>
      </w:r>
      <w:r w:rsidRPr="00E8358C">
        <w:t>», 1</w:t>
      </w:r>
      <w:r w:rsidRPr="007F5D4F">
        <w:t>er</w:t>
      </w:r>
      <w:r w:rsidRPr="00E8358C">
        <w:t xml:space="preserve"> janvier 2008, en ligne, </w:t>
      </w:r>
      <w:hyperlink r:id="rId176" w:history="1">
        <w:r w:rsidRPr="007F5D4F">
          <w:t>http://radiokiskeya.com/spip.php?breve1605</w:t>
        </w:r>
      </w:hyperlink>
    </w:p>
    <w:p w:rsidR="004C50DC" w:rsidRPr="00E8358C" w:rsidRDefault="004C50DC" w:rsidP="004C50DC">
      <w:pPr>
        <w:spacing w:before="120" w:after="120"/>
        <w:jc w:val="both"/>
      </w:pPr>
      <w:r w:rsidRPr="00E8358C">
        <w:t>Pinguilly, Yves</w:t>
      </w:r>
      <w:r w:rsidRPr="007F5D4F">
        <w:t xml:space="preserve">, </w:t>
      </w:r>
      <w:r w:rsidRPr="007F5D4F">
        <w:rPr>
          <w:i/>
        </w:rPr>
        <w:t>Aimé Césaire, le nègre indélébile</w:t>
      </w:r>
      <w:r w:rsidRPr="007F5D4F">
        <w:t>, Paris, Oskar,</w:t>
      </w:r>
      <w:r w:rsidRPr="00E8358C">
        <w:t xml:space="preserve"> coll.</w:t>
      </w:r>
      <w:r w:rsidRPr="007F5D4F">
        <w:t> « Histoire et Société », 2008.</w:t>
      </w:r>
    </w:p>
    <w:p w:rsidR="004C50DC" w:rsidRPr="00E8358C" w:rsidRDefault="004C50DC" w:rsidP="004C50DC">
      <w:pPr>
        <w:spacing w:before="120" w:after="120"/>
        <w:jc w:val="both"/>
      </w:pPr>
      <w:r w:rsidRPr="007F5D4F">
        <w:t xml:space="preserve">------, </w:t>
      </w:r>
      <w:r w:rsidRPr="007F5D4F">
        <w:rPr>
          <w:i/>
        </w:rPr>
        <w:t>Le Nègre de Nantes</w:t>
      </w:r>
      <w:r w:rsidRPr="007F5D4F">
        <w:t>, Paris, Oskar,</w:t>
      </w:r>
      <w:r w:rsidRPr="00E8358C">
        <w:t xml:space="preserve"> coll.</w:t>
      </w:r>
      <w:r w:rsidRPr="007F5D4F">
        <w:t xml:space="preserve"> « Junior », 2007.</w:t>
      </w:r>
    </w:p>
    <w:p w:rsidR="004C50DC" w:rsidRPr="007F5D4F" w:rsidRDefault="004C50DC" w:rsidP="004C50DC">
      <w:pPr>
        <w:spacing w:before="120" w:after="120"/>
        <w:jc w:val="both"/>
      </w:pPr>
      <w:r w:rsidRPr="00E8358C">
        <w:t xml:space="preserve">-------, </w:t>
      </w:r>
      <w:r w:rsidRPr="007F5D4F">
        <w:rPr>
          <w:i/>
        </w:rPr>
        <w:t>L’esclave du fleuve des fleuves</w:t>
      </w:r>
      <w:r w:rsidRPr="007F5D4F">
        <w:t xml:space="preserve">, Paris, Oskar jeunesse, </w:t>
      </w:r>
      <w:r w:rsidRPr="00E8358C">
        <w:t>coll.</w:t>
      </w:r>
      <w:r w:rsidRPr="007F5D4F">
        <w:t xml:space="preserve"> « Cadet », 2006.</w:t>
      </w:r>
    </w:p>
    <w:p w:rsidR="004C50DC" w:rsidRPr="007F5D4F" w:rsidRDefault="004C50DC" w:rsidP="004C50DC">
      <w:pPr>
        <w:spacing w:before="120" w:after="120"/>
        <w:jc w:val="both"/>
      </w:pPr>
      <w:r w:rsidRPr="00E8358C">
        <w:t xml:space="preserve">Piotte, Jean-Marc Piotte, </w:t>
      </w:r>
      <w:hyperlink r:id="rId177" w:history="1">
        <w:r w:rsidRPr="007F5D4F">
          <w:rPr>
            <w:rStyle w:val="Lienhypertexte"/>
            <w:i/>
          </w:rPr>
          <w:t>La pensée politique de Gramsci</w:t>
        </w:r>
      </w:hyperlink>
      <w:r w:rsidRPr="007F5D4F">
        <w:t xml:space="preserve">, </w:t>
      </w:r>
      <w:r w:rsidRPr="00E8358C">
        <w:t>Mo</w:t>
      </w:r>
      <w:r w:rsidRPr="00E8358C">
        <w:t>n</w:t>
      </w:r>
      <w:r w:rsidRPr="00E8358C">
        <w:t>tréal, Parti-pris, 1970.</w:t>
      </w:r>
    </w:p>
    <w:p w:rsidR="004C50DC" w:rsidRPr="00E8358C" w:rsidRDefault="004C50DC" w:rsidP="004C50DC">
      <w:pPr>
        <w:spacing w:before="120" w:after="120"/>
        <w:jc w:val="both"/>
      </w:pPr>
      <w:r w:rsidRPr="00E8358C">
        <w:t xml:space="preserve">Piquion, René, </w:t>
      </w:r>
      <w:r w:rsidRPr="007F5D4F">
        <w:rPr>
          <w:i/>
        </w:rPr>
        <w:t>Manuel de négritude</w:t>
      </w:r>
      <w:r w:rsidRPr="00E8358C">
        <w:t>, Port-au-Prince, Henri De</w:t>
      </w:r>
      <w:r w:rsidRPr="00E8358C">
        <w:t>s</w:t>
      </w:r>
      <w:r w:rsidRPr="00E8358C">
        <w:t>champs, 1965.</w:t>
      </w:r>
    </w:p>
    <w:p w:rsidR="004C50DC" w:rsidRPr="007F5D4F" w:rsidRDefault="004C50DC" w:rsidP="004C50DC">
      <w:pPr>
        <w:spacing w:before="120" w:after="120"/>
        <w:jc w:val="both"/>
      </w:pPr>
      <w:r w:rsidRPr="007F5D4F">
        <w:t xml:space="preserve">Plisson, Michel, </w:t>
      </w:r>
      <w:r w:rsidRPr="007F5D4F">
        <w:rPr>
          <w:i/>
        </w:rPr>
        <w:t>Tango</w:t>
      </w:r>
      <w:r w:rsidRPr="007F5D4F">
        <w:t> du </w:t>
      </w:r>
      <w:r w:rsidRPr="007F5D4F">
        <w:rPr>
          <w:i/>
        </w:rPr>
        <w:t>noir</w:t>
      </w:r>
      <w:r w:rsidRPr="007F5D4F">
        <w:t> au </w:t>
      </w:r>
      <w:r w:rsidRPr="007F5D4F">
        <w:rPr>
          <w:i/>
        </w:rPr>
        <w:t>blanc</w:t>
      </w:r>
      <w:r w:rsidRPr="007F5D4F">
        <w:t>, Paris et Arles, Cité de la Musique et Actes Sud, 2001.</w:t>
      </w:r>
    </w:p>
    <w:p w:rsidR="004C50DC" w:rsidRPr="007F5D4F" w:rsidRDefault="004C50DC" w:rsidP="004C50DC">
      <w:pPr>
        <w:spacing w:before="120" w:after="120"/>
        <w:jc w:val="both"/>
      </w:pPr>
      <w:r w:rsidRPr="007F5D4F">
        <w:t xml:space="preserve">Pluchon, Pierre, « L’économie d’habitation à Saint-Domingue », </w:t>
      </w:r>
      <w:r w:rsidRPr="007F5D4F">
        <w:rPr>
          <w:i/>
        </w:rPr>
        <w:t>Revue d’histoire maritime</w:t>
      </w:r>
      <w:r w:rsidRPr="007F5D4F">
        <w:t xml:space="preserve"> 1, 1997, pp. 197-241.</w:t>
      </w:r>
    </w:p>
    <w:p w:rsidR="004C50DC" w:rsidRPr="007F5D4F" w:rsidRDefault="004C50DC" w:rsidP="004C50DC">
      <w:pPr>
        <w:spacing w:before="120" w:after="120"/>
        <w:jc w:val="both"/>
      </w:pPr>
      <w:r w:rsidRPr="007F5D4F">
        <w:t>Poirier, Christian, « Mémoire collective, identité et politique. La société québécoise et sa relation problématique avec le passé », dans</w:t>
      </w:r>
      <w:r w:rsidRPr="007F5D4F">
        <w:t>I</w:t>
      </w:r>
      <w:r w:rsidRPr="007F5D4F">
        <w:t xml:space="preserve">nès Molinaro et Christopher Rolfe (dir.), </w:t>
      </w:r>
      <w:r w:rsidRPr="007F5D4F">
        <w:rPr>
          <w:i/>
          <w:iCs/>
        </w:rPr>
        <w:t>Focus on Québec (II).Further Essays on Québécois Society and Culture</w:t>
      </w:r>
      <w:r w:rsidRPr="007F5D4F">
        <w:t>, Édimbourg, GRECF, 2000, pp. 73-87.</w:t>
      </w:r>
    </w:p>
    <w:p w:rsidR="004C50DC" w:rsidRPr="00E8358C" w:rsidRDefault="004C50DC" w:rsidP="004C50DC">
      <w:pPr>
        <w:spacing w:before="120" w:after="120"/>
        <w:jc w:val="both"/>
      </w:pPr>
      <w:r w:rsidRPr="007F5D4F">
        <w:t>Poirier, Jean et Sudel Fuma, « La mémoire de l’esclave.</w:t>
      </w:r>
      <w:r w:rsidRPr="00E8358C">
        <w:rPr>
          <w:rFonts w:eastAsia="Calibri"/>
          <w:lang w:eastAsia="en-CA"/>
        </w:rPr>
        <w:t xml:space="preserve"> Surviva</w:t>
      </w:r>
      <w:r w:rsidRPr="00E8358C">
        <w:rPr>
          <w:rFonts w:eastAsia="Calibri"/>
          <w:lang w:eastAsia="en-CA"/>
        </w:rPr>
        <w:t>n</w:t>
      </w:r>
      <w:r w:rsidRPr="00E8358C">
        <w:rPr>
          <w:rFonts w:eastAsia="Calibri"/>
          <w:lang w:eastAsia="en-CA"/>
        </w:rPr>
        <w:t xml:space="preserve">ces et permanences », </w:t>
      </w:r>
      <w:r w:rsidRPr="00E8358C">
        <w:rPr>
          <w:rFonts w:eastAsia="Calibri"/>
          <w:iCs/>
          <w:lang w:eastAsia="en-CA"/>
        </w:rPr>
        <w:t xml:space="preserve">dans </w:t>
      </w:r>
      <w:r w:rsidRPr="00E8358C">
        <w:rPr>
          <w:rFonts w:eastAsia="Calibri"/>
          <w:lang w:eastAsia="en-CA"/>
        </w:rPr>
        <w:t xml:space="preserve">Sudel Fuma, (dir.), </w:t>
      </w:r>
      <w:r w:rsidRPr="00E8358C">
        <w:rPr>
          <w:rFonts w:eastAsia="Calibri"/>
          <w:i/>
          <w:iCs/>
          <w:lang w:eastAsia="en-CA"/>
        </w:rPr>
        <w:t>Mémoire orale et e</w:t>
      </w:r>
      <w:r w:rsidRPr="00E8358C">
        <w:rPr>
          <w:rFonts w:eastAsia="Calibri"/>
          <w:i/>
          <w:iCs/>
          <w:lang w:eastAsia="en-CA"/>
        </w:rPr>
        <w:t>s</w:t>
      </w:r>
      <w:r w:rsidRPr="00E8358C">
        <w:rPr>
          <w:rFonts w:eastAsia="Calibri"/>
          <w:i/>
          <w:iCs/>
          <w:lang w:eastAsia="en-CA"/>
        </w:rPr>
        <w:t xml:space="preserve">clavage dans îles du sud-ouest de l’Océan indien. Silences, oublis, reconnaissance, </w:t>
      </w:r>
      <w:r w:rsidRPr="00E8358C">
        <w:rPr>
          <w:rFonts w:eastAsia="Calibri"/>
          <w:lang w:eastAsia="en-CA"/>
        </w:rPr>
        <w:t>Actes du colloque international de Saint-Denis, Un</w:t>
      </w:r>
      <w:r w:rsidRPr="00E8358C">
        <w:rPr>
          <w:rFonts w:eastAsia="Calibri"/>
          <w:lang w:eastAsia="en-CA"/>
        </w:rPr>
        <w:t>i</w:t>
      </w:r>
      <w:r w:rsidRPr="00E8358C">
        <w:rPr>
          <w:rFonts w:eastAsia="Calibri"/>
          <w:lang w:eastAsia="en-CA"/>
        </w:rPr>
        <w:t xml:space="preserve">versité de la Réunion, 2004, </w:t>
      </w:r>
      <w:r>
        <w:rPr>
          <w:rFonts w:eastAsia="Calibri"/>
          <w:lang w:eastAsia="en-CA"/>
        </w:rPr>
        <w:t>p</w:t>
      </w:r>
      <w:r w:rsidRPr="00E8358C">
        <w:rPr>
          <w:rFonts w:eastAsia="Calibri"/>
          <w:lang w:eastAsia="en-CA"/>
        </w:rPr>
        <w:t>p. 37-53.</w:t>
      </w:r>
    </w:p>
    <w:p w:rsidR="004C50DC" w:rsidRPr="00E8358C" w:rsidRDefault="004C50DC" w:rsidP="004C50DC">
      <w:pPr>
        <w:spacing w:before="120" w:after="120"/>
        <w:jc w:val="both"/>
      </w:pPr>
      <w:r w:rsidRPr="00E8358C">
        <w:t xml:space="preserve">Poizat, Denis, « Le vodou, la déficience, la chute », </w:t>
      </w:r>
      <w:r w:rsidRPr="00E8358C">
        <w:rPr>
          <w:i/>
        </w:rPr>
        <w:t>Reliance</w:t>
      </w:r>
      <w:r w:rsidRPr="00E8358C">
        <w:t>, vol. 33, n° 29, 2008, p. 13.</w:t>
      </w:r>
    </w:p>
    <w:p w:rsidR="004C50DC" w:rsidRPr="00E8358C" w:rsidRDefault="004C50DC" w:rsidP="004C50DC">
      <w:pPr>
        <w:spacing w:before="120" w:after="120"/>
        <w:jc w:val="both"/>
      </w:pPr>
      <w:r w:rsidRPr="00E8358C">
        <w:t xml:space="preserve">Pommier, Édouard, </w:t>
      </w:r>
      <w:r w:rsidRPr="00E8358C">
        <w:rPr>
          <w:i/>
        </w:rPr>
        <w:t>Le Débat</w:t>
      </w:r>
      <w:r w:rsidRPr="00E8358C">
        <w:t>, n</w:t>
      </w:r>
      <w:r w:rsidRPr="00E8358C">
        <w:rPr>
          <w:vertAlign w:val="superscript"/>
        </w:rPr>
        <w:t>o</w:t>
      </w:r>
      <w:r w:rsidRPr="00E8358C">
        <w:t> 65, mai-août 1991, p. 147.</w:t>
      </w:r>
    </w:p>
    <w:p w:rsidR="004C50DC" w:rsidRPr="00E8358C" w:rsidRDefault="004C50DC" w:rsidP="004C50DC">
      <w:pPr>
        <w:spacing w:before="120" w:after="120"/>
        <w:jc w:val="both"/>
      </w:pPr>
      <w:r w:rsidRPr="00E8358C">
        <w:t xml:space="preserve">Pompilus, Pradel et Raphaël Berrou, </w:t>
      </w:r>
      <w:r w:rsidRPr="00E8358C">
        <w:rPr>
          <w:i/>
        </w:rPr>
        <w:t>Histoire de la littérature ha</w:t>
      </w:r>
      <w:r w:rsidRPr="00E8358C">
        <w:rPr>
          <w:i/>
        </w:rPr>
        <w:t>ï</w:t>
      </w:r>
      <w:r w:rsidRPr="00E8358C">
        <w:rPr>
          <w:i/>
        </w:rPr>
        <w:t>tienne illustrée par les textes</w:t>
      </w:r>
      <w:r w:rsidRPr="00E8358C">
        <w:t>, tome 3, Port-au-Prince, Caraïbes, 1975.</w:t>
      </w:r>
    </w:p>
    <w:p w:rsidR="004C50DC" w:rsidRPr="00E8358C" w:rsidRDefault="004C50DC" w:rsidP="004C50DC">
      <w:pPr>
        <w:spacing w:before="120" w:after="120"/>
        <w:jc w:val="both"/>
      </w:pPr>
      <w:r w:rsidRPr="00E8358C">
        <w:t xml:space="preserve">Pouchepadass, Jacques, « Que reste-t-il des Subaltern Studies ? », </w:t>
      </w:r>
      <w:r w:rsidRPr="00E8358C">
        <w:rPr>
          <w:i/>
        </w:rPr>
        <w:t xml:space="preserve">Critique internationale, </w:t>
      </w:r>
      <w:r w:rsidRPr="00E8358C">
        <w:t>n</w:t>
      </w:r>
      <w:r w:rsidRPr="00E8358C">
        <w:rPr>
          <w:vertAlign w:val="superscript"/>
        </w:rPr>
        <w:t>o</w:t>
      </w:r>
      <w:r w:rsidRPr="00E8358C">
        <w:t> 24, juillet 2004, p</w:t>
      </w:r>
      <w:r>
        <w:t>p</w:t>
      </w:r>
      <w:r w:rsidRPr="00E8358C">
        <w:t>. 67-79.</w:t>
      </w:r>
    </w:p>
    <w:p w:rsidR="004C50DC" w:rsidRPr="00E8358C" w:rsidRDefault="004C50DC" w:rsidP="004C50DC">
      <w:pPr>
        <w:spacing w:before="120" w:after="120"/>
        <w:jc w:val="both"/>
      </w:pPr>
      <w:r w:rsidRPr="00E8358C">
        <w:t xml:space="preserve">Poulot, Dominique, </w:t>
      </w:r>
      <w:r w:rsidRPr="00E8358C">
        <w:rPr>
          <w:rFonts w:eastAsia="Calibri"/>
          <w:i/>
        </w:rPr>
        <w:t>Musée et muséologie</w:t>
      </w:r>
      <w:r w:rsidRPr="00E8358C">
        <w:rPr>
          <w:rFonts w:eastAsia="Calibri"/>
        </w:rPr>
        <w:t>, Paris, La Découverte, 2009.</w:t>
      </w:r>
    </w:p>
    <w:p w:rsidR="004C50DC" w:rsidRPr="00E8358C" w:rsidRDefault="004C50DC" w:rsidP="004C50DC">
      <w:pPr>
        <w:spacing w:before="120" w:after="120"/>
        <w:jc w:val="both"/>
      </w:pPr>
      <w:r w:rsidRPr="00E8358C">
        <w:rPr>
          <w:rFonts w:eastAsia="Calibri"/>
        </w:rPr>
        <w:t>-------, « Patrimoine et histoire de l’art », dans Jean-Claude Nem</w:t>
      </w:r>
      <w:r w:rsidRPr="00E8358C">
        <w:rPr>
          <w:rFonts w:eastAsia="Calibri"/>
        </w:rPr>
        <w:t>e</w:t>
      </w:r>
      <w:r w:rsidRPr="00E8358C">
        <w:rPr>
          <w:rFonts w:eastAsia="Calibri"/>
        </w:rPr>
        <w:t xml:space="preserve">ry, Michel Rautenberg et Fabrice Thuriot (dir.), </w:t>
      </w:r>
      <w:r w:rsidRPr="00E8358C">
        <w:rPr>
          <w:rFonts w:eastAsia="Calibri"/>
          <w:i/>
          <w:iCs/>
        </w:rPr>
        <w:t>Stratégies identitaires de conservation et de valorisation du patrimoine</w:t>
      </w:r>
      <w:r w:rsidRPr="00E8358C">
        <w:rPr>
          <w:rFonts w:eastAsia="Calibri"/>
        </w:rPr>
        <w:t>, Paris, L’Harmattan, 2008, p</w:t>
      </w:r>
      <w:r>
        <w:rPr>
          <w:rFonts w:eastAsia="Calibri"/>
        </w:rPr>
        <w:t>p</w:t>
      </w:r>
      <w:r w:rsidRPr="00E8358C">
        <w:rPr>
          <w:rFonts w:eastAsia="Calibri"/>
        </w:rPr>
        <w:t>. 19-29.</w:t>
      </w:r>
    </w:p>
    <w:p w:rsidR="004C50DC" w:rsidRPr="00E8358C" w:rsidRDefault="004C50DC" w:rsidP="004C50DC">
      <w:pPr>
        <w:spacing w:before="120" w:after="120"/>
        <w:jc w:val="both"/>
      </w:pPr>
      <w:r w:rsidRPr="00E8358C">
        <w:t xml:space="preserve">-------, </w:t>
      </w:r>
      <w:r w:rsidRPr="00E8358C">
        <w:rPr>
          <w:i/>
        </w:rPr>
        <w:t>Une histoire du patrimoine en Occident, XVIII</w:t>
      </w:r>
      <w:r w:rsidRPr="00E8358C">
        <w:rPr>
          <w:i/>
          <w:vertAlign w:val="superscript"/>
        </w:rPr>
        <w:t>e</w:t>
      </w:r>
      <w:r w:rsidRPr="00E8358C">
        <w:rPr>
          <w:i/>
        </w:rPr>
        <w:t>-XXI</w:t>
      </w:r>
      <w:r w:rsidRPr="00E8358C">
        <w:rPr>
          <w:i/>
          <w:vertAlign w:val="superscript"/>
        </w:rPr>
        <w:t>e</w:t>
      </w:r>
      <w:r w:rsidRPr="00E8358C">
        <w:rPr>
          <w:i/>
        </w:rPr>
        <w:t xml:space="preserve"> siècle. Du monument aux valeurs, </w:t>
      </w:r>
      <w:r w:rsidRPr="00E8358C">
        <w:t>Paris, Presses Universitaires de France, 2006.</w:t>
      </w:r>
    </w:p>
    <w:p w:rsidR="004C50DC" w:rsidRPr="00E8358C" w:rsidRDefault="004C50DC" w:rsidP="004C50DC">
      <w:pPr>
        <w:spacing w:before="120" w:after="120"/>
        <w:jc w:val="both"/>
      </w:pPr>
      <w:r w:rsidRPr="00E8358C">
        <w:t xml:space="preserve">-------, </w:t>
      </w:r>
      <w:r w:rsidRPr="00E8358C">
        <w:rPr>
          <w:i/>
        </w:rPr>
        <w:t>Patrimoine et modernité</w:t>
      </w:r>
      <w:r w:rsidRPr="00E8358C">
        <w:t>, Paris, L’Harmattan, 1998.</w:t>
      </w:r>
    </w:p>
    <w:p w:rsidR="004C50DC" w:rsidRPr="00E8358C" w:rsidRDefault="004C50DC" w:rsidP="004C50DC">
      <w:pPr>
        <w:spacing w:before="120" w:after="120"/>
        <w:jc w:val="both"/>
      </w:pPr>
      <w:r w:rsidRPr="00E8358C">
        <w:t>-------, « Le sens du patrimoine, hier et aujourd’hui : note crit</w:t>
      </w:r>
      <w:r w:rsidRPr="00E8358C">
        <w:t>i</w:t>
      </w:r>
      <w:r w:rsidRPr="00E8358C">
        <w:t xml:space="preserve">que », </w:t>
      </w:r>
      <w:r w:rsidRPr="00E8358C">
        <w:rPr>
          <w:i/>
        </w:rPr>
        <w:t>Annales ESC</w:t>
      </w:r>
      <w:r w:rsidRPr="00E8358C">
        <w:t>, n</w:t>
      </w:r>
      <w:r w:rsidRPr="00E8358C">
        <w:rPr>
          <w:vertAlign w:val="superscript"/>
        </w:rPr>
        <w:t>o</w:t>
      </w:r>
      <w:r w:rsidRPr="00E8358C">
        <w:t> 6, 1993.</w:t>
      </w:r>
    </w:p>
    <w:p w:rsidR="004C50DC" w:rsidRPr="00E8358C" w:rsidRDefault="004C50DC" w:rsidP="004C50DC">
      <w:pPr>
        <w:spacing w:before="120" w:after="120"/>
        <w:jc w:val="both"/>
      </w:pPr>
      <w:r w:rsidRPr="00E8358C">
        <w:t xml:space="preserve">Pressoir, Catts, </w:t>
      </w:r>
      <w:r w:rsidRPr="00E8358C">
        <w:rPr>
          <w:i/>
        </w:rPr>
        <w:t>L’enseignement de l’histoire en Haïti</w:t>
      </w:r>
      <w:r w:rsidRPr="00E8358C">
        <w:t>, Mexico, In</w:t>
      </w:r>
      <w:r w:rsidRPr="00E8358C">
        <w:t>s</w:t>
      </w:r>
      <w:r w:rsidRPr="00E8358C">
        <w:t>tituto de geografía e historia, 1950.</w:t>
      </w:r>
    </w:p>
    <w:p w:rsidR="004C50DC" w:rsidRPr="00E8358C" w:rsidRDefault="004C50DC" w:rsidP="004C50DC">
      <w:pPr>
        <w:spacing w:before="120" w:after="120"/>
        <w:jc w:val="both"/>
        <w:rPr>
          <w:rFonts w:eastAsia="Calibri"/>
        </w:rPr>
      </w:pPr>
      <w:r w:rsidRPr="00E8358C">
        <w:t>Price, Hannibal</w:t>
      </w:r>
      <w:r w:rsidRPr="00E8358C">
        <w:rPr>
          <w:rFonts w:eastAsia="Calibri"/>
        </w:rPr>
        <w:t xml:space="preserve">, </w:t>
      </w:r>
      <w:hyperlink r:id="rId178" w:history="1">
        <w:r w:rsidRPr="005946AF">
          <w:rPr>
            <w:rStyle w:val="Lienhypertexte"/>
            <w:rFonts w:eastAsia="Calibri"/>
            <w:i/>
            <w:iCs/>
          </w:rPr>
          <w:t>De la réhabilitation de la race noire par la Rép</w:t>
        </w:r>
        <w:r w:rsidRPr="005946AF">
          <w:rPr>
            <w:rStyle w:val="Lienhypertexte"/>
            <w:rFonts w:eastAsia="Calibri"/>
            <w:i/>
            <w:iCs/>
          </w:rPr>
          <w:t>u</w:t>
        </w:r>
        <w:r w:rsidRPr="005946AF">
          <w:rPr>
            <w:rStyle w:val="Lienhypertexte"/>
            <w:rFonts w:eastAsia="Calibri"/>
            <w:i/>
            <w:iCs/>
          </w:rPr>
          <w:t>blique d’Haïti</w:t>
        </w:r>
      </w:hyperlink>
      <w:r w:rsidRPr="00E8358C">
        <w:rPr>
          <w:rFonts w:eastAsia="Calibri"/>
        </w:rPr>
        <w:t>, Port-au-Prince, J. Verrollot, 1900.</w:t>
      </w:r>
    </w:p>
    <w:p w:rsidR="004C50DC" w:rsidRPr="00E8358C" w:rsidRDefault="004C50DC" w:rsidP="004C50DC">
      <w:pPr>
        <w:spacing w:before="120" w:after="120"/>
        <w:jc w:val="both"/>
      </w:pPr>
      <w:r w:rsidRPr="00E8358C">
        <w:t>Price, Richard, « Monuments and silent screamings : a view from Martinique »,</w:t>
      </w:r>
      <w:r w:rsidRPr="00E8358C">
        <w:rPr>
          <w:rStyle w:val="apple-converted-space"/>
        </w:rPr>
        <w:t xml:space="preserve"> dans</w:t>
      </w:r>
      <w:r w:rsidRPr="00E8358C">
        <w:t>Gert Oostindie</w:t>
      </w:r>
      <w:r w:rsidRPr="00E8358C">
        <w:rPr>
          <w:rStyle w:val="apple-converted-space"/>
        </w:rPr>
        <w:t xml:space="preserve"> (dir.), </w:t>
      </w:r>
      <w:r w:rsidRPr="00E8358C">
        <w:rPr>
          <w:rStyle w:val="Accentuation"/>
        </w:rPr>
        <w:t>Facing up to the Past : Per</w:t>
      </w:r>
      <w:r w:rsidRPr="00E8358C">
        <w:rPr>
          <w:rStyle w:val="Accentuation"/>
        </w:rPr>
        <w:t>s</w:t>
      </w:r>
      <w:r w:rsidRPr="00E8358C">
        <w:rPr>
          <w:rStyle w:val="Accentuation"/>
        </w:rPr>
        <w:t>pectives on the Commemoration of</w:t>
      </w:r>
      <w:r>
        <w:rPr>
          <w:rStyle w:val="Accentuation"/>
          <w:i w:val="0"/>
        </w:rPr>
        <w:t xml:space="preserve"> [488]</w:t>
      </w:r>
      <w:r w:rsidRPr="00E8358C">
        <w:rPr>
          <w:rStyle w:val="Accentuation"/>
        </w:rPr>
        <w:t xml:space="preserve"> Slavery from Africa, the Americas and Europe</w:t>
      </w:r>
      <w:r w:rsidRPr="00E8358C">
        <w:t>, Kingston, Ian Randle, 2001, p</w:t>
      </w:r>
      <w:r>
        <w:t>p</w:t>
      </w:r>
      <w:r w:rsidRPr="00E8358C">
        <w:t>. 58-62.</w:t>
      </w:r>
    </w:p>
    <w:p w:rsidR="004C50DC" w:rsidRPr="00E8358C" w:rsidRDefault="004C50DC" w:rsidP="004C50DC">
      <w:pPr>
        <w:spacing w:before="120" w:after="120"/>
        <w:jc w:val="both"/>
      </w:pPr>
      <w:r w:rsidRPr="00E8358C">
        <w:t xml:space="preserve">-------, </w:t>
      </w:r>
      <w:r w:rsidRPr="00E8358C">
        <w:rPr>
          <w:i/>
          <w:iCs/>
        </w:rPr>
        <w:t>Le bagnard et le colonel</w:t>
      </w:r>
      <w:r w:rsidRPr="00E8358C">
        <w:t>, Paris, PUF, 2000.</w:t>
      </w:r>
    </w:p>
    <w:p w:rsidR="004C50DC" w:rsidRPr="00E8358C" w:rsidRDefault="004C50DC" w:rsidP="004C50DC">
      <w:pPr>
        <w:spacing w:before="120" w:after="120"/>
        <w:jc w:val="both"/>
      </w:pPr>
      <w:r w:rsidRPr="00E8358C">
        <w:t>-------, « </w:t>
      </w:r>
      <w:r w:rsidRPr="00E8358C">
        <w:rPr>
          <w:rFonts w:eastAsia="Calibri"/>
          <w:lang w:eastAsia="en-CA"/>
        </w:rPr>
        <w:t xml:space="preserve">Les sociétés d’esclaves marrons », dans Sidney Mintz (dir.), </w:t>
      </w:r>
      <w:r w:rsidRPr="00E8358C">
        <w:rPr>
          <w:rFonts w:eastAsia="Calibri"/>
          <w:i/>
          <w:lang w:eastAsia="en-CA"/>
        </w:rPr>
        <w:t>Esclave, facteur de production. L’économie politique de l’esclavage</w:t>
      </w:r>
      <w:r w:rsidRPr="00E8358C">
        <w:rPr>
          <w:rFonts w:eastAsia="Calibri"/>
          <w:lang w:eastAsia="en-CA"/>
        </w:rPr>
        <w:t>, Paris, Dunod, 1981, p</w:t>
      </w:r>
      <w:r>
        <w:rPr>
          <w:rFonts w:eastAsia="Calibri"/>
          <w:lang w:eastAsia="en-CA"/>
        </w:rPr>
        <w:t>p</w:t>
      </w:r>
      <w:r w:rsidRPr="00E8358C">
        <w:rPr>
          <w:rFonts w:eastAsia="Calibri"/>
          <w:lang w:eastAsia="en-CA"/>
        </w:rPr>
        <w:t xml:space="preserve">. </w:t>
      </w:r>
      <w:r w:rsidRPr="00E8358C">
        <w:rPr>
          <w:lang w:eastAsia="en-CA"/>
        </w:rPr>
        <w:t>87-118.</w:t>
      </w:r>
    </w:p>
    <w:p w:rsidR="004C50DC" w:rsidRPr="00E8358C" w:rsidRDefault="004C50DC" w:rsidP="004C50DC">
      <w:pPr>
        <w:spacing w:before="120" w:after="120"/>
        <w:jc w:val="both"/>
      </w:pPr>
      <w:r w:rsidRPr="00E8358C">
        <w:t xml:space="preserve">Price, Richard et Sydney W. Mintz, </w:t>
      </w:r>
      <w:r w:rsidRPr="00E8358C">
        <w:rPr>
          <w:i/>
          <w:iCs/>
        </w:rPr>
        <w:t>The birth of African-American culture : an anthropological perspective</w:t>
      </w:r>
      <w:r w:rsidRPr="00E8358C">
        <w:t>, Boston, Beacon Press, 1992.</w:t>
      </w:r>
    </w:p>
    <w:p w:rsidR="004C50DC" w:rsidRPr="00E8358C" w:rsidRDefault="004C50DC" w:rsidP="004C50DC">
      <w:pPr>
        <w:spacing w:before="120" w:after="120"/>
        <w:jc w:val="both"/>
      </w:pPr>
      <w:r w:rsidRPr="00E8358C">
        <w:t xml:space="preserve">Price-Mars, Jean, </w:t>
      </w:r>
      <w:hyperlink r:id="rId179" w:history="1">
        <w:r w:rsidRPr="005946AF">
          <w:rPr>
            <w:rStyle w:val="Lienhypertexte"/>
            <w:i/>
          </w:rPr>
          <w:t>La République d’Haïti et la République Domin</w:t>
        </w:r>
        <w:r w:rsidRPr="005946AF">
          <w:rPr>
            <w:rStyle w:val="Lienhypertexte"/>
            <w:i/>
          </w:rPr>
          <w:t>i</w:t>
        </w:r>
        <w:r w:rsidRPr="005946AF">
          <w:rPr>
            <w:rStyle w:val="Lienhypertexte"/>
            <w:i/>
          </w:rPr>
          <w:t>caine. Les aspects divers d’un problème d’histoire, de géographie et d’ethnologie</w:t>
        </w:r>
      </w:hyperlink>
      <w:r w:rsidRPr="00E8358C">
        <w:t>, nouvelle édition Tome I, Port-au-Prince, Henri De</w:t>
      </w:r>
      <w:r w:rsidRPr="00E8358C">
        <w:t>s</w:t>
      </w:r>
      <w:r w:rsidRPr="00E8358C">
        <w:t>champs, 2007.</w:t>
      </w:r>
    </w:p>
    <w:p w:rsidR="004C50DC" w:rsidRPr="00E8358C" w:rsidRDefault="004C50DC" w:rsidP="004C50DC">
      <w:pPr>
        <w:spacing w:before="120" w:after="120"/>
        <w:jc w:val="both"/>
      </w:pPr>
      <w:r w:rsidRPr="00E8358C">
        <w:t xml:space="preserve">-------, </w:t>
      </w:r>
      <w:hyperlink r:id="rId180" w:history="1">
        <w:r w:rsidRPr="005946AF">
          <w:rPr>
            <w:rStyle w:val="Lienhypertexte"/>
            <w:i/>
          </w:rPr>
          <w:t>Ainsi parla l’oncle. Essais d’ethnographie</w:t>
        </w:r>
      </w:hyperlink>
      <w:r w:rsidRPr="00E8358C">
        <w:t>, Port-au-Prince, Bibliothèque nationale d’Haïti, 1998 [New York, Parapsychology Fondation Inc., 1928].</w:t>
      </w:r>
    </w:p>
    <w:p w:rsidR="004C50DC" w:rsidRPr="00E8358C" w:rsidRDefault="004C50DC" w:rsidP="004C50DC">
      <w:pPr>
        <w:spacing w:before="120" w:after="120"/>
        <w:jc w:val="both"/>
      </w:pPr>
      <w:r w:rsidRPr="00E8358C">
        <w:t xml:space="preserve">-------, </w:t>
      </w:r>
      <w:hyperlink r:id="rId181" w:history="1">
        <w:r w:rsidRPr="005946AF">
          <w:rPr>
            <w:rStyle w:val="Lienhypertexte"/>
            <w:i/>
          </w:rPr>
          <w:t>De Saint-Domingue à Haïti. Essai sur la culture, les arts et la littérature</w:t>
        </w:r>
      </w:hyperlink>
      <w:r w:rsidRPr="00E8358C">
        <w:rPr>
          <w:i/>
        </w:rPr>
        <w:t>,</w:t>
      </w:r>
      <w:r w:rsidRPr="00E8358C">
        <w:t xml:space="preserve"> Paris, Présence africaine, 1959. </w:t>
      </w:r>
    </w:p>
    <w:p w:rsidR="004C50DC" w:rsidRPr="00E8358C" w:rsidRDefault="004C50DC" w:rsidP="004C50DC">
      <w:pPr>
        <w:spacing w:before="120" w:after="120"/>
        <w:jc w:val="both"/>
        <w:rPr>
          <w:shd w:val="clear" w:color="auto" w:fill="FFFFFF"/>
        </w:rPr>
      </w:pPr>
      <w:r w:rsidRPr="00E8358C">
        <w:t xml:space="preserve">-------, </w:t>
      </w:r>
      <w:hyperlink r:id="rId182" w:history="1">
        <w:r w:rsidRPr="005946AF">
          <w:rPr>
            <w:rStyle w:val="Lienhypertexte"/>
            <w:i/>
          </w:rPr>
          <w:t>Le bilan des études ethnologiques en Haïti et le cycle d’étude nègre</w:t>
        </w:r>
      </w:hyperlink>
      <w:r w:rsidRPr="00E8358C">
        <w:t xml:space="preserve">, </w:t>
      </w:r>
      <w:r w:rsidRPr="007F5D4F">
        <w:t>Port-au-Prince, Imprimerie de l’État, 1954.</w:t>
      </w:r>
    </w:p>
    <w:p w:rsidR="004C50DC" w:rsidRPr="00E8358C" w:rsidRDefault="004C50DC" w:rsidP="004C50DC">
      <w:pPr>
        <w:spacing w:before="120" w:after="120"/>
        <w:jc w:val="both"/>
      </w:pPr>
      <w:r w:rsidRPr="00E8358C">
        <w:t xml:space="preserve">-------, </w:t>
      </w:r>
      <w:hyperlink r:id="rId183" w:history="1">
        <w:r w:rsidRPr="005946AF">
          <w:rPr>
            <w:rStyle w:val="Lienhypertexte"/>
            <w:i/>
          </w:rPr>
          <w:t>La République d’Haïti et la République Dominicaine</w:t>
        </w:r>
      </w:hyperlink>
      <w:r w:rsidRPr="00E8358C">
        <w:t>, tome I, Port-au-Prince, Coll. du Tricinquentaire de l’indépendance d’Haïti, 1953.</w:t>
      </w:r>
    </w:p>
    <w:p w:rsidR="004C50DC" w:rsidRPr="00E8358C" w:rsidRDefault="004C50DC" w:rsidP="004C50DC">
      <w:pPr>
        <w:spacing w:before="120" w:after="120"/>
        <w:jc w:val="both"/>
      </w:pPr>
      <w:r w:rsidRPr="00E8358C">
        <w:t xml:space="preserve">-------, </w:t>
      </w:r>
      <w:r w:rsidRPr="00E8358C">
        <w:rPr>
          <w:i/>
        </w:rPr>
        <w:t>Une étape de l’évolution haïtienne</w:t>
      </w:r>
      <w:r w:rsidRPr="00E8358C">
        <w:t>, Port-au-Prince, La Pre</w:t>
      </w:r>
      <w:r w:rsidRPr="00E8358C">
        <w:t>s</w:t>
      </w:r>
      <w:r w:rsidRPr="00E8358C">
        <w:t>se, 1929.</w:t>
      </w:r>
    </w:p>
    <w:p w:rsidR="004C50DC" w:rsidRPr="00E8358C" w:rsidRDefault="004C50DC" w:rsidP="004C50DC">
      <w:pPr>
        <w:spacing w:before="120" w:after="120"/>
        <w:jc w:val="both"/>
      </w:pPr>
      <w:r w:rsidRPr="00E8358C">
        <w:t>Pulvar, Olivier, « Mémoire, médiatisation et construction des ide</w:t>
      </w:r>
      <w:r w:rsidRPr="00E8358C">
        <w:t>n</w:t>
      </w:r>
      <w:r w:rsidRPr="00E8358C">
        <w:t xml:space="preserve">tités », </w:t>
      </w:r>
      <w:r w:rsidRPr="00E8358C">
        <w:rPr>
          <w:i/>
        </w:rPr>
        <w:t>Études caribéennes</w:t>
      </w:r>
      <w:r w:rsidRPr="00E8358C">
        <w:t>, n</w:t>
      </w:r>
      <w:r w:rsidRPr="00E8358C">
        <w:rPr>
          <w:vertAlign w:val="superscript"/>
        </w:rPr>
        <w:t>o</w:t>
      </w:r>
      <w:r w:rsidRPr="00E8358C">
        <w:t xml:space="preserve"> 5, 2006, en ligne, </w:t>
      </w:r>
      <w:hyperlink r:id="rId184" w:history="1">
        <w:r w:rsidRPr="00E8358C">
          <w:rPr>
            <w:rStyle w:val="Lienhypertexte"/>
          </w:rPr>
          <w:t>http://etudescaribeennes.revues.org/390</w:t>
        </w:r>
      </w:hyperlink>
      <w:r w:rsidRPr="00E8358C">
        <w:t> ; DOI : 10.4000/etudescaribeennes.390</w:t>
      </w:r>
    </w:p>
    <w:p w:rsidR="004C50DC" w:rsidRPr="00E8358C" w:rsidRDefault="004C50DC" w:rsidP="004C50DC">
      <w:pPr>
        <w:spacing w:before="120" w:after="120"/>
        <w:jc w:val="both"/>
      </w:pPr>
      <w:r w:rsidRPr="00E8358C">
        <w:rPr>
          <w:bCs/>
        </w:rPr>
        <w:t xml:space="preserve">Rebok, Sandra, </w:t>
      </w:r>
      <w:r w:rsidRPr="00E8358C">
        <w:t xml:space="preserve">« La Révolution de Haïti vue par deux personnages contemporains : le scientifique prussien Alexander Von Humboldt et l’homme d’État américain Thomas Jefferson », </w:t>
      </w:r>
      <w:r w:rsidRPr="00E8358C">
        <w:rPr>
          <w:i/>
        </w:rPr>
        <w:t>French Colonial Hi</w:t>
      </w:r>
      <w:r w:rsidRPr="00E8358C">
        <w:rPr>
          <w:i/>
        </w:rPr>
        <w:t>s</w:t>
      </w:r>
      <w:r w:rsidRPr="00E8358C">
        <w:rPr>
          <w:i/>
        </w:rPr>
        <w:t>tory</w:t>
      </w:r>
      <w:r w:rsidRPr="00E8358C">
        <w:t xml:space="preserve">, vol. 10, 2009, </w:t>
      </w:r>
      <w:r>
        <w:t>p</w:t>
      </w:r>
      <w:r w:rsidRPr="00E8358C">
        <w:t>p. 75-95.</w:t>
      </w:r>
    </w:p>
    <w:p w:rsidR="004C50DC" w:rsidRPr="00E8358C" w:rsidRDefault="004C50DC" w:rsidP="004C50DC">
      <w:pPr>
        <w:spacing w:before="120" w:after="120"/>
        <w:jc w:val="both"/>
      </w:pPr>
      <w:r w:rsidRPr="00E8358C">
        <w:rPr>
          <w:bCs/>
          <w:i/>
        </w:rPr>
        <w:t xml:space="preserve">Recueil des édits, déclarations, lettres patentes, &amp;c. enregistrés au parlement de Flandres ; des arrêts du Conseil d’État particuliers à son ressort ; ensemble des arrêts de réglemens rendus par cette cour, </w:t>
      </w:r>
      <w:r w:rsidRPr="00E8358C">
        <w:t>Douai, Imprimerie de Derbaix, 1786, en ligne, https://archive.org/details/bub_gb_SXcPAAAAQAAJ</w:t>
      </w:r>
    </w:p>
    <w:p w:rsidR="004C50DC" w:rsidRPr="00E8358C" w:rsidRDefault="004C50DC" w:rsidP="004C50DC">
      <w:pPr>
        <w:spacing w:before="120" w:after="120"/>
        <w:jc w:val="both"/>
      </w:pPr>
      <w:r w:rsidRPr="00E8358C">
        <w:t xml:space="preserve">Rediker, Marcus, </w:t>
      </w:r>
      <w:r w:rsidRPr="00E8358C">
        <w:rPr>
          <w:i/>
        </w:rPr>
        <w:t>À bord du négrier. Une histoire atlantique de la traite</w:t>
      </w:r>
      <w:r w:rsidRPr="00E8358C">
        <w:t>, Paris, Seuil, 2013.</w:t>
      </w:r>
    </w:p>
    <w:p w:rsidR="004C50DC" w:rsidRPr="00E8358C" w:rsidRDefault="004C50DC" w:rsidP="004C50DC">
      <w:pPr>
        <w:spacing w:before="120" w:after="120"/>
        <w:jc w:val="both"/>
        <w:rPr>
          <w:rStyle w:val="SansinterligneCar"/>
        </w:rPr>
      </w:pPr>
      <w:r w:rsidRPr="00E8358C">
        <w:rPr>
          <w:rStyle w:val="SansinterligneCar"/>
        </w:rPr>
        <w:t>« Reforma a ley electoral eliminaría el color indio, RD será de negros, blancos y m</w:t>
      </w:r>
      <w:r w:rsidRPr="00E8358C">
        <w:rPr>
          <w:rStyle w:val="SansinterligneCar"/>
        </w:rPr>
        <w:t>u</w:t>
      </w:r>
      <w:r w:rsidRPr="00E8358C">
        <w:rPr>
          <w:rStyle w:val="SansinterligneCar"/>
        </w:rPr>
        <w:t xml:space="preserve">latos », </w:t>
      </w:r>
      <w:r w:rsidRPr="00E8358C">
        <w:rPr>
          <w:rStyle w:val="SansinterligneCar"/>
          <w:i/>
        </w:rPr>
        <w:t>Listín Diario</w:t>
      </w:r>
      <w:r w:rsidRPr="00E8358C">
        <w:rPr>
          <w:rStyle w:val="SansinterligneCar"/>
        </w:rPr>
        <w:t>, 11 novembre 2011.</w:t>
      </w:r>
    </w:p>
    <w:p w:rsidR="004C50DC" w:rsidRPr="00E8358C" w:rsidRDefault="004C50DC" w:rsidP="004C50DC">
      <w:pPr>
        <w:spacing w:before="120" w:after="120"/>
        <w:jc w:val="both"/>
      </w:pPr>
      <w:r w:rsidRPr="00E8358C">
        <w:t>Régulus, Samuel, « </w:t>
      </w:r>
      <w:hyperlink r:id="rId185" w:history="1">
        <w:r w:rsidRPr="005946AF">
          <w:rPr>
            <w:rStyle w:val="Lienhypertexte"/>
          </w:rPr>
          <w:t>Le vodou haïtien : patrimonialité et enjeux </w:t>
        </w:r>
      </w:hyperlink>
      <w:r w:rsidRPr="00E8358C">
        <w:t xml:space="preserve">», dans André Charbonneau et Laurier Turgeon (dir.), </w:t>
      </w:r>
      <w:r w:rsidRPr="00E8358C">
        <w:rPr>
          <w:i/>
        </w:rPr>
        <w:t>Patrimoines et identités en Amérique française</w:t>
      </w:r>
      <w:r w:rsidRPr="00E8358C">
        <w:t>, Québec, Presses de l’Université L</w:t>
      </w:r>
      <w:r w:rsidRPr="00E8358C">
        <w:t>a</w:t>
      </w:r>
      <w:r w:rsidRPr="00E8358C">
        <w:t xml:space="preserve">val, 2008, </w:t>
      </w:r>
      <w:r>
        <w:t>p</w:t>
      </w:r>
      <w:r w:rsidRPr="00E8358C">
        <w:t>p. 189-210.</w:t>
      </w:r>
    </w:p>
    <w:p w:rsidR="004C50DC" w:rsidRPr="00E8358C" w:rsidRDefault="004C50DC" w:rsidP="004C50DC">
      <w:pPr>
        <w:spacing w:before="120" w:after="120"/>
        <w:jc w:val="both"/>
      </w:pPr>
      <w:r w:rsidRPr="00E8358C">
        <w:t xml:space="preserve">Reid, Ahmed, « The </w:t>
      </w:r>
      <w:r w:rsidRPr="00E8358C">
        <w:rPr>
          <w:rStyle w:val="yshortcuts"/>
        </w:rPr>
        <w:t>Transatlantic Trade</w:t>
      </w:r>
      <w:r w:rsidRPr="00E8358C">
        <w:t xml:space="preserve"> in Africans : Recognition through Data Analysis », Communication à la 12</w:t>
      </w:r>
      <w:r w:rsidRPr="00E8358C">
        <w:rPr>
          <w:vertAlign w:val="superscript"/>
        </w:rPr>
        <w:t>e</w:t>
      </w:r>
      <w:r w:rsidRPr="00E8358C">
        <w:t xml:space="preserve"> session du Groupe de travail sur les peuples d’origine africaine, Bureau du Haut-Commissariat aux droits de l’homme, Genève, 22-26 avril 2013, en ligne, </w:t>
      </w:r>
      <w:r w:rsidRPr="00E8358C">
        <w:rPr>
          <w:iCs/>
        </w:rPr>
        <w:t>www.ohchr.org/Documents/Issues/Racism/.../AhmedReid.docx</w:t>
      </w:r>
    </w:p>
    <w:p w:rsidR="004C50DC" w:rsidRPr="00E8358C" w:rsidRDefault="004C50DC" w:rsidP="004C50DC">
      <w:pPr>
        <w:spacing w:before="120" w:after="120"/>
        <w:jc w:val="both"/>
      </w:pPr>
      <w:r w:rsidRPr="00E8358C">
        <w:t xml:space="preserve">Résolution 27 C/3.13, UNESCO, </w:t>
      </w:r>
      <w:r w:rsidRPr="00E8358C">
        <w:rPr>
          <w:i/>
        </w:rPr>
        <w:t>Route de l’esclave</w:t>
      </w:r>
      <w:r w:rsidRPr="00E8358C">
        <w:t xml:space="preserve">, en ligne, </w:t>
      </w:r>
      <w:hyperlink r:id="rId186" w:history="1">
        <w:r w:rsidRPr="00E8358C">
          <w:rPr>
            <w:rStyle w:val="Lienhypertexte"/>
          </w:rPr>
          <w:t>http://portail.unesco.org/culture/fr/.html</w:t>
        </w:r>
      </w:hyperlink>
    </w:p>
    <w:p w:rsidR="004C50DC" w:rsidRPr="00E8358C" w:rsidRDefault="004C50DC" w:rsidP="004C50DC">
      <w:pPr>
        <w:spacing w:before="120" w:after="120"/>
        <w:jc w:val="both"/>
      </w:pPr>
      <w:r w:rsidRPr="00E8358C">
        <w:t xml:space="preserve">Reynaud, Jean-Daniel, </w:t>
      </w:r>
      <w:r w:rsidRPr="00E8358C">
        <w:rPr>
          <w:i/>
        </w:rPr>
        <w:t>Le conflit, la négociation et la règle</w:t>
      </w:r>
      <w:r w:rsidRPr="00E8358C">
        <w:t>, To</w:t>
      </w:r>
      <w:r w:rsidRPr="00E8358C">
        <w:t>u</w:t>
      </w:r>
      <w:r w:rsidRPr="00E8358C">
        <w:t>louse, Octarès, 1999.</w:t>
      </w:r>
    </w:p>
    <w:p w:rsidR="004C50DC" w:rsidRPr="00E8358C" w:rsidRDefault="004C50DC" w:rsidP="004C50DC">
      <w:pPr>
        <w:spacing w:before="120" w:after="120"/>
        <w:jc w:val="both"/>
      </w:pPr>
      <w:r w:rsidRPr="00E8358C">
        <w:t>-------,</w:t>
      </w:r>
      <w:r w:rsidRPr="007F5D4F">
        <w:t xml:space="preserve"> </w:t>
      </w:r>
      <w:r w:rsidRPr="007F5D4F">
        <w:rPr>
          <w:i/>
        </w:rPr>
        <w:t>Les Règles du jeu. L’action collective et la régulation soci</w:t>
      </w:r>
      <w:r w:rsidRPr="007F5D4F">
        <w:rPr>
          <w:i/>
        </w:rPr>
        <w:t>a</w:t>
      </w:r>
      <w:r w:rsidRPr="007F5D4F">
        <w:rPr>
          <w:i/>
        </w:rPr>
        <w:t>le</w:t>
      </w:r>
      <w:r w:rsidRPr="007F5D4F">
        <w:t>, Paris, Armand Colin, 1997.</w:t>
      </w:r>
    </w:p>
    <w:p w:rsidR="004C50DC" w:rsidRPr="00E8358C" w:rsidRDefault="004C50DC" w:rsidP="004C50DC">
      <w:pPr>
        <w:spacing w:before="120" w:after="120"/>
        <w:jc w:val="both"/>
      </w:pPr>
      <w:r w:rsidRPr="00E8358C">
        <w:t xml:space="preserve">Ribbe, Claude, </w:t>
      </w:r>
      <w:r w:rsidRPr="00E8358C">
        <w:rPr>
          <w:i/>
        </w:rPr>
        <w:t>Le crime de Napoléon</w:t>
      </w:r>
      <w:r w:rsidRPr="00E8358C">
        <w:t>, Paris, Privé, 2005.</w:t>
      </w:r>
    </w:p>
    <w:p w:rsidR="004C50DC" w:rsidRPr="00E8358C" w:rsidRDefault="004C50DC" w:rsidP="004C50DC">
      <w:pPr>
        <w:spacing w:before="120" w:after="120"/>
        <w:jc w:val="both"/>
      </w:pPr>
      <w:r w:rsidRPr="00E8358C">
        <w:t xml:space="preserve">Ricœur, Paul, </w:t>
      </w:r>
      <w:r w:rsidRPr="00E8358C">
        <w:rPr>
          <w:i/>
        </w:rPr>
        <w:t xml:space="preserve">La mémoire, l’histoire, l’oubli, </w:t>
      </w:r>
      <w:r w:rsidRPr="00E8358C">
        <w:t>Paris, Seuil, 2000.</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Soi-même comme un autre</w:t>
      </w:r>
      <w:r w:rsidRPr="00E8358C">
        <w:t>, Paris, Seuil, 1990.</w:t>
      </w:r>
    </w:p>
    <w:p w:rsidR="004C50DC" w:rsidRDefault="004C50DC" w:rsidP="004C50DC">
      <w:pPr>
        <w:spacing w:before="120" w:after="120"/>
        <w:jc w:val="both"/>
      </w:pPr>
      <w:r>
        <w:t>[489]</w:t>
      </w:r>
    </w:p>
    <w:p w:rsidR="004C50DC" w:rsidRPr="00E8358C" w:rsidRDefault="004C50DC" w:rsidP="004C50DC">
      <w:pPr>
        <w:spacing w:before="120" w:after="120"/>
        <w:jc w:val="both"/>
      </w:pPr>
      <w:r w:rsidRPr="00E8358C">
        <w:t xml:space="preserve">Riegl, Aloïs, </w:t>
      </w:r>
      <w:r w:rsidRPr="00E8358C">
        <w:rPr>
          <w:i/>
        </w:rPr>
        <w:t>Le culte moderne des monuments. Son essence et sa genèse</w:t>
      </w:r>
      <w:r w:rsidRPr="00E8358C">
        <w:t>, Paris, Seuil, 1984.</w:t>
      </w:r>
    </w:p>
    <w:p w:rsidR="004C50DC" w:rsidRPr="00E8358C" w:rsidRDefault="004C50DC" w:rsidP="004C50DC">
      <w:pPr>
        <w:spacing w:before="120" w:after="120"/>
        <w:jc w:val="both"/>
      </w:pPr>
      <w:r w:rsidRPr="007F5D4F">
        <w:t xml:space="preserve">Rioux, Jean-Pierre, </w:t>
      </w:r>
      <w:r w:rsidRPr="007F5D4F">
        <w:rPr>
          <w:i/>
        </w:rPr>
        <w:t>La France perd la mémoire. Comment un pays démissionne de son histoire</w:t>
      </w:r>
      <w:r w:rsidRPr="00E8358C">
        <w:t xml:space="preserve">, Paris, </w:t>
      </w:r>
      <w:r w:rsidRPr="007F5D4F">
        <w:t>Perrin, 2006.</w:t>
      </w:r>
    </w:p>
    <w:p w:rsidR="004C50DC" w:rsidRPr="00E8358C" w:rsidRDefault="004C50DC" w:rsidP="004C50DC">
      <w:pPr>
        <w:spacing w:before="120" w:after="120"/>
        <w:jc w:val="both"/>
      </w:pPr>
      <w:r w:rsidRPr="00E8358C">
        <w:t xml:space="preserve">Ripoll, Fabrice et Vincent Veschambre, « Face à l’hégémonie du territoire : éléments pour une réflexion critique », dans Yves Jean et Christian Calenge (dir.), </w:t>
      </w:r>
      <w:r w:rsidRPr="00E8358C">
        <w:rPr>
          <w:i/>
        </w:rPr>
        <w:t>Lire les territoires</w:t>
      </w:r>
      <w:r w:rsidRPr="00E8358C">
        <w:t>, Tours, Presses univers</w:t>
      </w:r>
      <w:r w:rsidRPr="00E8358C">
        <w:t>i</w:t>
      </w:r>
      <w:r w:rsidRPr="00E8358C">
        <w:t>taires François Rabelais, collection Perspectives Villes et Territoires, 2002, p. 261-288.</w:t>
      </w:r>
    </w:p>
    <w:p w:rsidR="004C50DC" w:rsidRPr="00E8358C" w:rsidRDefault="004C50DC" w:rsidP="004C50DC">
      <w:pPr>
        <w:spacing w:before="120" w:after="120"/>
        <w:jc w:val="both"/>
      </w:pPr>
      <w:r w:rsidRPr="00E8358C">
        <w:t xml:space="preserve">Roberge, Martine, </w:t>
      </w:r>
      <w:r w:rsidRPr="00E8358C">
        <w:rPr>
          <w:i/>
        </w:rPr>
        <w:t>Guide d’enquête orale,</w:t>
      </w:r>
      <w:r w:rsidRPr="00E8358C">
        <w:t xml:space="preserve"> Québec, Les public</w:t>
      </w:r>
      <w:r w:rsidRPr="00E8358C">
        <w:t>a</w:t>
      </w:r>
      <w:r w:rsidRPr="00E8358C">
        <w:t>tions du Québec, 1991.</w:t>
      </w:r>
    </w:p>
    <w:p w:rsidR="004C50DC" w:rsidRPr="00E8358C" w:rsidRDefault="004C50DC" w:rsidP="004C50DC">
      <w:pPr>
        <w:spacing w:before="120" w:after="120"/>
        <w:jc w:val="both"/>
      </w:pPr>
      <w:r w:rsidRPr="00E8358C">
        <w:t xml:space="preserve">Roberge, Martine et Bernard Genest (dir.), </w:t>
      </w:r>
      <w:r w:rsidRPr="00E8358C">
        <w:rPr>
          <w:i/>
        </w:rPr>
        <w:t xml:space="preserve">Guide d’enquête orale, </w:t>
      </w:r>
      <w:r w:rsidRPr="00E8358C">
        <w:t>Québec, Les publications du Québec, 1991.</w:t>
      </w:r>
    </w:p>
    <w:p w:rsidR="004C50DC" w:rsidRPr="00E8358C" w:rsidRDefault="004C50DC" w:rsidP="004C50DC">
      <w:pPr>
        <w:spacing w:before="120" w:after="120"/>
        <w:jc w:val="both"/>
        <w:rPr>
          <w:bCs/>
        </w:rPr>
      </w:pPr>
      <w:r w:rsidRPr="00E8358C">
        <w:rPr>
          <w:bCs/>
        </w:rPr>
        <w:t xml:space="preserve">Roc, François, </w:t>
      </w:r>
      <w:r w:rsidRPr="00E8358C">
        <w:rPr>
          <w:i/>
        </w:rPr>
        <w:t>Dictionnaire de la révolution haïtienne (1789-1804)</w:t>
      </w:r>
      <w:r w:rsidRPr="00E8358C">
        <w:t xml:space="preserve">, Montréal, Guildives, </w:t>
      </w:r>
      <w:r w:rsidRPr="00E8358C">
        <w:rPr>
          <w:bCs/>
        </w:rPr>
        <w:t>2006.</w:t>
      </w:r>
    </w:p>
    <w:p w:rsidR="004C50DC" w:rsidRPr="00E8358C" w:rsidRDefault="004C50DC" w:rsidP="004C50DC">
      <w:pPr>
        <w:spacing w:before="120" w:after="120"/>
        <w:jc w:val="both"/>
      </w:pPr>
      <w:r w:rsidRPr="00E8358C">
        <w:t>Rogers, Dominique, « De l'origine du préjugé de couleur en Ha</w:t>
      </w:r>
      <w:r w:rsidRPr="00E8358C">
        <w:t>ï</w:t>
      </w:r>
      <w:r w:rsidRPr="00E8358C">
        <w:t xml:space="preserve">ti », </w:t>
      </w:r>
      <w:r w:rsidRPr="00E8358C">
        <w:rPr>
          <w:i/>
        </w:rPr>
        <w:t>Outre-Mers</w:t>
      </w:r>
      <w:r w:rsidRPr="00E8358C">
        <w:t xml:space="preserve">, </w:t>
      </w:r>
      <w:r w:rsidRPr="00E8358C">
        <w:rPr>
          <w:rStyle w:val="collection"/>
        </w:rPr>
        <w:t>nos. </w:t>
      </w:r>
      <w:r w:rsidRPr="00E8358C">
        <w:rPr>
          <w:rStyle w:val="documentyear"/>
        </w:rPr>
        <w:t xml:space="preserve"> 340-34, 2003, </w:t>
      </w:r>
      <w:r w:rsidRPr="00E8358C">
        <w:rPr>
          <w:rStyle w:val="documentpagerange"/>
        </w:rPr>
        <w:t>p</w:t>
      </w:r>
      <w:r>
        <w:rPr>
          <w:rStyle w:val="documentpagerange"/>
        </w:rPr>
        <w:t>p</w:t>
      </w:r>
      <w:r w:rsidRPr="00E8358C">
        <w:rPr>
          <w:rStyle w:val="documentpagerange"/>
        </w:rPr>
        <w:t>. 83-101.</w:t>
      </w:r>
    </w:p>
    <w:p w:rsidR="004C50DC" w:rsidRPr="00E8358C" w:rsidRDefault="004C50DC" w:rsidP="004C50DC">
      <w:pPr>
        <w:spacing w:before="120" w:after="120"/>
        <w:jc w:val="both"/>
      </w:pPr>
      <w:r w:rsidRPr="00E8358C">
        <w:t xml:space="preserve">Rotman, Youval, </w:t>
      </w:r>
      <w:r w:rsidRPr="00E8358C">
        <w:rPr>
          <w:i/>
        </w:rPr>
        <w:t>Les esclaves et l’esclavage, de la Méditerranée antique à la Méditerranée médiévale, VI</w:t>
      </w:r>
      <w:r w:rsidRPr="00E8358C">
        <w:rPr>
          <w:i/>
          <w:vertAlign w:val="superscript"/>
        </w:rPr>
        <w:t>e</w:t>
      </w:r>
      <w:r w:rsidRPr="00E8358C">
        <w:rPr>
          <w:i/>
        </w:rPr>
        <w:t>-XI</w:t>
      </w:r>
      <w:r w:rsidRPr="00E8358C">
        <w:rPr>
          <w:i/>
          <w:vertAlign w:val="superscript"/>
        </w:rPr>
        <w:t>e</w:t>
      </w:r>
      <w:r w:rsidRPr="00E8358C">
        <w:rPr>
          <w:i/>
        </w:rPr>
        <w:t> siècles</w:t>
      </w:r>
      <w:r w:rsidRPr="00E8358C">
        <w:t>, Paris, Les Belles Lettres, 2004.</w:t>
      </w:r>
    </w:p>
    <w:p w:rsidR="004C50DC" w:rsidRPr="00E8358C" w:rsidRDefault="004C50DC" w:rsidP="004C50DC">
      <w:pPr>
        <w:spacing w:before="120" w:after="120"/>
        <w:jc w:val="both"/>
        <w:rPr>
          <w:shd w:val="clear" w:color="auto" w:fill="FFFFFF"/>
        </w:rPr>
      </w:pPr>
      <w:r w:rsidRPr="00E8358C">
        <w:t xml:space="preserve">Roumain, Jacques, </w:t>
      </w:r>
      <w:r w:rsidRPr="00E8358C">
        <w:rPr>
          <w:i/>
        </w:rPr>
        <w:t>Œuvres complètes</w:t>
      </w:r>
      <w:r w:rsidRPr="00E8358C">
        <w:t>, Madrid, Critique, 2003</w:t>
      </w:r>
      <w:r w:rsidRPr="00E8358C">
        <w:rPr>
          <w:shd w:val="clear" w:color="auto" w:fill="FFFFFF"/>
        </w:rPr>
        <w:t>.</w:t>
      </w:r>
    </w:p>
    <w:p w:rsidR="004C50DC" w:rsidRPr="00E8358C" w:rsidRDefault="004C50DC" w:rsidP="004C50DC">
      <w:pPr>
        <w:spacing w:before="120" w:after="120"/>
        <w:jc w:val="both"/>
      </w:pPr>
      <w:r w:rsidRPr="00E8358C">
        <w:t xml:space="preserve">-------, « Éditions Prolétariennes », </w:t>
      </w:r>
      <w:r w:rsidRPr="00E8358C">
        <w:rPr>
          <w:i/>
        </w:rPr>
        <w:t>Analyse schématique</w:t>
      </w:r>
      <w:r w:rsidRPr="00E8358C">
        <w:t xml:space="preserve"> 32-34, 15 juin 1984.</w:t>
      </w:r>
    </w:p>
    <w:p w:rsidR="004C50DC" w:rsidRPr="00E8358C" w:rsidRDefault="004C50DC" w:rsidP="004C50DC">
      <w:pPr>
        <w:spacing w:before="120" w:after="120"/>
        <w:jc w:val="both"/>
      </w:pPr>
      <w:r w:rsidRPr="00E8358C">
        <w:t xml:space="preserve">-------, </w:t>
      </w:r>
      <w:r w:rsidRPr="00E8358C">
        <w:rPr>
          <w:i/>
        </w:rPr>
        <w:t>Bois d’ébène</w:t>
      </w:r>
      <w:r w:rsidRPr="00E8358C">
        <w:t>, Port-au-Prince, Henri Deschamps, 1945.</w:t>
      </w:r>
    </w:p>
    <w:p w:rsidR="004C50DC" w:rsidRPr="00E8358C" w:rsidRDefault="004C50DC" w:rsidP="004C50DC">
      <w:pPr>
        <w:spacing w:before="120" w:after="120"/>
        <w:jc w:val="both"/>
      </w:pPr>
      <w:r w:rsidRPr="00E8358C">
        <w:t xml:space="preserve">-------, </w:t>
      </w:r>
      <w:hyperlink r:id="rId187" w:history="1">
        <w:r w:rsidRPr="002948A9">
          <w:rPr>
            <w:rStyle w:val="Lienhypertexte"/>
            <w:i/>
          </w:rPr>
          <w:t>Gouverneurs de la rosée</w:t>
        </w:r>
      </w:hyperlink>
      <w:r w:rsidRPr="00E8358C">
        <w:t>, Port-au-Prince, Imprimerie de l’État, 1944.</w:t>
      </w:r>
    </w:p>
    <w:p w:rsidR="004C50DC" w:rsidRPr="00E8358C" w:rsidRDefault="004C50DC" w:rsidP="004C50DC">
      <w:pPr>
        <w:spacing w:before="120" w:after="120"/>
        <w:jc w:val="both"/>
      </w:pPr>
      <w:r w:rsidRPr="00E8358C">
        <w:t xml:space="preserve">-------, </w:t>
      </w:r>
      <w:r w:rsidRPr="00E8358C">
        <w:rPr>
          <w:i/>
        </w:rPr>
        <w:t>Le sacrifice du tambour assoto(r)</w:t>
      </w:r>
      <w:r w:rsidRPr="00E8358C">
        <w:t>, Port-au-Prince, Imprim</w:t>
      </w:r>
      <w:r w:rsidRPr="00E8358C">
        <w:t>e</w:t>
      </w:r>
      <w:r w:rsidRPr="00E8358C">
        <w:t>rie de l’État, 1943.</w:t>
      </w:r>
    </w:p>
    <w:p w:rsidR="004C50DC" w:rsidRPr="00E8358C" w:rsidRDefault="004C50DC" w:rsidP="004C50DC">
      <w:pPr>
        <w:spacing w:before="120" w:after="120"/>
        <w:jc w:val="both"/>
      </w:pPr>
      <w:r w:rsidRPr="00E8358C">
        <w:t xml:space="preserve">Rousso, Henri, « Patrimoine et histoire du temps présent », dans Vincent Auzas et Bogumil Jewsiewicki (dir.), </w:t>
      </w:r>
      <w:r w:rsidRPr="00E8358C">
        <w:rPr>
          <w:i/>
        </w:rPr>
        <w:t>Traumatisme collectif pour patrimoine. Regard sur un mouvement transnational</w:t>
      </w:r>
      <w:r w:rsidRPr="00E8358C">
        <w:t xml:space="preserve">, Québec, Presses de l’Université Laval, 2008, </w:t>
      </w:r>
      <w:r>
        <w:t>p</w:t>
      </w:r>
      <w:r w:rsidRPr="00E8358C">
        <w:t>p. 13-21.</w:t>
      </w:r>
    </w:p>
    <w:p w:rsidR="004C50DC" w:rsidRPr="00E8358C" w:rsidRDefault="004C50DC" w:rsidP="004C50DC">
      <w:pPr>
        <w:spacing w:before="120" w:after="120"/>
        <w:jc w:val="both"/>
        <w:rPr>
          <w:lang w:eastAsia="en-CA"/>
        </w:rPr>
      </w:pPr>
      <w:r w:rsidRPr="00E8358C">
        <w:rPr>
          <w:lang w:eastAsia="en-CA"/>
        </w:rPr>
        <w:t xml:space="preserve">Rousso, Henri, </w:t>
      </w:r>
      <w:r w:rsidRPr="00E8358C">
        <w:rPr>
          <w:i/>
          <w:iCs/>
          <w:lang w:eastAsia="en-CA"/>
        </w:rPr>
        <w:t>Actes des entretiens du patrimoine. L’émergence et l’évolution de la notion de patrimoine au cours du XX</w:t>
      </w:r>
      <w:r w:rsidRPr="00E8358C">
        <w:rPr>
          <w:i/>
          <w:iCs/>
          <w:vertAlign w:val="superscript"/>
          <w:lang w:eastAsia="en-CA"/>
        </w:rPr>
        <w:t>e</w:t>
      </w:r>
      <w:r w:rsidRPr="00E8358C">
        <w:rPr>
          <w:i/>
          <w:iCs/>
          <w:lang w:eastAsia="en-CA"/>
        </w:rPr>
        <w:t xml:space="preserve"> siècle en France, </w:t>
      </w:r>
      <w:r w:rsidRPr="00E8358C">
        <w:rPr>
          <w:lang w:eastAsia="en-CA"/>
        </w:rPr>
        <w:t>Paris, Fayard, 2004.</w:t>
      </w:r>
    </w:p>
    <w:p w:rsidR="004C50DC" w:rsidRPr="00E8358C" w:rsidRDefault="004C50DC" w:rsidP="004C50DC">
      <w:pPr>
        <w:spacing w:before="120" w:after="120"/>
        <w:jc w:val="both"/>
      </w:pPr>
      <w:r w:rsidRPr="00E8358C">
        <w:t xml:space="preserve">Rouzier, Sémexant, </w:t>
      </w:r>
      <w:r w:rsidRPr="00E8358C">
        <w:rPr>
          <w:i/>
        </w:rPr>
        <w:t>Dictionnaire géographique et administratif universel d’Haïti,</w:t>
      </w:r>
      <w:r w:rsidRPr="00E8358C">
        <w:t xml:space="preserve"> volume I, Paris, Imprimerie brevetée Charles Blot, 1890.</w:t>
      </w:r>
    </w:p>
    <w:p w:rsidR="004C50DC" w:rsidRPr="00E8358C" w:rsidRDefault="004C50DC" w:rsidP="004C50DC">
      <w:pPr>
        <w:spacing w:before="120" w:after="120"/>
        <w:jc w:val="both"/>
        <w:rPr>
          <w:lang w:eastAsia="en-CA"/>
        </w:rPr>
      </w:pPr>
      <w:r w:rsidRPr="00E8358C">
        <w:t xml:space="preserve">Roy, Guy-André, « L’Église et l’État, des partenaires », </w:t>
      </w:r>
      <w:r w:rsidRPr="00E8358C">
        <w:rPr>
          <w:i/>
        </w:rPr>
        <w:t>Continu</w:t>
      </w:r>
      <w:r w:rsidRPr="00E8358C">
        <w:rPr>
          <w:i/>
        </w:rPr>
        <w:t>i</w:t>
      </w:r>
      <w:r w:rsidRPr="00E8358C">
        <w:rPr>
          <w:i/>
        </w:rPr>
        <w:t>té</w:t>
      </w:r>
      <w:r w:rsidRPr="00E8358C">
        <w:t>, n</w:t>
      </w:r>
      <w:r w:rsidRPr="00E8358C">
        <w:rPr>
          <w:vertAlign w:val="superscript"/>
        </w:rPr>
        <w:t>o</w:t>
      </w:r>
      <w:r w:rsidRPr="00E8358C">
        <w:t> 25, 1984, p. 7.</w:t>
      </w:r>
    </w:p>
    <w:p w:rsidR="004C50DC" w:rsidRPr="00E8358C" w:rsidRDefault="004C50DC" w:rsidP="004C50DC">
      <w:pPr>
        <w:spacing w:before="120" w:after="120"/>
        <w:jc w:val="both"/>
        <w:rPr>
          <w:lang w:eastAsia="en-CA"/>
        </w:rPr>
      </w:pPr>
      <w:r w:rsidRPr="00E8358C">
        <w:t xml:space="preserve">Roy-Fombrun, Odette, </w:t>
      </w:r>
      <w:r w:rsidRPr="00E8358C">
        <w:rPr>
          <w:i/>
        </w:rPr>
        <w:t>Histoire d’Haïti, de l’indépendance à nos jours. Cours moyens et supérieurs</w:t>
      </w:r>
      <w:r w:rsidRPr="00E8358C">
        <w:t>, Port-au-Prince, Action Sociale et Odette Roy Fombrun, 1981.</w:t>
      </w:r>
    </w:p>
    <w:p w:rsidR="004C50DC" w:rsidRPr="00E8358C" w:rsidRDefault="004C50DC" w:rsidP="004C50DC">
      <w:pPr>
        <w:spacing w:before="120" w:after="120"/>
        <w:jc w:val="both"/>
      </w:pPr>
      <w:r w:rsidRPr="00E8358C">
        <w:t xml:space="preserve">Saïd, Edward, </w:t>
      </w:r>
      <w:r w:rsidRPr="00E8358C">
        <w:rPr>
          <w:i/>
        </w:rPr>
        <w:t>L’Orientalisme. L’Orient créé par l’Occident,</w:t>
      </w:r>
      <w:r w:rsidRPr="00E8358C">
        <w:t xml:space="preserve"> Paris, Le Seuil, 1980.</w:t>
      </w:r>
    </w:p>
    <w:p w:rsidR="004C50DC" w:rsidRPr="00E8358C" w:rsidRDefault="004C50DC" w:rsidP="004C50DC">
      <w:pPr>
        <w:spacing w:before="120" w:after="120"/>
        <w:jc w:val="both"/>
      </w:pPr>
      <w:r w:rsidRPr="00E8358C">
        <w:t xml:space="preserve">Saillant, Francine et Alexandrine Boudreault-Fournier (dir.), </w:t>
      </w:r>
      <w:r w:rsidRPr="00E8358C">
        <w:rPr>
          <w:i/>
        </w:rPr>
        <w:t>Afr</w:t>
      </w:r>
      <w:r w:rsidRPr="00E8358C">
        <w:rPr>
          <w:i/>
        </w:rPr>
        <w:t>o</w:t>
      </w:r>
      <w:r w:rsidRPr="00E8358C">
        <w:rPr>
          <w:i/>
        </w:rPr>
        <w:t>descendances, cultures et citoyenneté</w:t>
      </w:r>
      <w:r w:rsidRPr="00E8358C">
        <w:t xml:space="preserve">, Québec, Presses de l’Université Laval, 2012. </w:t>
      </w:r>
    </w:p>
    <w:p w:rsidR="004C50DC" w:rsidRPr="00E8358C" w:rsidRDefault="004C50DC" w:rsidP="004C50DC">
      <w:pPr>
        <w:spacing w:before="120" w:after="120"/>
        <w:jc w:val="both"/>
      </w:pPr>
      <w:r w:rsidRPr="00E8358C">
        <w:t xml:space="preserve">Saillant, Francine, « Art, citoyenneté et réparations de l’esclavage. Pratiques et perspectives de deux artistes engagés à Rio de Janeiro », dans Francine Saillant et Alexandrine Boudreault-Fournier (dir.), </w:t>
      </w:r>
      <w:r w:rsidRPr="00E8358C">
        <w:rPr>
          <w:i/>
        </w:rPr>
        <w:t>Afrodescendances, cultures et citoyenneté</w:t>
      </w:r>
      <w:r w:rsidRPr="00E8358C">
        <w:t>, Québec, Presses de l’Université Laval, 2012, p</w:t>
      </w:r>
      <w:r>
        <w:t>p</w:t>
      </w:r>
      <w:r w:rsidRPr="00E8358C">
        <w:t>. 89-110.</w:t>
      </w:r>
    </w:p>
    <w:p w:rsidR="004C50DC" w:rsidRPr="00E8358C" w:rsidRDefault="004C50DC" w:rsidP="004C50DC">
      <w:pPr>
        <w:spacing w:before="120" w:after="120"/>
        <w:jc w:val="both"/>
      </w:pPr>
      <w:r w:rsidRPr="00E8358C">
        <w:rPr>
          <w:rFonts w:eastAsia="Calibri"/>
          <w:lang w:eastAsia="en-CA"/>
        </w:rPr>
        <w:t>-------</w:t>
      </w:r>
      <w:r w:rsidRPr="00E8358C">
        <w:t xml:space="preserve">, « Le navire négrier. Refiguration identitaire et esclavage au Brésil », </w:t>
      </w:r>
      <w:r w:rsidRPr="00E8358C">
        <w:rPr>
          <w:i/>
        </w:rPr>
        <w:t>Ethnologies</w:t>
      </w:r>
      <w:r w:rsidRPr="00E8358C">
        <w:t xml:space="preserve">, numéro thématique </w:t>
      </w:r>
      <w:r w:rsidRPr="00E8358C">
        <w:rPr>
          <w:i/>
        </w:rPr>
        <w:t>Figures noires / Black Im</w:t>
      </w:r>
      <w:r w:rsidRPr="00E8358C">
        <w:rPr>
          <w:i/>
        </w:rPr>
        <w:t>a</w:t>
      </w:r>
      <w:r w:rsidRPr="00E8358C">
        <w:rPr>
          <w:i/>
        </w:rPr>
        <w:t>ges</w:t>
      </w:r>
      <w:r w:rsidRPr="00E8358C">
        <w:t>, vol. 31, n</w:t>
      </w:r>
      <w:r w:rsidRPr="00E8358C">
        <w:rPr>
          <w:vertAlign w:val="superscript"/>
        </w:rPr>
        <w:t>o</w:t>
      </w:r>
      <w:r w:rsidRPr="00E8358C">
        <w:t> 2, 2010, p</w:t>
      </w:r>
      <w:r>
        <w:t>p</w:t>
      </w:r>
      <w:r w:rsidRPr="00E8358C">
        <w:t>. 69-97.</w:t>
      </w:r>
    </w:p>
    <w:p w:rsidR="004C50DC" w:rsidRPr="00E8358C" w:rsidRDefault="004C50DC" w:rsidP="004C50DC">
      <w:pPr>
        <w:spacing w:before="120" w:after="120"/>
        <w:jc w:val="both"/>
      </w:pPr>
      <w:r w:rsidRPr="00E8358C">
        <w:t xml:space="preserve">Saint Augustin, </w:t>
      </w:r>
      <w:r w:rsidRPr="00E8358C">
        <w:rPr>
          <w:i/>
        </w:rPr>
        <w:t>La cité de Dieu</w:t>
      </w:r>
      <w:r w:rsidRPr="00E8358C">
        <w:t>, Livre 19</w:t>
      </w:r>
      <w:r w:rsidRPr="00E8358C">
        <w:rPr>
          <w:vertAlign w:val="superscript"/>
        </w:rPr>
        <w:t>e</w:t>
      </w:r>
      <w:r w:rsidRPr="00E8358C">
        <w:t xml:space="preserve">, « Le souverain bien », chapitre XIV, en ligne, </w:t>
      </w:r>
      <w:hyperlink r:id="rId188" w:history="1">
        <w:r w:rsidRPr="00E8358C">
          <w:rPr>
            <w:rStyle w:val="Lienhypertexte"/>
          </w:rPr>
          <w:t>http://www.abbaye-saint-benoit.ch/saints/augustin/citededieu/livre19.htm#</w:t>
        </w:r>
      </w:hyperlink>
    </w:p>
    <w:p w:rsidR="004C50DC" w:rsidRPr="00E8358C" w:rsidRDefault="004C50DC" w:rsidP="004C50DC">
      <w:pPr>
        <w:spacing w:before="120" w:after="120"/>
        <w:jc w:val="both"/>
      </w:pPr>
      <w:r w:rsidRPr="00E8358C">
        <w:t>Saintène, James, « Le patrimoine gastronomique haïtien : un ma</w:t>
      </w:r>
      <w:r w:rsidRPr="00E8358C">
        <w:t>r</w:t>
      </w:r>
      <w:r w:rsidRPr="00E8358C">
        <w:t>queur identitaire et un atout pour le développement touristique dur</w:t>
      </w:r>
      <w:r w:rsidRPr="00E8358C">
        <w:t>a</w:t>
      </w:r>
      <w:r w:rsidRPr="00E8358C">
        <w:t>ble », en ligne,</w:t>
      </w:r>
      <w:r>
        <w:t xml:space="preserve"> [490]</w:t>
      </w:r>
      <w:r w:rsidRPr="00E8358C">
        <w:t xml:space="preserve"> </w:t>
      </w:r>
      <w:hyperlink r:id="rId189" w:history="1">
        <w:r w:rsidRPr="00E8358C">
          <w:rPr>
            <w:rStyle w:val="Lienhypertexte"/>
          </w:rPr>
          <w:t>http://lenouvelliste.com/lenouvelliste /article/127340/Le-patrimoine-gastronomique-haitien-un-marqueur-identitaire-et-un-atout-pour-le-developpement-touristique-durable.html</w:t>
        </w:r>
      </w:hyperlink>
    </w:p>
    <w:p w:rsidR="004C50DC" w:rsidRPr="00E8358C" w:rsidRDefault="004C50DC" w:rsidP="004C50DC">
      <w:pPr>
        <w:spacing w:before="120" w:after="120"/>
        <w:jc w:val="both"/>
      </w:pPr>
      <w:r w:rsidRPr="00E8358C">
        <w:t>Saint-Fleur, Jean-Max, « </w:t>
      </w:r>
      <w:r w:rsidRPr="002948A9">
        <w:t>Jean F. Brierre, poète humaniste »</w:t>
      </w:r>
      <w:r w:rsidRPr="00E8358C">
        <w:t>, en l</w:t>
      </w:r>
      <w:r w:rsidRPr="00E8358C">
        <w:t>i</w:t>
      </w:r>
      <w:r w:rsidRPr="00E8358C">
        <w:t xml:space="preserve">gne, </w:t>
      </w:r>
      <w:hyperlink r:id="rId190" w:history="1">
        <w:r w:rsidRPr="00E8358C">
          <w:rPr>
            <w:rStyle w:val="Lienhypertexte"/>
          </w:rPr>
          <w:t>http://www.pyepimanla.com/octobre-novembre/articles/art-culture/poete-humaniste</w:t>
        </w:r>
      </w:hyperlink>
    </w:p>
    <w:p w:rsidR="004C50DC" w:rsidRPr="00E8358C" w:rsidRDefault="004C50DC" w:rsidP="004C50DC">
      <w:pPr>
        <w:spacing w:before="120" w:after="120"/>
        <w:jc w:val="both"/>
      </w:pPr>
      <w:r w:rsidRPr="00E8358C">
        <w:t xml:space="preserve">Saint-Louis, René A., </w:t>
      </w:r>
      <w:r w:rsidRPr="00E8358C">
        <w:rPr>
          <w:i/>
        </w:rPr>
        <w:t>La présociologie haïtienne ou Haïti et sa v</w:t>
      </w:r>
      <w:r w:rsidRPr="00E8358C">
        <w:rPr>
          <w:i/>
        </w:rPr>
        <w:t>o</w:t>
      </w:r>
      <w:r w:rsidRPr="00E8358C">
        <w:rPr>
          <w:i/>
        </w:rPr>
        <w:t>cation nationale. Éléments d’ethno-histoire haïtienne,</w:t>
      </w:r>
      <w:r w:rsidRPr="00E8358C">
        <w:t xml:space="preserve"> Ottawa, L</w:t>
      </w:r>
      <w:r w:rsidRPr="00E8358C">
        <w:t>e</w:t>
      </w:r>
      <w:r w:rsidRPr="00E8358C">
        <w:t>méac, 1970.</w:t>
      </w:r>
    </w:p>
    <w:p w:rsidR="004C50DC" w:rsidRPr="00E8358C" w:rsidRDefault="004C50DC" w:rsidP="004C50DC">
      <w:pPr>
        <w:spacing w:before="120" w:after="120"/>
        <w:jc w:val="both"/>
      </w:pPr>
      <w:r w:rsidRPr="00E8358C">
        <w:t xml:space="preserve">Saint-Louis, Vertus, « Les termes de citoyen et Africain pendant la révolution de Saint-Domingue », dans Laënnec Hurbon (dir.), </w:t>
      </w:r>
      <w:r w:rsidRPr="00E8358C">
        <w:rPr>
          <w:i/>
        </w:rPr>
        <w:t>L’insurrection des esclaves de Saint-Domingue, 22-23 août 1791</w:t>
      </w:r>
      <w:r w:rsidRPr="00E8358C">
        <w:t>, P</w:t>
      </w:r>
      <w:r w:rsidRPr="00E8358C">
        <w:t>a</w:t>
      </w:r>
      <w:r w:rsidRPr="00E8358C">
        <w:t>ris, Karthala, 2000, p</w:t>
      </w:r>
      <w:r>
        <w:t>p</w:t>
      </w:r>
      <w:r w:rsidRPr="00E8358C">
        <w:t>.75-96.</w:t>
      </w:r>
    </w:p>
    <w:p w:rsidR="004C50DC" w:rsidRPr="00E8358C" w:rsidRDefault="004C50DC" w:rsidP="004C50DC">
      <w:pPr>
        <w:spacing w:before="120" w:after="120"/>
        <w:jc w:val="both"/>
      </w:pPr>
      <w:r w:rsidRPr="00E8358C">
        <w:t xml:space="preserve">-------, </w:t>
      </w:r>
      <w:r w:rsidRPr="00E8358C">
        <w:rPr>
          <w:i/>
        </w:rPr>
        <w:t>Système colonial et problèmes d’alimentation. Saint-Domingue au XVIII</w:t>
      </w:r>
      <w:r w:rsidRPr="00E8358C">
        <w:rPr>
          <w:i/>
          <w:vertAlign w:val="superscript"/>
        </w:rPr>
        <w:t>e</w:t>
      </w:r>
      <w:r w:rsidRPr="00E8358C">
        <w:rPr>
          <w:i/>
        </w:rPr>
        <w:t xml:space="preserve"> siècle</w:t>
      </w:r>
      <w:r w:rsidRPr="00E8358C">
        <w:t>, Port-au-Prince, Bibliothèque universitaire haïtienne, Montréal, CIDIHCA, 1999.</w:t>
      </w:r>
    </w:p>
    <w:p w:rsidR="004C50DC" w:rsidRPr="00E8358C" w:rsidRDefault="004C50DC" w:rsidP="004C50DC">
      <w:pPr>
        <w:spacing w:before="120" w:after="120"/>
        <w:jc w:val="both"/>
      </w:pPr>
      <w:r w:rsidRPr="00E8358C">
        <w:t xml:space="preserve">-------, « Régime militaire et règlements de culture en 1801 », </w:t>
      </w:r>
      <w:r w:rsidRPr="00E8358C">
        <w:rPr>
          <w:i/>
        </w:rPr>
        <w:t>Chemins critiques</w:t>
      </w:r>
      <w:r w:rsidRPr="00E8358C">
        <w:t xml:space="preserve"> (revue haïtaino-caribéenne), Montréal, CIDIHCA, vol. 3, n</w:t>
      </w:r>
      <w:r w:rsidRPr="00E8358C">
        <w:rPr>
          <w:vertAlign w:val="superscript"/>
        </w:rPr>
        <w:t>os</w:t>
      </w:r>
      <w:r w:rsidRPr="00E8358C">
        <w:t> 1-2, 1993, p</w:t>
      </w:r>
      <w:r>
        <w:t>p</w:t>
      </w:r>
      <w:r w:rsidRPr="00E8358C">
        <w:t>. 183-227.</w:t>
      </w:r>
    </w:p>
    <w:p w:rsidR="004C50DC" w:rsidRPr="00E8358C" w:rsidRDefault="004C50DC" w:rsidP="004C50DC">
      <w:pPr>
        <w:spacing w:before="120" w:after="120"/>
        <w:jc w:val="both"/>
      </w:pPr>
      <w:r w:rsidRPr="00E8358C">
        <w:t xml:space="preserve">Saint-Rémy, Joseph, </w:t>
      </w:r>
      <w:r w:rsidRPr="00E8358C">
        <w:rPr>
          <w:i/>
        </w:rPr>
        <w:t>Mémoires du Général Toussaint Louverture</w:t>
      </w:r>
      <w:r w:rsidRPr="00E8358C">
        <w:t>, Paris, Pagnerre, 1853.</w:t>
      </w:r>
    </w:p>
    <w:p w:rsidR="004C50DC" w:rsidRPr="00E8358C" w:rsidRDefault="004C50DC" w:rsidP="004C50DC">
      <w:pPr>
        <w:spacing w:before="120" w:after="120"/>
        <w:jc w:val="both"/>
      </w:pPr>
      <w:r w:rsidRPr="00E8358C">
        <w:t xml:space="preserve">Sakho, Sarah, « Le Cameroun, nouveau berceau des Afro-américains. De plus en plus d’Afro-américains en quête d’identité se rendent au Cameroun, pays de leurs ancêtres », </w:t>
      </w:r>
      <w:r w:rsidRPr="00E8358C">
        <w:rPr>
          <w:i/>
        </w:rPr>
        <w:t>SlateAfrique</w:t>
      </w:r>
      <w:r w:rsidRPr="00E8358C">
        <w:t xml:space="preserve">, en ligne, </w:t>
      </w:r>
      <w:hyperlink r:id="rId191" w:history="1">
        <w:r w:rsidRPr="00E8358C">
          <w:rPr>
            <w:rStyle w:val="Lienhypertexte"/>
          </w:rPr>
          <w:t>http://www.slateafrique.com/80803/cameroun-afro-americain-spike-lee-racines</w:t>
        </w:r>
      </w:hyperlink>
    </w:p>
    <w:p w:rsidR="004C50DC" w:rsidRPr="00E8358C" w:rsidRDefault="004C50DC" w:rsidP="004C50DC">
      <w:pPr>
        <w:spacing w:before="120" w:after="120"/>
        <w:jc w:val="both"/>
      </w:pPr>
      <w:r w:rsidRPr="00E8358C">
        <w:t xml:space="preserve">Satineau, Maurice, </w:t>
      </w:r>
      <w:r w:rsidRPr="00E8358C">
        <w:rPr>
          <w:i/>
        </w:rPr>
        <w:t>Histoire de la Guadeloupe sous l’ancien rég</w:t>
      </w:r>
      <w:r w:rsidRPr="00E8358C">
        <w:rPr>
          <w:i/>
        </w:rPr>
        <w:t>i</w:t>
      </w:r>
      <w:r w:rsidRPr="00E8358C">
        <w:rPr>
          <w:i/>
        </w:rPr>
        <w:t>me</w:t>
      </w:r>
      <w:r w:rsidRPr="00E8358C">
        <w:t>, 1635-1789, Paris, Payot, 1928.</w:t>
      </w:r>
    </w:p>
    <w:p w:rsidR="004C50DC" w:rsidRPr="00E8358C" w:rsidRDefault="004C50DC" w:rsidP="004C50DC">
      <w:pPr>
        <w:spacing w:before="120" w:after="120"/>
        <w:jc w:val="both"/>
      </w:pPr>
      <w:r w:rsidRPr="00E8358C">
        <w:rPr>
          <w:rFonts w:eastAsia="Calibri"/>
          <w:lang w:eastAsia="en-CA"/>
        </w:rPr>
        <w:t xml:space="preserve">Saugera, Éric, </w:t>
      </w:r>
      <w:r w:rsidRPr="00E8358C">
        <w:rPr>
          <w:rFonts w:eastAsia="Calibri"/>
          <w:i/>
          <w:lang w:eastAsia="en-CA"/>
        </w:rPr>
        <w:t>Bordeaux port négrier, XVII</w:t>
      </w:r>
      <w:r w:rsidRPr="00E8358C">
        <w:rPr>
          <w:rFonts w:eastAsia="Calibri"/>
          <w:i/>
          <w:vertAlign w:val="superscript"/>
          <w:lang w:eastAsia="en-CA"/>
        </w:rPr>
        <w:t>e</w:t>
      </w:r>
      <w:r w:rsidRPr="00E8358C">
        <w:rPr>
          <w:rFonts w:eastAsia="Calibri"/>
          <w:i/>
          <w:lang w:eastAsia="en-CA"/>
        </w:rPr>
        <w:t>-XIX</w:t>
      </w:r>
      <w:r w:rsidRPr="00E8358C">
        <w:rPr>
          <w:rFonts w:eastAsia="Calibri"/>
          <w:i/>
          <w:vertAlign w:val="superscript"/>
          <w:lang w:eastAsia="en-CA"/>
        </w:rPr>
        <w:t>e</w:t>
      </w:r>
      <w:r w:rsidRPr="00E8358C">
        <w:rPr>
          <w:rFonts w:eastAsia="Calibri"/>
          <w:i/>
          <w:lang w:eastAsia="en-CA"/>
        </w:rPr>
        <w:t xml:space="preserve"> siècles</w:t>
      </w:r>
      <w:r w:rsidRPr="00E8358C">
        <w:rPr>
          <w:rFonts w:eastAsia="Calibri"/>
          <w:lang w:eastAsia="en-CA"/>
        </w:rPr>
        <w:t>, Paris, Karthala, 1995.</w:t>
      </w:r>
    </w:p>
    <w:p w:rsidR="004C50DC" w:rsidRPr="00E8358C" w:rsidRDefault="004C50DC" w:rsidP="004C50DC">
      <w:pPr>
        <w:spacing w:before="120" w:after="120"/>
        <w:jc w:val="both"/>
      </w:pPr>
      <w:r w:rsidRPr="00E8358C">
        <w:t xml:space="preserve">Saupin, Guy, </w:t>
      </w:r>
      <w:r w:rsidRPr="00E8358C">
        <w:rPr>
          <w:i/>
        </w:rPr>
        <w:t>Les villes en France à l’époque moderne</w:t>
      </w:r>
      <w:r w:rsidRPr="00E8358C">
        <w:t>, Paris, B</w:t>
      </w:r>
      <w:r w:rsidRPr="00E8358C">
        <w:t>e</w:t>
      </w:r>
      <w:r w:rsidRPr="00E8358C">
        <w:t>lin, 2002.</w:t>
      </w:r>
    </w:p>
    <w:p w:rsidR="004C50DC" w:rsidRPr="00E8358C" w:rsidRDefault="004C50DC" w:rsidP="004C50DC">
      <w:pPr>
        <w:spacing w:before="120" w:after="120"/>
        <w:jc w:val="both"/>
      </w:pPr>
      <w:r w:rsidRPr="00E8358C">
        <w:t xml:space="preserve">Savès, Joseph, « Esclavage. La traite, un crime contre l’humanité ? », en ligne, </w:t>
      </w:r>
      <w:hyperlink r:id="rId192" w:history="1">
        <w:r w:rsidRPr="00E8358C">
          <w:rPr>
            <w:rStyle w:val="Lienhypertexte"/>
          </w:rPr>
          <w:t>http://www.herodote.net/La_traite_un_crime_contre_l_humanite_-article-17.php</w:t>
        </w:r>
      </w:hyperlink>
    </w:p>
    <w:p w:rsidR="004C50DC" w:rsidRPr="00E8358C" w:rsidRDefault="004C50DC" w:rsidP="004C50DC">
      <w:pPr>
        <w:spacing w:before="120" w:after="120"/>
        <w:jc w:val="both"/>
      </w:pPr>
      <w:r w:rsidRPr="00E8358C">
        <w:t xml:space="preserve">Scheil, Vincent, </w:t>
      </w:r>
      <w:r w:rsidRPr="00E8358C">
        <w:rPr>
          <w:i/>
        </w:rPr>
        <w:t>La Loi de Hammourabi (vers 2000 av. J.-C.),</w:t>
      </w:r>
      <w:r w:rsidRPr="00E8358C">
        <w:t xml:space="preserve"> deuxième édition, Paris, Ernest Leroux, 1904, en ligne, </w:t>
      </w:r>
      <w:hyperlink r:id="rId193" w:history="1">
        <w:r w:rsidRPr="00E8358C">
          <w:rPr>
            <w:rStyle w:val="Lienhypertexte"/>
          </w:rPr>
          <w:t>http://remacle.org/bloodwolf/erudits/amourabi/code.htm</w:t>
        </w:r>
      </w:hyperlink>
    </w:p>
    <w:p w:rsidR="004C50DC" w:rsidRPr="00E8358C" w:rsidRDefault="004C50DC" w:rsidP="004C50DC">
      <w:pPr>
        <w:spacing w:before="120" w:after="120"/>
        <w:jc w:val="both"/>
      </w:pPr>
      <w:r w:rsidRPr="00E8358C">
        <w:t>Schmidt, Nelly, « Commémoration, histoire et historiographie : à propos du 150</w:t>
      </w:r>
      <w:r w:rsidRPr="00E8358C">
        <w:rPr>
          <w:vertAlign w:val="superscript"/>
        </w:rPr>
        <w:t>e</w:t>
      </w:r>
      <w:r w:rsidRPr="00E8358C">
        <w:rPr>
          <w:rStyle w:val="apple-converted-space"/>
        </w:rPr>
        <w:t> </w:t>
      </w:r>
      <w:r w:rsidRPr="00E8358C">
        <w:t>anniversaire de l’abolition de l’esclavage dans les c</w:t>
      </w:r>
      <w:r w:rsidRPr="00E8358C">
        <w:t>o</w:t>
      </w:r>
      <w:r w:rsidRPr="00E8358C">
        <w:t xml:space="preserve">lonies françaises », </w:t>
      </w:r>
      <w:r w:rsidRPr="00E8358C">
        <w:rPr>
          <w:rStyle w:val="Accentuation"/>
        </w:rPr>
        <w:t>Ethnologie française</w:t>
      </w:r>
      <w:r w:rsidRPr="00E8358C">
        <w:rPr>
          <w:rStyle w:val="apple-converted-space"/>
        </w:rPr>
        <w:t xml:space="preserve"> vol. </w:t>
      </w:r>
      <w:r w:rsidRPr="00E8358C">
        <w:t>29, n</w:t>
      </w:r>
      <w:r w:rsidRPr="00E8358C">
        <w:rPr>
          <w:vertAlign w:val="superscript"/>
        </w:rPr>
        <w:t>o</w:t>
      </w:r>
      <w:r w:rsidRPr="00E8358C">
        <w:t> 3, 1999,</w:t>
      </w:r>
      <w:r>
        <w:t xml:space="preserve"> </w:t>
      </w:r>
      <w:r w:rsidRPr="00E8358C">
        <w:t>p</w:t>
      </w:r>
      <w:r>
        <w:t>p</w:t>
      </w:r>
      <w:r w:rsidRPr="00E8358C">
        <w:t>. 453-460.</w:t>
      </w:r>
    </w:p>
    <w:p w:rsidR="004C50DC" w:rsidRPr="00E8358C" w:rsidRDefault="004C50DC" w:rsidP="004C50DC">
      <w:pPr>
        <w:spacing w:before="120" w:after="120"/>
        <w:jc w:val="both"/>
      </w:pPr>
      <w:r w:rsidRPr="00E8358C">
        <w:t>Schwartz, Thimothy, « The War Between UNICEF and the Orph</w:t>
      </w:r>
      <w:r w:rsidRPr="00E8358C">
        <w:t>a</w:t>
      </w:r>
      <w:r w:rsidRPr="00E8358C">
        <w:t xml:space="preserve">nages : Battleground Haïti », en ligne, </w:t>
      </w:r>
      <w:hyperlink r:id="rId194" w:history="1">
        <w:r w:rsidRPr="00E8358C">
          <w:rPr>
            <w:rStyle w:val="Lienhypertexte"/>
          </w:rPr>
          <w:t>http://open.salon.com/blog/timotuck/2014/11/06/big_lies_about_little_people</w:t>
        </w:r>
      </w:hyperlink>
    </w:p>
    <w:p w:rsidR="004C50DC" w:rsidRPr="00E8358C" w:rsidRDefault="004C50DC" w:rsidP="004C50DC">
      <w:pPr>
        <w:spacing w:before="120" w:after="120"/>
        <w:jc w:val="both"/>
      </w:pPr>
      <w:r w:rsidRPr="00E8358C">
        <w:t xml:space="preserve">Sédar Senghor, Léopold, </w:t>
      </w:r>
      <w:r w:rsidRPr="00E8358C">
        <w:rPr>
          <w:i/>
        </w:rPr>
        <w:t>Chants d’ombre</w:t>
      </w:r>
      <w:r w:rsidRPr="00E8358C">
        <w:t xml:space="preserve">, Paris, Seuil, 1956. </w:t>
      </w:r>
    </w:p>
    <w:p w:rsidR="004C50DC" w:rsidRPr="007F5D4F" w:rsidRDefault="004C50DC" w:rsidP="004C50DC">
      <w:pPr>
        <w:spacing w:before="120" w:after="120"/>
        <w:jc w:val="both"/>
      </w:pPr>
      <w:r w:rsidRPr="00E8358C">
        <w:t xml:space="preserve">-------, </w:t>
      </w:r>
      <w:r w:rsidRPr="007F5D4F">
        <w:rPr>
          <w:i/>
        </w:rPr>
        <w:t>Liberté 1. Négritude et humanisme</w:t>
      </w:r>
      <w:r w:rsidRPr="007F5D4F">
        <w:t>, Paris, Seuil, 1964.</w:t>
      </w:r>
    </w:p>
    <w:p w:rsidR="004C50DC" w:rsidRPr="00E8358C" w:rsidRDefault="004C50DC" w:rsidP="004C50DC">
      <w:pPr>
        <w:spacing w:before="120" w:after="120"/>
        <w:jc w:val="both"/>
      </w:pPr>
      <w:r w:rsidRPr="007F5D4F">
        <w:t xml:space="preserve">-------, </w:t>
      </w:r>
      <w:r w:rsidRPr="007F5D4F">
        <w:rPr>
          <w:i/>
        </w:rPr>
        <w:t>Ce que je crois</w:t>
      </w:r>
      <w:r w:rsidRPr="007F5D4F">
        <w:t>, Paris, Grasset, 1988.</w:t>
      </w:r>
    </w:p>
    <w:p w:rsidR="004C50DC" w:rsidRPr="00E8358C" w:rsidRDefault="004C50DC" w:rsidP="004C50DC">
      <w:pPr>
        <w:spacing w:before="120" w:after="120"/>
        <w:jc w:val="both"/>
      </w:pPr>
      <w:r w:rsidRPr="00E8358C">
        <w:t>Seidener, Anna, « Le musée colonial à l’épreuve de la décolonis</w:t>
      </w:r>
      <w:r w:rsidRPr="00E8358C">
        <w:t>a</w:t>
      </w:r>
      <w:r w:rsidRPr="00E8358C">
        <w:t>tion. Étude des musées postcoloniaux au Bénin », Thèse de Doctorat de philosophie, Université de Paris X-Nanterre et d’Abomey-Calavi, 2009.</w:t>
      </w:r>
    </w:p>
    <w:p w:rsidR="004C50DC" w:rsidRPr="00E8358C" w:rsidRDefault="004C50DC" w:rsidP="004C50DC">
      <w:pPr>
        <w:spacing w:before="120" w:after="120"/>
        <w:jc w:val="both"/>
      </w:pPr>
      <w:r w:rsidRPr="00E8358C">
        <w:t xml:space="preserve">Shomba, Kiyamba, </w:t>
      </w:r>
      <w:r w:rsidRPr="00E8358C">
        <w:rPr>
          <w:i/>
        </w:rPr>
        <w:t>Méthodes de la recherche scientifique</w:t>
      </w:r>
      <w:r w:rsidRPr="00E8358C">
        <w:t>, Kinsh</w:t>
      </w:r>
      <w:r w:rsidRPr="00E8358C">
        <w:t>a</w:t>
      </w:r>
      <w:r w:rsidRPr="00E8358C">
        <w:t>sa, Presses universitaires de Kinshasa, 2002.</w:t>
      </w:r>
    </w:p>
    <w:p w:rsidR="004C50DC" w:rsidRPr="00E8358C" w:rsidRDefault="004C50DC" w:rsidP="004C50DC">
      <w:pPr>
        <w:spacing w:before="120" w:after="120"/>
        <w:jc w:val="both"/>
      </w:pPr>
      <w:r w:rsidRPr="00E8358C">
        <w:t xml:space="preserve">Simard, Myriam, « Les entreprises culturelles en milieu rural : poumons des communautés locales ? », </w:t>
      </w:r>
      <w:r w:rsidRPr="00E8358C">
        <w:rPr>
          <w:i/>
        </w:rPr>
        <w:t xml:space="preserve">Économie et Solidarités, </w:t>
      </w:r>
      <w:r w:rsidRPr="00E8358C">
        <w:t>Vol. 38, n</w:t>
      </w:r>
      <w:r w:rsidRPr="00E8358C">
        <w:rPr>
          <w:vertAlign w:val="superscript"/>
        </w:rPr>
        <w:t>o</w:t>
      </w:r>
      <w:r w:rsidRPr="00E8358C">
        <w:t> 2</w:t>
      </w:r>
      <w:r w:rsidRPr="00E8358C">
        <w:rPr>
          <w:i/>
        </w:rPr>
        <w:t xml:space="preserve">, </w:t>
      </w:r>
      <w:r w:rsidRPr="00E8358C">
        <w:t>2007, p</w:t>
      </w:r>
      <w:r>
        <w:t>p. 165-</w:t>
      </w:r>
      <w:r w:rsidRPr="00E8358C">
        <w:t>176.</w:t>
      </w:r>
    </w:p>
    <w:p w:rsidR="004C50DC" w:rsidRPr="00E8358C" w:rsidRDefault="004C50DC" w:rsidP="004C50DC">
      <w:pPr>
        <w:spacing w:before="120" w:after="120"/>
        <w:jc w:val="both"/>
      </w:pPr>
      <w:r w:rsidRPr="00E8358C">
        <w:t>Siméon, Nicole, « Que dire d’être Noir dans la “république” de P</w:t>
      </w:r>
      <w:r w:rsidRPr="00E8358C">
        <w:t>é</w:t>
      </w:r>
      <w:r w:rsidRPr="00E8358C">
        <w:t xml:space="preserve">tion-Ville ? », </w:t>
      </w:r>
      <w:r w:rsidRPr="00E8358C">
        <w:rPr>
          <w:i/>
        </w:rPr>
        <w:t>Le Nouvelliste</w:t>
      </w:r>
      <w:r w:rsidRPr="00E8358C">
        <w:t>, mercredi 11 juillet 2012, en ligne.</w:t>
      </w:r>
    </w:p>
    <w:p w:rsidR="004C50DC" w:rsidRDefault="004C50DC" w:rsidP="004C50DC">
      <w:pPr>
        <w:spacing w:before="120" w:after="120"/>
        <w:jc w:val="both"/>
      </w:pPr>
      <w:r>
        <w:t>[491]</w:t>
      </w:r>
    </w:p>
    <w:p w:rsidR="004C50DC" w:rsidRPr="00E8358C" w:rsidRDefault="004C50DC" w:rsidP="004C50DC">
      <w:pPr>
        <w:spacing w:before="120" w:after="120"/>
        <w:jc w:val="both"/>
      </w:pPr>
      <w:r w:rsidRPr="00E8358C">
        <w:t xml:space="preserve">Smarth, William, « Laënnec Hurbon,  Religions et lien social. L’Église et l’État moderne en Haïti », Notes de lecture, dans </w:t>
      </w:r>
      <w:r w:rsidRPr="00E8358C">
        <w:rPr>
          <w:i/>
        </w:rPr>
        <w:t>Haïti 1804-2004</w:t>
      </w:r>
      <w:r w:rsidRPr="00E8358C">
        <w:t xml:space="preserve">, </w:t>
      </w:r>
      <w:r w:rsidRPr="00E8358C">
        <w:rPr>
          <w:i/>
        </w:rPr>
        <w:t>Conjonction,</w:t>
      </w:r>
      <w:r w:rsidRPr="00E8358C">
        <w:t xml:space="preserve"> n</w:t>
      </w:r>
      <w:r w:rsidRPr="00E8358C">
        <w:rPr>
          <w:vertAlign w:val="superscript"/>
        </w:rPr>
        <w:t>o</w:t>
      </w:r>
      <w:r w:rsidRPr="00E8358C">
        <w:t> 211, 2005, p. 144.</w:t>
      </w:r>
    </w:p>
    <w:p w:rsidR="004C50DC" w:rsidRPr="00E8358C" w:rsidRDefault="004C50DC" w:rsidP="004C50DC">
      <w:pPr>
        <w:spacing w:before="120" w:after="120"/>
        <w:jc w:val="both"/>
      </w:pPr>
      <w:r w:rsidRPr="00E8358C">
        <w:t xml:space="preserve">Souffrant, Claude, « Jean Price-Mars et sa révolution culturelle », </w:t>
      </w:r>
      <w:r w:rsidRPr="00E8358C">
        <w:rPr>
          <w:i/>
        </w:rPr>
        <w:t>Haïti en marche</w:t>
      </w:r>
      <w:r w:rsidRPr="00E8358C">
        <w:t>, 15-21 juin 1988.</w:t>
      </w:r>
    </w:p>
    <w:p w:rsidR="004C50DC" w:rsidRPr="00E8358C" w:rsidRDefault="004C50DC" w:rsidP="004C50DC">
      <w:pPr>
        <w:spacing w:before="120" w:after="120"/>
        <w:jc w:val="both"/>
      </w:pPr>
      <w:r w:rsidRPr="00E8358C">
        <w:t xml:space="preserve">Spivak, Gayatri Chakravorty, </w:t>
      </w:r>
      <w:r w:rsidRPr="00E8358C">
        <w:rPr>
          <w:i/>
        </w:rPr>
        <w:t>Nationalisme et imagination</w:t>
      </w:r>
      <w:r w:rsidRPr="00E8358C">
        <w:t>, Paris, Payot, 2011.</w:t>
      </w:r>
    </w:p>
    <w:p w:rsidR="004C50DC" w:rsidRPr="00E8358C" w:rsidRDefault="004C50DC" w:rsidP="004C50DC">
      <w:pPr>
        <w:spacing w:before="120" w:after="120"/>
        <w:jc w:val="both"/>
      </w:pPr>
      <w:r w:rsidRPr="00E8358C">
        <w:rPr>
          <w:lang w:eastAsia="en-CA"/>
        </w:rPr>
        <w:t>Stanley, Avelino</w:t>
      </w:r>
      <w:r w:rsidRPr="00E8358C">
        <w:t>, « Yo tambien soy hijo de un extranjero en situ</w:t>
      </w:r>
      <w:r w:rsidRPr="00E8358C">
        <w:t>a</w:t>
      </w:r>
      <w:r w:rsidRPr="00E8358C">
        <w:t xml:space="preserve">cion irregular », </w:t>
      </w:r>
      <w:r w:rsidRPr="00E8358C">
        <w:rPr>
          <w:i/>
        </w:rPr>
        <w:t>Journal Hoy</w:t>
      </w:r>
      <w:r w:rsidRPr="00E8358C">
        <w:t>, samedi 5 octobre 2013.</w:t>
      </w:r>
    </w:p>
    <w:p w:rsidR="004C50DC" w:rsidRPr="00E8358C" w:rsidRDefault="004C50DC" w:rsidP="004C50DC">
      <w:pPr>
        <w:spacing w:before="120" w:after="120"/>
        <w:jc w:val="both"/>
        <w:rPr>
          <w:rStyle w:val="apple-converted-space"/>
          <w:bCs/>
        </w:rPr>
      </w:pPr>
      <w:r w:rsidRPr="00E8358C">
        <w:rPr>
          <w:lang w:eastAsia="en-CA"/>
        </w:rPr>
        <w:t xml:space="preserve">Stannard, </w:t>
      </w:r>
      <w:r w:rsidRPr="007F5D4F">
        <w:rPr>
          <w:lang w:eastAsia="en-CA"/>
        </w:rPr>
        <w:t xml:space="preserve">David E., </w:t>
      </w:r>
      <w:r w:rsidRPr="007F5D4F">
        <w:rPr>
          <w:i/>
          <w:lang w:eastAsia="en-CA"/>
        </w:rPr>
        <w:t>American Holocaust : Columbus and The</w:t>
      </w:r>
      <w:r w:rsidRPr="00E8358C">
        <w:rPr>
          <w:bCs/>
          <w:i/>
        </w:rPr>
        <w:t xml:space="preserve"> Conquest of the New World</w:t>
      </w:r>
      <w:r w:rsidRPr="00E8358C">
        <w:rPr>
          <w:rStyle w:val="apple-converted-space"/>
          <w:bCs/>
        </w:rPr>
        <w:t>, New York, Oxford University Press, 1992.</w:t>
      </w:r>
    </w:p>
    <w:p w:rsidR="004C50DC" w:rsidRPr="00E8358C" w:rsidRDefault="004C50DC" w:rsidP="004C50DC">
      <w:pPr>
        <w:spacing w:before="120" w:after="120"/>
        <w:jc w:val="both"/>
      </w:pPr>
      <w:r w:rsidRPr="00E8358C">
        <w:t xml:space="preserve">Sylvain, Franck, </w:t>
      </w:r>
      <w:r w:rsidRPr="00E8358C">
        <w:rPr>
          <w:i/>
        </w:rPr>
        <w:t>Le serment du Bois-Caïman et la première Pent</w:t>
      </w:r>
      <w:r w:rsidRPr="00E8358C">
        <w:rPr>
          <w:i/>
        </w:rPr>
        <w:t>e</w:t>
      </w:r>
      <w:r w:rsidRPr="00E8358C">
        <w:rPr>
          <w:i/>
        </w:rPr>
        <w:t>côte</w:t>
      </w:r>
      <w:r w:rsidRPr="00E8358C">
        <w:t>, Port-au-Prince, Henri Deschamps, 1979.</w:t>
      </w:r>
    </w:p>
    <w:p w:rsidR="004C50DC" w:rsidRPr="007F5D4F" w:rsidRDefault="004C50DC" w:rsidP="004C50DC">
      <w:pPr>
        <w:spacing w:before="120" w:after="120"/>
        <w:jc w:val="both"/>
      </w:pPr>
      <w:r w:rsidRPr="007F5D4F">
        <w:t xml:space="preserve">Taguieff, Pierre-André (dir.), </w:t>
      </w:r>
      <w:r w:rsidRPr="007F5D4F">
        <w:rPr>
          <w:i/>
        </w:rPr>
        <w:t>Dictionnaire historique et critique du racisme</w:t>
      </w:r>
      <w:r w:rsidRPr="007F5D4F">
        <w:t>, Paris, PUF, 2013.</w:t>
      </w:r>
    </w:p>
    <w:p w:rsidR="004C50DC" w:rsidRPr="00E8358C" w:rsidRDefault="004C50DC" w:rsidP="004C50DC">
      <w:pPr>
        <w:spacing w:before="120" w:after="120"/>
        <w:jc w:val="both"/>
      </w:pPr>
      <w:r w:rsidRPr="00E8358C">
        <w:t xml:space="preserve">Taillandier, Alphonse-Honoré, </w:t>
      </w:r>
      <w:r w:rsidRPr="00E8358C">
        <w:rPr>
          <w:i/>
        </w:rPr>
        <w:t xml:space="preserve">Recueil général des anciennes lois françaises, depuis l’an 420 jusqu’à la révolution de 1789, </w:t>
      </w:r>
      <w:r w:rsidRPr="00E8358C">
        <w:t>Paris, B</w:t>
      </w:r>
      <w:r w:rsidRPr="00E8358C">
        <w:t>e</w:t>
      </w:r>
      <w:r w:rsidRPr="00E8358C">
        <w:t>lin-Le-Prieur, Verdière,</w:t>
      </w:r>
      <w:r>
        <w:t xml:space="preserve"> </w:t>
      </w:r>
      <w:r w:rsidRPr="00E8358C">
        <w:t>1830.</w:t>
      </w:r>
    </w:p>
    <w:p w:rsidR="004C50DC" w:rsidRPr="00E8358C" w:rsidRDefault="004C50DC" w:rsidP="004C50DC">
      <w:pPr>
        <w:spacing w:before="120" w:after="120"/>
        <w:jc w:val="both"/>
      </w:pPr>
      <w:r w:rsidRPr="00E8358C">
        <w:t>Tajfel, Henri,</w:t>
      </w:r>
      <w:r w:rsidRPr="00E8358C">
        <w:rPr>
          <w:i/>
        </w:rPr>
        <w:t xml:space="preserve"> The Social Psychology of minorities. (Minority Rig</w:t>
      </w:r>
      <w:r w:rsidRPr="00E8358C">
        <w:rPr>
          <w:i/>
        </w:rPr>
        <w:t>h</w:t>
      </w:r>
      <w:r w:rsidRPr="00E8358C">
        <w:rPr>
          <w:i/>
        </w:rPr>
        <w:t xml:space="preserve">ts Group Report 38), </w:t>
      </w:r>
      <w:r w:rsidRPr="00E8358C">
        <w:t>Londres, Minority Rights Group, 1978.</w:t>
      </w:r>
    </w:p>
    <w:p w:rsidR="004C50DC" w:rsidRPr="00E8358C" w:rsidRDefault="004C50DC" w:rsidP="004C50DC">
      <w:pPr>
        <w:spacing w:before="120" w:after="120"/>
        <w:jc w:val="both"/>
      </w:pPr>
      <w:r w:rsidRPr="00E8358C">
        <w:t xml:space="preserve">-------, « Social Identity and Intergroup Behaviour », </w:t>
      </w:r>
      <w:r w:rsidRPr="00E8358C">
        <w:rPr>
          <w:i/>
        </w:rPr>
        <w:t>Social Scie</w:t>
      </w:r>
      <w:r w:rsidRPr="00E8358C">
        <w:rPr>
          <w:i/>
        </w:rPr>
        <w:t>n</w:t>
      </w:r>
      <w:r w:rsidRPr="00E8358C">
        <w:rPr>
          <w:i/>
        </w:rPr>
        <w:t xml:space="preserve">ce Information, </w:t>
      </w:r>
      <w:r w:rsidRPr="00E8358C">
        <w:t>vol. 3, 1974, p</w:t>
      </w:r>
      <w:r>
        <w:t>p</w:t>
      </w:r>
      <w:r w:rsidRPr="00E8358C">
        <w:t>. 65-93.</w:t>
      </w:r>
    </w:p>
    <w:p w:rsidR="004C50DC" w:rsidRPr="00E8358C" w:rsidRDefault="004C50DC" w:rsidP="004C50DC">
      <w:pPr>
        <w:spacing w:before="120" w:after="120"/>
        <w:jc w:val="both"/>
      </w:pPr>
      <w:r w:rsidRPr="00E8358C">
        <w:t>Tajfel, Henri et John C. Turner</w:t>
      </w:r>
      <w:r w:rsidRPr="00E8358C">
        <w:rPr>
          <w:i/>
        </w:rPr>
        <w:t xml:space="preserve">, </w:t>
      </w:r>
      <w:r w:rsidRPr="00E8358C">
        <w:t>« TheSocial Identity Theory of I</w:t>
      </w:r>
      <w:r w:rsidRPr="00E8358C">
        <w:t>n</w:t>
      </w:r>
      <w:r w:rsidRPr="00E8358C">
        <w:t>tergroup Behaviour »</w:t>
      </w:r>
      <w:r w:rsidRPr="00E8358C">
        <w:rPr>
          <w:i/>
        </w:rPr>
        <w:t xml:space="preserve">, </w:t>
      </w:r>
      <w:r w:rsidRPr="00E8358C">
        <w:t>dansStephen Worchel et William G. Austin (dir.)</w:t>
      </w:r>
      <w:r w:rsidRPr="00E8358C">
        <w:rPr>
          <w:i/>
        </w:rPr>
        <w:t xml:space="preserve">, Psychology of Intergroup Relations, </w:t>
      </w:r>
      <w:r w:rsidRPr="00E8358C">
        <w:t>Chicago, Nelson-Hall P</w:t>
      </w:r>
      <w:r w:rsidRPr="00E8358C">
        <w:t>u</w:t>
      </w:r>
      <w:r w:rsidRPr="00E8358C">
        <w:t>blishers, 1986, p. 7-24.</w:t>
      </w:r>
    </w:p>
    <w:p w:rsidR="004C50DC" w:rsidRPr="00E8358C" w:rsidRDefault="004C50DC" w:rsidP="004C50DC">
      <w:pPr>
        <w:spacing w:before="120" w:after="120"/>
        <w:jc w:val="both"/>
      </w:pPr>
      <w:r w:rsidRPr="00E8358C">
        <w:t xml:space="preserve">Tardieu, Charles, </w:t>
      </w:r>
      <w:r w:rsidRPr="00E8358C">
        <w:rPr>
          <w:i/>
        </w:rPr>
        <w:t>L’éducation en Haïti de la période coloniale à nos jours (1980</w:t>
      </w:r>
      <w:r w:rsidRPr="00E8358C">
        <w:t>), Port-au-Prince, Henri Deschamps, 1988.</w:t>
      </w:r>
    </w:p>
    <w:p w:rsidR="004C50DC" w:rsidRPr="00E8358C" w:rsidRDefault="004C50DC" w:rsidP="004C50DC">
      <w:pPr>
        <w:spacing w:before="120" w:after="120"/>
        <w:jc w:val="both"/>
      </w:pPr>
      <w:r w:rsidRPr="00E8358C">
        <w:t xml:space="preserve">Thalès Manigat, J.F., </w:t>
      </w:r>
      <w:r w:rsidRPr="00E8358C">
        <w:rPr>
          <w:i/>
        </w:rPr>
        <w:t>Conférence sur le vaudoux</w:t>
      </w:r>
      <w:r w:rsidRPr="00E8358C">
        <w:t>, Cap-Haïtien, Imp. La Conscience, 1897.</w:t>
      </w:r>
    </w:p>
    <w:p w:rsidR="004C50DC" w:rsidRPr="00E8358C" w:rsidRDefault="004C50DC" w:rsidP="004C50DC">
      <w:pPr>
        <w:spacing w:before="120" w:after="120"/>
        <w:jc w:val="both"/>
      </w:pPr>
      <w:r w:rsidRPr="00E8358C">
        <w:t xml:space="preserve">Théobald, Gérard, </w:t>
      </w:r>
      <w:r w:rsidRPr="00E8358C">
        <w:rPr>
          <w:i/>
        </w:rPr>
        <w:t>La liberté est ou n’est pas</w:t>
      </w:r>
      <w:r w:rsidRPr="00E8358C">
        <w:t>…, Paris, Publibook, 2014.</w:t>
      </w:r>
    </w:p>
    <w:p w:rsidR="004C50DC" w:rsidRPr="00E8358C" w:rsidRDefault="004C50DC" w:rsidP="004C50DC">
      <w:pPr>
        <w:spacing w:before="120" w:after="120"/>
        <w:jc w:val="both"/>
      </w:pPr>
      <w:r w:rsidRPr="00E8358C">
        <w:t xml:space="preserve">Thibault, André, </w:t>
      </w:r>
      <w:r w:rsidRPr="00E8358C">
        <w:rPr>
          <w:i/>
        </w:rPr>
        <w:t>Le français dans les Antilles. Études linguist</w:t>
      </w:r>
      <w:r w:rsidRPr="00E8358C">
        <w:rPr>
          <w:i/>
        </w:rPr>
        <w:t>i</w:t>
      </w:r>
      <w:r w:rsidRPr="00E8358C">
        <w:rPr>
          <w:i/>
        </w:rPr>
        <w:t xml:space="preserve">ques, </w:t>
      </w:r>
      <w:r w:rsidRPr="00E8358C">
        <w:t>Paris, L’Harmattan, 2012.</w:t>
      </w:r>
    </w:p>
    <w:p w:rsidR="004C50DC" w:rsidRPr="00E8358C" w:rsidRDefault="004C50DC" w:rsidP="004C50DC">
      <w:pPr>
        <w:spacing w:before="120" w:after="120"/>
        <w:jc w:val="both"/>
        <w:rPr>
          <w:shd w:val="clear" w:color="auto" w:fill="FFFFFF"/>
        </w:rPr>
      </w:pPr>
      <w:r w:rsidRPr="00E8358C">
        <w:t>Thoby-Marcelin, Philippe</w:t>
      </w:r>
      <w:r w:rsidRPr="00E8358C">
        <w:rPr>
          <w:i/>
        </w:rPr>
        <w:t>, Panorama de l’art haïtien</w:t>
      </w:r>
      <w:r w:rsidRPr="00E8358C">
        <w:t>, Port-au-Prince, Imprimerie de l’État, 1956.</w:t>
      </w:r>
    </w:p>
    <w:p w:rsidR="004C50DC" w:rsidRPr="00E8358C" w:rsidRDefault="004C50DC" w:rsidP="004C50DC">
      <w:pPr>
        <w:spacing w:before="120" w:after="120"/>
        <w:jc w:val="both"/>
      </w:pPr>
      <w:r w:rsidRPr="00E8358C">
        <w:t xml:space="preserve">Thomas, Hugh, </w:t>
      </w:r>
      <w:r w:rsidRPr="00E8358C">
        <w:rPr>
          <w:i/>
        </w:rPr>
        <w:t>La Traite des Noirs, 1440-1870</w:t>
      </w:r>
      <w:r w:rsidRPr="00E8358C">
        <w:t>, Paris, Robert La</w:t>
      </w:r>
      <w:r w:rsidRPr="00E8358C">
        <w:t>f</w:t>
      </w:r>
      <w:r w:rsidRPr="00E8358C">
        <w:t>font, 2006.</w:t>
      </w:r>
    </w:p>
    <w:p w:rsidR="004C50DC" w:rsidRPr="00E8358C" w:rsidRDefault="004C50DC" w:rsidP="004C50DC">
      <w:pPr>
        <w:spacing w:before="120" w:after="120"/>
        <w:jc w:val="both"/>
      </w:pPr>
      <w:r w:rsidRPr="00E8358C">
        <w:t xml:space="preserve">Tilley, Christopher (dir.), </w:t>
      </w:r>
      <w:r w:rsidRPr="00E8358C">
        <w:rPr>
          <w:i/>
        </w:rPr>
        <w:t>Handbook of material culture</w:t>
      </w:r>
      <w:r w:rsidRPr="00E8358C">
        <w:t>, Londres, Sage, 2006.</w:t>
      </w:r>
    </w:p>
    <w:p w:rsidR="004C50DC" w:rsidRPr="00E8358C" w:rsidRDefault="004C50DC" w:rsidP="004C50DC">
      <w:pPr>
        <w:spacing w:before="120" w:after="120"/>
        <w:jc w:val="both"/>
      </w:pPr>
      <w:r w:rsidRPr="00E8358C">
        <w:t xml:space="preserve">Tillinac, Denis, </w:t>
      </w:r>
      <w:r w:rsidRPr="00E8358C">
        <w:rPr>
          <w:i/>
        </w:rPr>
        <w:t>Rapport officiel du Comité de réflexion et de pr</w:t>
      </w:r>
      <w:r w:rsidRPr="00E8358C">
        <w:rPr>
          <w:i/>
        </w:rPr>
        <w:t>o</w:t>
      </w:r>
      <w:r w:rsidRPr="00E8358C">
        <w:rPr>
          <w:i/>
        </w:rPr>
        <w:t>positions sur la Traite des Noirs à Bordeaux</w:t>
      </w:r>
      <w:r w:rsidRPr="00E8358C">
        <w:t>, 10 mai 2006.</w:t>
      </w:r>
    </w:p>
    <w:p w:rsidR="004C50DC" w:rsidRPr="00E8358C" w:rsidRDefault="004C50DC" w:rsidP="004C50DC">
      <w:pPr>
        <w:spacing w:before="120" w:after="120"/>
        <w:jc w:val="both"/>
        <w:rPr>
          <w:rFonts w:eastAsia="Calibri"/>
        </w:rPr>
      </w:pPr>
      <w:r w:rsidRPr="00E8358C">
        <w:t>Todorov, Tzvetan</w:t>
      </w:r>
      <w:r w:rsidRPr="00E8358C">
        <w:rPr>
          <w:rFonts w:eastAsia="Calibri"/>
        </w:rPr>
        <w:t xml:space="preserve">, </w:t>
      </w:r>
      <w:r w:rsidRPr="00E8358C">
        <w:rPr>
          <w:i/>
        </w:rPr>
        <w:t>Les abus de la mémoire</w:t>
      </w:r>
      <w:r w:rsidRPr="00E8358C">
        <w:t xml:space="preserve">, Paris, Arléa, </w:t>
      </w:r>
      <w:r w:rsidRPr="00E8358C">
        <w:rPr>
          <w:rFonts w:eastAsia="Calibri"/>
        </w:rPr>
        <w:t>2004.</w:t>
      </w:r>
    </w:p>
    <w:p w:rsidR="004C50DC" w:rsidRPr="007F5D4F" w:rsidRDefault="004C50DC" w:rsidP="004C50DC">
      <w:pPr>
        <w:spacing w:before="120" w:after="120"/>
        <w:jc w:val="both"/>
      </w:pPr>
      <w:r w:rsidRPr="007F5D4F">
        <w:t xml:space="preserve">Tomei, Samuel, « Un retour sur la question coloniale. Leçons de morale de l’histoire », </w:t>
      </w:r>
      <w:r w:rsidRPr="007F5D4F">
        <w:rPr>
          <w:i/>
          <w:iCs/>
        </w:rPr>
        <w:t>Le Monde diplomatique</w:t>
      </w:r>
      <w:r w:rsidRPr="007F5D4F">
        <w:t>, novembre 2001, p. 28.</w:t>
      </w:r>
    </w:p>
    <w:p w:rsidR="004C50DC" w:rsidRPr="007F5D4F" w:rsidRDefault="004C50DC" w:rsidP="004C50DC">
      <w:pPr>
        <w:spacing w:before="120" w:after="120"/>
        <w:jc w:val="both"/>
      </w:pPr>
      <w:r w:rsidRPr="007F5D4F">
        <w:t xml:space="preserve">Toussaint, Hérold, </w:t>
      </w:r>
      <w:r w:rsidRPr="007F5D4F">
        <w:rPr>
          <w:i/>
        </w:rPr>
        <w:t>L’utopie révolutionnaire en Haïti autour de Jacques Roumain</w:t>
      </w:r>
      <w:r w:rsidRPr="007F5D4F">
        <w:t>, Port-au-Prince, Presses Nationales d’Haïti, 2008.</w:t>
      </w:r>
    </w:p>
    <w:p w:rsidR="004C50DC" w:rsidRPr="007F5D4F" w:rsidRDefault="004C50DC" w:rsidP="004C50DC">
      <w:pPr>
        <w:spacing w:before="120" w:after="120"/>
        <w:jc w:val="both"/>
      </w:pPr>
      <w:r w:rsidRPr="007F5D4F">
        <w:t xml:space="preserve">Trouillot, Évelyne, </w:t>
      </w:r>
      <w:r w:rsidRPr="007F5D4F">
        <w:rPr>
          <w:i/>
        </w:rPr>
        <w:t>Rosalie l’infâme</w:t>
      </w:r>
      <w:r w:rsidRPr="007F5D4F">
        <w:t>, Paris, Dapper, 2003.</w:t>
      </w:r>
    </w:p>
    <w:p w:rsidR="004C50DC" w:rsidRPr="00E8358C" w:rsidRDefault="004C50DC" w:rsidP="004C50DC">
      <w:pPr>
        <w:spacing w:before="120" w:after="120"/>
        <w:jc w:val="both"/>
      </w:pPr>
      <w:r w:rsidRPr="00E8358C">
        <w:t>-------, « De la survivance de la colonisation dans les manuels d’histoire</w:t>
      </w:r>
      <w:r w:rsidRPr="00E8358C">
        <w:rPr>
          <w:i/>
        </w:rPr>
        <w:t> », Lire Haïti</w:t>
      </w:r>
      <w:r w:rsidRPr="00E8358C">
        <w:t>, vol. 1, n</w:t>
      </w:r>
      <w:r w:rsidRPr="00E8358C">
        <w:rPr>
          <w:vertAlign w:val="superscript"/>
        </w:rPr>
        <w:t>o</w:t>
      </w:r>
      <w:r w:rsidRPr="00E8358C">
        <w:t> 2, 2001.</w:t>
      </w:r>
    </w:p>
    <w:p w:rsidR="004C50DC" w:rsidRPr="00E8358C" w:rsidRDefault="004C50DC" w:rsidP="004C50DC">
      <w:pPr>
        <w:spacing w:before="120" w:after="120"/>
        <w:jc w:val="both"/>
      </w:pPr>
      <w:r w:rsidRPr="00E8358C">
        <w:t xml:space="preserve">Trouillot, Hénock, « Le Vodou dans la révolution de Saint-Domingue », dans Hénock Trouillot (dir.), </w:t>
      </w:r>
      <w:r w:rsidRPr="00E8358C">
        <w:rPr>
          <w:i/>
        </w:rPr>
        <w:t>Introduction à une histoire du vaudou</w:t>
      </w:r>
      <w:r w:rsidRPr="00E8358C">
        <w:t>, Port-au-Prince, Antilles, 1970.</w:t>
      </w:r>
    </w:p>
    <w:p w:rsidR="004C50DC" w:rsidRDefault="004C50DC" w:rsidP="004C50DC">
      <w:pPr>
        <w:spacing w:before="120" w:after="120"/>
        <w:jc w:val="both"/>
      </w:pPr>
      <w:r>
        <w:t>[492]</w:t>
      </w:r>
    </w:p>
    <w:p w:rsidR="004C50DC" w:rsidRPr="00E8358C" w:rsidRDefault="004C50DC" w:rsidP="004C50DC">
      <w:pPr>
        <w:spacing w:before="120" w:after="120"/>
        <w:jc w:val="both"/>
        <w:rPr>
          <w:rFonts w:eastAsia="Calibri"/>
        </w:rPr>
      </w:pPr>
      <w:r w:rsidRPr="00E8358C">
        <w:t xml:space="preserve">-------, </w:t>
      </w:r>
      <w:r w:rsidRPr="00E8358C">
        <w:rPr>
          <w:i/>
        </w:rPr>
        <w:t>Les origines sociales de la littérature haïtienne</w:t>
      </w:r>
      <w:r w:rsidRPr="00E8358C">
        <w:t>, Port-au-Prince, Fardin, 1962.</w:t>
      </w:r>
    </w:p>
    <w:p w:rsidR="004C50DC" w:rsidRPr="00E8358C" w:rsidRDefault="004C50DC" w:rsidP="004C50DC">
      <w:pPr>
        <w:spacing w:before="120" w:after="120"/>
        <w:jc w:val="both"/>
      </w:pPr>
      <w:r w:rsidRPr="00E8358C">
        <w:t xml:space="preserve">-------, « La pensée du docteur Jean Price-Mars », </w:t>
      </w:r>
      <w:r w:rsidRPr="00E8358C">
        <w:rPr>
          <w:i/>
        </w:rPr>
        <w:t>Revue de la S</w:t>
      </w:r>
      <w:r w:rsidRPr="00E8358C">
        <w:rPr>
          <w:i/>
        </w:rPr>
        <w:t>o</w:t>
      </w:r>
      <w:r w:rsidRPr="00E8358C">
        <w:rPr>
          <w:i/>
        </w:rPr>
        <w:t>ciété haïtienne d’histoire, de géographie et de géologie</w:t>
      </w:r>
      <w:r w:rsidRPr="00E8358C">
        <w:t>, vol. 29, n</w:t>
      </w:r>
      <w:r w:rsidRPr="00E8358C">
        <w:rPr>
          <w:vertAlign w:val="superscript"/>
        </w:rPr>
        <w:t>o</w:t>
      </w:r>
      <w:r w:rsidRPr="00E8358C">
        <w:t> 102, Port-au-Prince, juillet-octobre 1956.</w:t>
      </w:r>
    </w:p>
    <w:p w:rsidR="004C50DC" w:rsidRPr="00E8358C" w:rsidRDefault="004C50DC" w:rsidP="004C50DC">
      <w:pPr>
        <w:spacing w:before="120" w:after="120"/>
        <w:jc w:val="both"/>
      </w:pPr>
      <w:r w:rsidRPr="00E8358C">
        <w:t>-------, « </w:t>
      </w:r>
      <w:r w:rsidRPr="00E8358C">
        <w:rPr>
          <w:i/>
        </w:rPr>
        <w:t>La condition des Nègres domestiques à Saint-Domingue »</w:t>
      </w:r>
      <w:r w:rsidRPr="00E8358C">
        <w:t xml:space="preserve">, </w:t>
      </w:r>
      <w:r w:rsidRPr="00E8358C">
        <w:rPr>
          <w:i/>
        </w:rPr>
        <w:t>Revue de la Société haïtienne d’histoire et de géogr</w:t>
      </w:r>
      <w:r w:rsidRPr="00E8358C">
        <w:rPr>
          <w:i/>
        </w:rPr>
        <w:t>a</w:t>
      </w:r>
      <w:r w:rsidRPr="00E8358C">
        <w:rPr>
          <w:i/>
        </w:rPr>
        <w:t xml:space="preserve">phie, </w:t>
      </w:r>
      <w:r w:rsidRPr="00E8358C">
        <w:t>vol. 28, n</w:t>
      </w:r>
      <w:r w:rsidRPr="00E8358C">
        <w:rPr>
          <w:vertAlign w:val="superscript"/>
        </w:rPr>
        <w:t>o</w:t>
      </w:r>
      <w:r w:rsidRPr="00E8358C">
        <w:t xml:space="preserve"> 99, 1955, </w:t>
      </w:r>
      <w:r>
        <w:t>p</w:t>
      </w:r>
      <w:r w:rsidRPr="00E8358C">
        <w:t>p.4-34.</w:t>
      </w:r>
    </w:p>
    <w:p w:rsidR="004C50DC" w:rsidRPr="00E8358C" w:rsidRDefault="004C50DC" w:rsidP="004C50DC">
      <w:pPr>
        <w:spacing w:before="120" w:after="120"/>
        <w:jc w:val="both"/>
      </w:pPr>
      <w:r w:rsidRPr="00E8358C">
        <w:t xml:space="preserve">Trouillot, Lyonel, « Préface », dans Jean-Pierre Le Glaunec, </w:t>
      </w:r>
      <w:r w:rsidRPr="00E8358C">
        <w:rPr>
          <w:i/>
        </w:rPr>
        <w:t>L’armée indigène. La défaite de Napoléon en Haïti</w:t>
      </w:r>
      <w:r w:rsidRPr="00E8358C">
        <w:t>, Montréal, Lux éditeur, 2014.</w:t>
      </w:r>
    </w:p>
    <w:p w:rsidR="004C50DC" w:rsidRPr="00E8358C" w:rsidRDefault="004C50DC" w:rsidP="004C50DC">
      <w:pPr>
        <w:spacing w:before="120" w:after="120"/>
        <w:jc w:val="both"/>
      </w:pPr>
      <w:r w:rsidRPr="00E8358C">
        <w:t xml:space="preserve">-------, « Haïti/France : la France nous a fait violence », en ligne, </w:t>
      </w:r>
      <w:hyperlink r:id="rId195" w:history="1">
        <w:r w:rsidRPr="00E8358C">
          <w:rPr>
            <w:rStyle w:val="Lienhypertexte"/>
          </w:rPr>
          <w:t>http://www.canalplushaiti.net/haitifrancelyonel-trouillot-la-france-nous-a-fait-violence/</w:t>
        </w:r>
      </w:hyperlink>
    </w:p>
    <w:p w:rsidR="004C50DC" w:rsidRPr="00E8358C" w:rsidRDefault="004C50DC" w:rsidP="004C50DC">
      <w:pPr>
        <w:spacing w:before="120" w:after="120"/>
        <w:jc w:val="both"/>
      </w:pPr>
      <w:r w:rsidRPr="00E8358C">
        <w:t>Trouillot, Michel-Rolf, « Jeux de mots, jeux de classe. Les mo</w:t>
      </w:r>
      <w:r w:rsidRPr="00E8358C">
        <w:t>u</w:t>
      </w:r>
      <w:r w:rsidRPr="00E8358C">
        <w:t xml:space="preserve">vances de l’indigénisme », </w:t>
      </w:r>
      <w:r w:rsidRPr="00E8358C">
        <w:rPr>
          <w:i/>
        </w:rPr>
        <w:t>Conjonction</w:t>
      </w:r>
      <w:r w:rsidRPr="00E8358C">
        <w:t>, n</w:t>
      </w:r>
      <w:r w:rsidRPr="00E8358C">
        <w:rPr>
          <w:vertAlign w:val="superscript"/>
        </w:rPr>
        <w:t>o</w:t>
      </w:r>
      <w:r w:rsidRPr="00E8358C">
        <w:t xml:space="preserve"> 197, </w:t>
      </w:r>
      <w:r w:rsidRPr="00E8358C">
        <w:rPr>
          <w:i/>
        </w:rPr>
        <w:t>L’indigénisme</w:t>
      </w:r>
      <w:r w:rsidRPr="00E8358C">
        <w:t>, 1993, p</w:t>
      </w:r>
      <w:r>
        <w:t>p</w:t>
      </w:r>
      <w:r w:rsidRPr="00E8358C">
        <w:t>. 29-41.</w:t>
      </w:r>
    </w:p>
    <w:p w:rsidR="004C50DC" w:rsidRPr="00E8358C" w:rsidRDefault="004C50DC" w:rsidP="004C50DC">
      <w:pPr>
        <w:spacing w:before="120" w:after="120"/>
        <w:jc w:val="both"/>
        <w:rPr>
          <w:rFonts w:eastAsia="Calibri"/>
        </w:rPr>
      </w:pPr>
      <w:r w:rsidRPr="00E8358C">
        <w:t xml:space="preserve">-------, </w:t>
      </w:r>
      <w:r w:rsidRPr="00E8358C">
        <w:rPr>
          <w:i/>
        </w:rPr>
        <w:t>Les racines historiques de l’État duvaliérien</w:t>
      </w:r>
      <w:r w:rsidRPr="00E8358C">
        <w:t>, Port-au-Prince, Deschamps, 1986.</w:t>
      </w:r>
    </w:p>
    <w:p w:rsidR="004C50DC" w:rsidRPr="00E8358C" w:rsidRDefault="004C50DC" w:rsidP="004C50DC">
      <w:pPr>
        <w:spacing w:before="120" w:after="120"/>
        <w:jc w:val="both"/>
      </w:pPr>
      <w:r w:rsidRPr="00E8358C">
        <w:t xml:space="preserve">Turcotte, Virginie, </w:t>
      </w:r>
      <w:r w:rsidRPr="00E8358C">
        <w:rPr>
          <w:i/>
        </w:rPr>
        <w:t>Quand la lecture visite l’oraliture ou l’influence de la tradition orale dans l’acte de lecture des romans a</w:t>
      </w:r>
      <w:r w:rsidRPr="00E8358C">
        <w:rPr>
          <w:i/>
        </w:rPr>
        <w:t>n</w:t>
      </w:r>
      <w:r w:rsidRPr="00E8358C">
        <w:rPr>
          <w:i/>
        </w:rPr>
        <w:t xml:space="preserve">tillais, </w:t>
      </w:r>
      <w:r w:rsidRPr="00E8358C">
        <w:t>mémoire présenté comme exigence partielle de la maîtrise en études littéraires, Université du Québec à Montréal, août 2009.</w:t>
      </w:r>
    </w:p>
    <w:p w:rsidR="004C50DC" w:rsidRPr="00E8358C" w:rsidRDefault="004C50DC" w:rsidP="004C50DC">
      <w:pPr>
        <w:spacing w:before="120" w:after="120"/>
        <w:jc w:val="both"/>
        <w:rPr>
          <w:rFonts w:eastAsia="Calibri"/>
          <w:iCs/>
        </w:rPr>
      </w:pPr>
      <w:r w:rsidRPr="00E8358C">
        <w:rPr>
          <w:rFonts w:eastAsia="Calibri"/>
          <w:iCs/>
        </w:rPr>
        <w:t xml:space="preserve">Turgeon, Laurier, </w:t>
      </w:r>
      <w:r w:rsidRPr="00E8358C">
        <w:t xml:space="preserve">« La culture matérielle : du témoignage à la mémoire », dans Isidore Ndaywel è Nziem et Elisabeth Mudimbe-Boyi (dir.), </w:t>
      </w:r>
      <w:r w:rsidRPr="00E8358C">
        <w:rPr>
          <w:i/>
        </w:rPr>
        <w:t>Images, mémoires et savoirs. Une histoire en partage avec Bogumil Koss Jewsiewicki,</w:t>
      </w:r>
      <w:r w:rsidRPr="00E8358C">
        <w:t xml:space="preserve"> Paris, Karthala, </w:t>
      </w:r>
      <w:r w:rsidRPr="00E8358C">
        <w:rPr>
          <w:rFonts w:eastAsia="Calibri"/>
          <w:iCs/>
        </w:rPr>
        <w:t>2009, p</w:t>
      </w:r>
      <w:r>
        <w:rPr>
          <w:rFonts w:eastAsia="Calibri"/>
          <w:iCs/>
        </w:rPr>
        <w:t>p</w:t>
      </w:r>
      <w:r w:rsidRPr="00E8358C">
        <w:rPr>
          <w:rFonts w:eastAsia="Calibri"/>
          <w:iCs/>
        </w:rPr>
        <w:t>. 333-354.</w:t>
      </w:r>
    </w:p>
    <w:p w:rsidR="004C50DC" w:rsidRPr="00E8358C" w:rsidRDefault="004C50DC" w:rsidP="004C50DC">
      <w:pPr>
        <w:spacing w:before="120" w:after="120"/>
        <w:jc w:val="both"/>
      </w:pPr>
      <w:r w:rsidRPr="00E8358C">
        <w:rPr>
          <w:rFonts w:eastAsia="Calibri"/>
          <w:lang w:eastAsia="en-CA"/>
        </w:rPr>
        <w:t>-------</w:t>
      </w:r>
      <w:r w:rsidRPr="00E8358C">
        <w:rPr>
          <w:rFonts w:eastAsia="Calibri"/>
          <w:iCs/>
        </w:rPr>
        <w:t xml:space="preserve"> (dir.), </w:t>
      </w:r>
      <w:r w:rsidRPr="00E8358C">
        <w:rPr>
          <w:i/>
        </w:rPr>
        <w:t>L’esprit du lieu. Entre le patrimoine matériel et imm</w:t>
      </w:r>
      <w:r w:rsidRPr="00E8358C">
        <w:rPr>
          <w:i/>
        </w:rPr>
        <w:t>a</w:t>
      </w:r>
      <w:r w:rsidRPr="00E8358C">
        <w:rPr>
          <w:i/>
        </w:rPr>
        <w:t>tériel</w:t>
      </w:r>
      <w:r w:rsidRPr="00E8358C">
        <w:t>, Québec, Presses de l’Université Laval, 2009.</w:t>
      </w:r>
    </w:p>
    <w:p w:rsidR="004C50DC" w:rsidRPr="00E8358C" w:rsidRDefault="004C50DC" w:rsidP="004C50DC">
      <w:pPr>
        <w:spacing w:before="120" w:after="120"/>
        <w:jc w:val="both"/>
      </w:pPr>
      <w:r w:rsidRPr="00E8358C">
        <w:rPr>
          <w:rFonts w:eastAsia="Calibri"/>
          <w:lang w:eastAsia="en-CA"/>
        </w:rPr>
        <w:t>-------</w:t>
      </w:r>
      <w:r w:rsidRPr="00E8358C">
        <w:t xml:space="preserve">, « Préface », dans Marie-Blanche Fourcade (dir.), </w:t>
      </w:r>
      <w:r w:rsidRPr="00E8358C">
        <w:rPr>
          <w:i/>
        </w:rPr>
        <w:t>Patrimo</w:t>
      </w:r>
      <w:r w:rsidRPr="00E8358C">
        <w:rPr>
          <w:i/>
        </w:rPr>
        <w:t>i</w:t>
      </w:r>
      <w:r w:rsidRPr="00E8358C">
        <w:rPr>
          <w:i/>
        </w:rPr>
        <w:t>ne et patrimonialisation</w:t>
      </w:r>
      <w:r w:rsidRPr="00E8358C">
        <w:t xml:space="preserve">. </w:t>
      </w:r>
      <w:r w:rsidRPr="00E8358C">
        <w:rPr>
          <w:i/>
        </w:rPr>
        <w:t>Entre le matériel et l’immatériel,</w:t>
      </w:r>
      <w:r w:rsidRPr="00E8358C">
        <w:t xml:space="preserve"> Québec, Presses de l’Université Laval</w:t>
      </w:r>
      <w:r w:rsidRPr="00E8358C">
        <w:rPr>
          <w:rFonts w:eastAsia="Calibri"/>
        </w:rPr>
        <w:t>, 2007, p</w:t>
      </w:r>
      <w:r>
        <w:rPr>
          <w:rFonts w:eastAsia="Calibri"/>
        </w:rPr>
        <w:t>p</w:t>
      </w:r>
      <w:r w:rsidRPr="00E8358C">
        <w:rPr>
          <w:rFonts w:eastAsia="Calibri"/>
        </w:rPr>
        <w:t>. XI –XIV.</w:t>
      </w:r>
    </w:p>
    <w:p w:rsidR="004C50DC" w:rsidRPr="00E8358C" w:rsidRDefault="004C50DC" w:rsidP="004C50DC">
      <w:pPr>
        <w:spacing w:before="120" w:after="120"/>
        <w:jc w:val="both"/>
        <w:rPr>
          <w:rFonts w:eastAsia="Calibri"/>
        </w:rPr>
      </w:pPr>
      <w:r w:rsidRPr="00E8358C">
        <w:rPr>
          <w:rFonts w:eastAsia="Calibri"/>
          <w:lang w:eastAsia="en-CA"/>
        </w:rPr>
        <w:t>-------</w:t>
      </w:r>
      <w:r w:rsidRPr="00E8358C">
        <w:rPr>
          <w:rFonts w:eastAsia="Calibri"/>
        </w:rPr>
        <w:t xml:space="preserve">, </w:t>
      </w:r>
      <w:r w:rsidRPr="00E8358C">
        <w:t>« La mémoire de la culture matérielle et la culture matérie</w:t>
      </w:r>
      <w:r w:rsidRPr="00E8358C">
        <w:t>l</w:t>
      </w:r>
      <w:r w:rsidRPr="00E8358C">
        <w:t xml:space="preserve">le de la mémoire », dans Octave Debary et Laurier Turgeon (dir.), </w:t>
      </w:r>
      <w:r w:rsidRPr="00E8358C">
        <w:rPr>
          <w:i/>
          <w:iCs/>
        </w:rPr>
        <w:t>O</w:t>
      </w:r>
      <w:r w:rsidRPr="00E8358C">
        <w:rPr>
          <w:i/>
          <w:iCs/>
        </w:rPr>
        <w:t>b</w:t>
      </w:r>
      <w:r w:rsidRPr="00E8358C">
        <w:rPr>
          <w:i/>
          <w:iCs/>
        </w:rPr>
        <w:t>jets et mémoires,</w:t>
      </w:r>
      <w:r w:rsidRPr="00E8358C">
        <w:t xml:space="preserve"> Paris, Maison des sciences de l’homme et Presses de l’Université Laval</w:t>
      </w:r>
      <w:r w:rsidRPr="00E8358C">
        <w:rPr>
          <w:rFonts w:eastAsia="Calibri"/>
        </w:rPr>
        <w:t xml:space="preserve">, 2007, </w:t>
      </w:r>
      <w:r>
        <w:rPr>
          <w:rFonts w:eastAsia="Calibri"/>
        </w:rPr>
        <w:t>p</w:t>
      </w:r>
      <w:r w:rsidRPr="00E8358C">
        <w:rPr>
          <w:rFonts w:eastAsia="Calibri"/>
        </w:rPr>
        <w:t>p. 13-36.</w:t>
      </w:r>
    </w:p>
    <w:p w:rsidR="004C50DC" w:rsidRPr="00E8358C" w:rsidRDefault="004C50DC" w:rsidP="004C50DC">
      <w:pPr>
        <w:spacing w:before="120" w:after="120"/>
        <w:jc w:val="both"/>
      </w:pPr>
      <w:r w:rsidRPr="00E8358C">
        <w:rPr>
          <w:rFonts w:eastAsia="Calibri"/>
          <w:lang w:eastAsia="en-CA"/>
        </w:rPr>
        <w:t>-------</w:t>
      </w:r>
      <w:r w:rsidRPr="00E8358C">
        <w:t xml:space="preserve">, </w:t>
      </w:r>
      <w:r w:rsidRPr="00E8358C">
        <w:rPr>
          <w:i/>
        </w:rPr>
        <w:t>Patrimoines métissés. Contextes coloniaux et postcol</w:t>
      </w:r>
      <w:r w:rsidRPr="00E8358C">
        <w:rPr>
          <w:i/>
        </w:rPr>
        <w:t>o</w:t>
      </w:r>
      <w:r w:rsidRPr="00E8358C">
        <w:rPr>
          <w:i/>
        </w:rPr>
        <w:t>niaux</w:t>
      </w:r>
      <w:r w:rsidRPr="00E8358C">
        <w:t>, Paris-Québec, Maison des sciences de l’homme et Presses de l’Université Laval, 2003.</w:t>
      </w:r>
    </w:p>
    <w:p w:rsidR="004C50DC" w:rsidRPr="00E8358C" w:rsidRDefault="004C50DC" w:rsidP="004C50DC">
      <w:pPr>
        <w:spacing w:before="120" w:after="120"/>
        <w:jc w:val="both"/>
      </w:pPr>
      <w:r w:rsidRPr="00E8358C">
        <w:t xml:space="preserve">Turnier, Alain, </w:t>
      </w:r>
      <w:r w:rsidRPr="00E8358C">
        <w:rPr>
          <w:i/>
        </w:rPr>
        <w:t>Quand la nation demande des comptes</w:t>
      </w:r>
      <w:r w:rsidRPr="00E8358C">
        <w:t>, Port-au-Prince, Le Natal, 1989.</w:t>
      </w:r>
    </w:p>
    <w:p w:rsidR="004C50DC" w:rsidRPr="00E8358C" w:rsidRDefault="004C50DC" w:rsidP="004C50DC">
      <w:pPr>
        <w:spacing w:before="120" w:after="120"/>
        <w:jc w:val="both"/>
      </w:pPr>
      <w:r w:rsidRPr="00E8358C">
        <w:rPr>
          <w:rStyle w:val="Accentuation"/>
          <w:i w:val="0"/>
        </w:rPr>
        <w:t xml:space="preserve">UNESCO, </w:t>
      </w:r>
      <w:r w:rsidRPr="00E8358C">
        <w:t>Section histoire et culture, division des politiques cult</w:t>
      </w:r>
      <w:r w:rsidRPr="00E8358C">
        <w:t>u</w:t>
      </w:r>
      <w:r w:rsidRPr="00E8358C">
        <w:t xml:space="preserve">relles et du dialogue interculturel, « Le projet “La route de l’esclave” de l’UNESCO », </w:t>
      </w:r>
      <w:r w:rsidRPr="00E8358C">
        <w:rPr>
          <w:rStyle w:val="Accentuation"/>
        </w:rPr>
        <w:t>Revue internationale des sciences sociales</w:t>
      </w:r>
      <w:r w:rsidRPr="00E8358C">
        <w:t>, vo. 2, n° 188, 2006, p. 205-209, en ligne</w:t>
      </w:r>
      <w:r w:rsidRPr="00E8358C">
        <w:rPr>
          <w:rStyle w:val="apple-converted-space"/>
        </w:rPr>
        <w:t xml:space="preserve">, </w:t>
      </w:r>
      <w:hyperlink r:id="rId196" w:history="1">
        <w:r w:rsidRPr="00E8358C">
          <w:rPr>
            <w:rStyle w:val="Lienhypertexte"/>
          </w:rPr>
          <w:t>www.cairn.info/revue-internationale-des-sciences-sociales-2006-2-page-205.htm</w:t>
        </w:r>
      </w:hyperlink>
    </w:p>
    <w:p w:rsidR="004C50DC" w:rsidRPr="00E8358C" w:rsidRDefault="004C50DC" w:rsidP="004C50DC">
      <w:pPr>
        <w:spacing w:before="120" w:after="120"/>
        <w:jc w:val="both"/>
      </w:pPr>
      <w:r w:rsidRPr="00E8358C">
        <w:t>UNESCO, Mise en œuvre du projet « La route de l’esclave » (R</w:t>
      </w:r>
      <w:r w:rsidRPr="00E8358C">
        <w:t>é</w:t>
      </w:r>
      <w:r w:rsidRPr="00E8358C">
        <w:t xml:space="preserve">solution 27 C/3.13), 1993, en ligne, </w:t>
      </w:r>
      <w:hyperlink r:id="rId197" w:history="1">
        <w:r w:rsidRPr="00E8358C">
          <w:rPr>
            <w:rStyle w:val="Lienhypertexte"/>
          </w:rPr>
          <w:t>http://unesdoc.unesco.org/</w:t>
        </w:r>
      </w:hyperlink>
    </w:p>
    <w:p w:rsidR="004C50DC" w:rsidRPr="00E8358C" w:rsidRDefault="004C50DC" w:rsidP="004C50DC">
      <w:pPr>
        <w:spacing w:before="120" w:after="120"/>
        <w:jc w:val="both"/>
      </w:pPr>
      <w:r w:rsidRPr="00E8358C">
        <w:t xml:space="preserve">UNESCO, « la Route de l’esclave », </w:t>
      </w:r>
      <w:r w:rsidRPr="00E8358C">
        <w:rPr>
          <w:i/>
        </w:rPr>
        <w:t>Bulletin d’information</w:t>
      </w:r>
      <w:r w:rsidRPr="00E8358C">
        <w:t>, n</w:t>
      </w:r>
      <w:r w:rsidRPr="00E8358C">
        <w:rPr>
          <w:vertAlign w:val="superscript"/>
        </w:rPr>
        <w:t>o</w:t>
      </w:r>
      <w:r w:rsidRPr="00E8358C">
        <w:t> 1, 2000.</w:t>
      </w:r>
    </w:p>
    <w:p w:rsidR="004C50DC" w:rsidRPr="00E8358C" w:rsidRDefault="004C50DC" w:rsidP="004C50DC">
      <w:pPr>
        <w:spacing w:before="120" w:after="120"/>
        <w:jc w:val="both"/>
        <w:rPr>
          <w:bCs/>
        </w:rPr>
      </w:pPr>
      <w:r w:rsidRPr="00E8358C">
        <w:t>UNESCO, « La Route de l’esclave : 1994-2014. Le chemin pa</w:t>
      </w:r>
      <w:r w:rsidRPr="00E8358C">
        <w:t>r</w:t>
      </w:r>
      <w:r w:rsidRPr="00E8358C">
        <w:t xml:space="preserve">couru », en ligne, </w:t>
      </w:r>
      <w:hyperlink r:id="rId198" w:history="1">
        <w:r w:rsidRPr="00E8358C">
          <w:rPr>
            <w:rStyle w:val="Lienhypertexte"/>
          </w:rPr>
          <w:t>http://unesdoc.unesco.org/images/0022/002284/228475f.pdf</w:t>
        </w:r>
      </w:hyperlink>
    </w:p>
    <w:p w:rsidR="004C50DC" w:rsidRPr="00E8358C" w:rsidRDefault="004C50DC" w:rsidP="004C50DC">
      <w:pPr>
        <w:spacing w:before="120" w:after="120"/>
        <w:jc w:val="both"/>
      </w:pPr>
      <w:r w:rsidRPr="00E8358C">
        <w:rPr>
          <w:rStyle w:val="Appelnotedebasdep"/>
        </w:rPr>
        <w:t xml:space="preserve">UNESCO, </w:t>
      </w:r>
      <w:r w:rsidRPr="00E8358C">
        <w:t xml:space="preserve">Résolution 27 C/3.13, </w:t>
      </w:r>
      <w:r w:rsidRPr="00E8358C">
        <w:rPr>
          <w:i/>
        </w:rPr>
        <w:t>La Route de l’esclave</w:t>
      </w:r>
      <w:r w:rsidRPr="00E8358C">
        <w:t>, en l</w:t>
      </w:r>
      <w:r w:rsidRPr="00E8358C">
        <w:t>i</w:t>
      </w:r>
      <w:r w:rsidRPr="00E8358C">
        <w:t>gne,</w:t>
      </w:r>
      <w:hyperlink r:id="rId199" w:history="1">
        <w:r w:rsidRPr="00E8358C">
          <w:rPr>
            <w:rStyle w:val="Lienhypertexte"/>
          </w:rPr>
          <w:t>http://portail.unesco.org/culture/fr/ev.phpURL_ID=25659&amp;URL_DO=DO_TOPIC&amp;URL_SECTION=201.html</w:t>
        </w:r>
      </w:hyperlink>
    </w:p>
    <w:p w:rsidR="004C50DC" w:rsidRPr="00E8358C" w:rsidRDefault="004C50DC" w:rsidP="004C50DC">
      <w:pPr>
        <w:spacing w:before="120" w:after="120"/>
        <w:jc w:val="both"/>
      </w:pPr>
      <w:r w:rsidRPr="00E8358C">
        <w:rPr>
          <w:bCs/>
        </w:rPr>
        <w:t>UNESCO,</w:t>
      </w:r>
      <w:r w:rsidRPr="00E8358C">
        <w:rPr>
          <w:i/>
          <w:iCs/>
        </w:rPr>
        <w:t xml:space="preserve"> La déclaration de Durban</w:t>
      </w:r>
      <w:r w:rsidRPr="00E8358C">
        <w:t xml:space="preserve">, en ligne, </w:t>
      </w:r>
      <w:r>
        <w:t xml:space="preserve">[493] </w:t>
      </w:r>
      <w:hyperlink r:id="rId200" w:history="1">
        <w:r w:rsidRPr="00E8358C">
          <w:rPr>
            <w:rStyle w:val="Lienhypertexte"/>
          </w:rPr>
          <w:t>http://www.un.org/french/WCAR/durban_fr.pdf septembre 2001</w:t>
        </w:r>
      </w:hyperlink>
    </w:p>
    <w:p w:rsidR="004C50DC" w:rsidRPr="00E8358C" w:rsidRDefault="004C50DC" w:rsidP="004C50DC">
      <w:pPr>
        <w:spacing w:before="120" w:after="120"/>
        <w:jc w:val="both"/>
      </w:pPr>
      <w:r w:rsidRPr="00E8358C">
        <w:t xml:space="preserve">UNESCO, Bureau de l’information du public, « Luttes contre l’esclavage », en ligne, </w:t>
      </w:r>
      <w:hyperlink r:id="rId201" w:history="1">
        <w:r w:rsidRPr="00E8358C">
          <w:rPr>
            <w:rStyle w:val="Lienhypertexte"/>
          </w:rPr>
          <w:t>http://www.unesco.org/bpi/pdf/memobpi50_slavery_fr.pdf</w:t>
        </w:r>
      </w:hyperlink>
    </w:p>
    <w:p w:rsidR="004C50DC" w:rsidRPr="00E8358C" w:rsidRDefault="004C50DC" w:rsidP="004C50DC">
      <w:pPr>
        <w:spacing w:before="120" w:after="120"/>
        <w:jc w:val="both"/>
      </w:pPr>
      <w:r w:rsidRPr="00E8358C">
        <w:t xml:space="preserve">Urbain, Jean-Didier, « Tourisme de mémoire. Un travail de deuil positif », </w:t>
      </w:r>
      <w:r w:rsidRPr="00E8358C">
        <w:rPr>
          <w:i/>
        </w:rPr>
        <w:t>Cahier Espaces,</w:t>
      </w:r>
      <w:r w:rsidRPr="00E8358C">
        <w:t xml:space="preserve"> numéro thématique </w:t>
      </w:r>
      <w:r w:rsidRPr="00E8358C">
        <w:rPr>
          <w:i/>
        </w:rPr>
        <w:t>Tourisme de mémoire</w:t>
      </w:r>
      <w:r w:rsidRPr="00E8358C">
        <w:t>, n</w:t>
      </w:r>
      <w:r w:rsidRPr="00E8358C">
        <w:rPr>
          <w:vertAlign w:val="superscript"/>
        </w:rPr>
        <w:t>o</w:t>
      </w:r>
      <w:r w:rsidRPr="00E8358C">
        <w:t> 80, décembre 2003, p. 5-7.</w:t>
      </w:r>
    </w:p>
    <w:p w:rsidR="004C50DC" w:rsidRPr="00E8358C" w:rsidRDefault="004C50DC" w:rsidP="004C50DC">
      <w:pPr>
        <w:spacing w:before="120" w:after="120"/>
        <w:jc w:val="both"/>
      </w:pPr>
      <w:r w:rsidRPr="00E8358C">
        <w:t xml:space="preserve">Vallet, Noémie, </w:t>
      </w:r>
      <w:r w:rsidRPr="00E8358C">
        <w:rPr>
          <w:i/>
        </w:rPr>
        <w:t>L’occupation de la mémoire. Le souvenir délirant de la France occupée dans « La place de l’étoile » de Patrick Modi</w:t>
      </w:r>
      <w:r w:rsidRPr="00E8358C">
        <w:rPr>
          <w:i/>
        </w:rPr>
        <w:t>a</w:t>
      </w:r>
      <w:r w:rsidRPr="00E8358C">
        <w:rPr>
          <w:i/>
        </w:rPr>
        <w:t>no et « La compagnie des spectres » de Lydie Salvayre</w:t>
      </w:r>
      <w:r w:rsidRPr="00E8358C">
        <w:t>, Mémoire pr</w:t>
      </w:r>
      <w:r w:rsidRPr="00E8358C">
        <w:t>é</w:t>
      </w:r>
      <w:r w:rsidRPr="00E8358C">
        <w:t>senté comme exigence partielle de la maîtrise en études littéraires, Université du Québec à Montréal, mars 2009.</w:t>
      </w:r>
    </w:p>
    <w:p w:rsidR="004C50DC" w:rsidRPr="00E8358C" w:rsidRDefault="004C50DC" w:rsidP="004C50DC">
      <w:pPr>
        <w:spacing w:before="120" w:after="120"/>
        <w:jc w:val="both"/>
      </w:pPr>
      <w:r w:rsidRPr="00E8358C">
        <w:t xml:space="preserve">Vastey, Baron de, </w:t>
      </w:r>
      <w:r w:rsidRPr="00E8358C">
        <w:rPr>
          <w:i/>
        </w:rPr>
        <w:t xml:space="preserve">Le système colonial dévoilé, </w:t>
      </w:r>
      <w:r w:rsidRPr="00E8358C">
        <w:t>Cap Henry, P. Roux, imprimeur du Roi, 1814.</w:t>
      </w:r>
    </w:p>
    <w:p w:rsidR="004C50DC" w:rsidRPr="00E8358C" w:rsidRDefault="004C50DC" w:rsidP="004C50DC">
      <w:pPr>
        <w:spacing w:before="120" w:after="120"/>
        <w:jc w:val="both"/>
      </w:pPr>
      <w:r w:rsidRPr="00E8358C">
        <w:t xml:space="preserve">Verger, Jean-Claude de, </w:t>
      </w:r>
      <w:r w:rsidRPr="00E8358C">
        <w:rPr>
          <w:i/>
        </w:rPr>
        <w:t>Vodou et catholicisme en Haïti, ou étude de sociologie culturelle et religieuse</w:t>
      </w:r>
      <w:r w:rsidRPr="00E8358C">
        <w:t>, Québec, Métuca, 2001.</w:t>
      </w:r>
    </w:p>
    <w:p w:rsidR="004C50DC" w:rsidRPr="00E8358C" w:rsidRDefault="004C50DC" w:rsidP="004C50DC">
      <w:pPr>
        <w:spacing w:before="120" w:after="120"/>
        <w:jc w:val="both"/>
        <w:rPr>
          <w:lang w:eastAsia="en-CA"/>
        </w:rPr>
      </w:pPr>
      <w:r w:rsidRPr="00E8358C">
        <w:t>Vergès, Françoise, « Introduction », dans</w:t>
      </w:r>
      <w:r w:rsidRPr="00E8358C">
        <w:rPr>
          <w:lang w:eastAsia="en-CA"/>
        </w:rPr>
        <w:t xml:space="preserve"> Françoise Vergès (dir.), </w:t>
      </w:r>
      <w:r w:rsidRPr="00E8358C">
        <w:rPr>
          <w:i/>
          <w:lang w:eastAsia="en-CA"/>
        </w:rPr>
        <w:t>Exposer l’esclavage. Méthodologies et pratiques</w:t>
      </w:r>
      <w:r w:rsidRPr="00E8358C">
        <w:rPr>
          <w:lang w:eastAsia="en-CA"/>
        </w:rPr>
        <w:t xml:space="preserve"> (actes du colloque international en hommage à Édouard Glissant, 11, 12 et 13 mai 2011 au musée du Quai Branly), Paris, L’Harmattan, 2013.</w:t>
      </w:r>
    </w:p>
    <w:p w:rsidR="004C50DC" w:rsidRPr="00E8358C" w:rsidRDefault="004C50DC" w:rsidP="004C50DC">
      <w:pPr>
        <w:spacing w:before="120" w:after="120"/>
        <w:jc w:val="both"/>
        <w:rPr>
          <w:lang w:eastAsia="en-CA"/>
        </w:rPr>
      </w:pPr>
      <w:r w:rsidRPr="00E8358C">
        <w:t xml:space="preserve">-----,  « Aimé Césaire et la lutte inachevée », </w:t>
      </w:r>
      <w:r w:rsidRPr="00E8358C">
        <w:rPr>
          <w:i/>
        </w:rPr>
        <w:t>Alea</w:t>
      </w:r>
      <w:r w:rsidRPr="00E8358C">
        <w:t>, vol 11, n</w:t>
      </w:r>
      <w:r w:rsidRPr="00E8358C">
        <w:rPr>
          <w:vertAlign w:val="superscript"/>
        </w:rPr>
        <w:t>o</w:t>
      </w:r>
      <w:r w:rsidRPr="00E8358C">
        <w:t xml:space="preserve"> 1, J</w:t>
      </w:r>
      <w:r w:rsidRPr="00E8358C">
        <w:t>a</w:t>
      </w:r>
      <w:r w:rsidRPr="00E8358C">
        <w:t>neiro, juin 2009, p</w:t>
      </w:r>
      <w:r>
        <w:t>p</w:t>
      </w:r>
      <w:r w:rsidRPr="00E8358C">
        <w:t>.24-34.</w:t>
      </w:r>
    </w:p>
    <w:p w:rsidR="004C50DC" w:rsidRPr="00E8358C" w:rsidRDefault="004C50DC" w:rsidP="004C50DC">
      <w:pPr>
        <w:spacing w:before="120" w:after="120"/>
        <w:jc w:val="both"/>
        <w:rPr>
          <w:lang w:eastAsia="en-CA"/>
        </w:rPr>
      </w:pPr>
      <w:r w:rsidRPr="00E8358C">
        <w:t>Verna, Chantalle-Francesca, « Maurice Dartigue, Educational R</w:t>
      </w:r>
      <w:r w:rsidRPr="00E8358C">
        <w:t>e</w:t>
      </w:r>
      <w:r w:rsidRPr="00E8358C">
        <w:t>form, and Intellectual Cooperation with the United States as a Strat</w:t>
      </w:r>
      <w:r w:rsidRPr="00E8358C">
        <w:t>e</w:t>
      </w:r>
      <w:r w:rsidRPr="00E8358C">
        <w:t xml:space="preserve">gy for Haitian National Development, 1934-46 », </w:t>
      </w:r>
      <w:r w:rsidRPr="00E8358C">
        <w:rPr>
          <w:i/>
        </w:rPr>
        <w:t>Journal of Haitian Studies</w:t>
      </w:r>
      <w:r w:rsidRPr="00E8358C">
        <w:t xml:space="preserve">, automne 2007, en ligne, </w:t>
      </w:r>
      <w:hyperlink r:id="rId202" w:history="1">
        <w:r w:rsidRPr="00E8358C">
          <w:rPr>
            <w:rStyle w:val="Lienhypertexte"/>
          </w:rPr>
          <w:t>http://www.questia.com /read/1P3-1476918131/maurice-dartigue-educational-reform-and-intellectual</w:t>
        </w:r>
      </w:hyperlink>
    </w:p>
    <w:p w:rsidR="004C50DC" w:rsidRPr="00E8358C" w:rsidRDefault="004C50DC" w:rsidP="004C50DC">
      <w:pPr>
        <w:spacing w:before="120" w:after="120"/>
        <w:jc w:val="both"/>
      </w:pPr>
      <w:r w:rsidRPr="00E8358C">
        <w:rPr>
          <w:lang w:eastAsia="en-CA"/>
        </w:rPr>
        <w:t>Veschambre, Vincent, « Le processus de patrimonialisation : rev</w:t>
      </w:r>
      <w:r w:rsidRPr="00E8358C">
        <w:rPr>
          <w:lang w:eastAsia="en-CA"/>
        </w:rPr>
        <w:t>a</w:t>
      </w:r>
      <w:r w:rsidRPr="00E8358C">
        <w:rPr>
          <w:lang w:eastAsia="en-CA"/>
        </w:rPr>
        <w:t xml:space="preserve">lorisation, appropriation et marquage de l’espace », 2007, </w:t>
      </w:r>
      <w:hyperlink r:id="rId203" w:history="1">
        <w:r w:rsidRPr="00E8358C">
          <w:rPr>
            <w:rStyle w:val="Lienhypertexte"/>
            <w:lang w:eastAsia="en-CA"/>
          </w:rPr>
          <w:t>http://cafe-geo.net/wp-content/uploads/processus-patrimonialisation.pdf</w:t>
        </w:r>
      </w:hyperlink>
    </w:p>
    <w:p w:rsidR="004C50DC" w:rsidRPr="00E8358C" w:rsidRDefault="004C50DC" w:rsidP="004C50DC">
      <w:pPr>
        <w:spacing w:before="120" w:after="120"/>
        <w:jc w:val="both"/>
      </w:pPr>
      <w:r w:rsidRPr="00E8358C">
        <w:t xml:space="preserve">Victor, Jean-Étienne, « Fondement juridique de l’instabilité en Haïti », dans Alain Yacou (dir.), </w:t>
      </w:r>
      <w:r w:rsidRPr="00E8358C">
        <w:rPr>
          <w:i/>
        </w:rPr>
        <w:t>La Caraïbe au tournant de deux si</w:t>
      </w:r>
      <w:r w:rsidRPr="00E8358C">
        <w:rPr>
          <w:i/>
        </w:rPr>
        <w:t>è</w:t>
      </w:r>
      <w:r w:rsidRPr="00E8358C">
        <w:rPr>
          <w:i/>
        </w:rPr>
        <w:t>cles</w:t>
      </w:r>
      <w:r w:rsidRPr="00E8358C">
        <w:t>, Paris, Karthala, 2004.</w:t>
      </w:r>
    </w:p>
    <w:p w:rsidR="004C50DC" w:rsidRPr="00E8358C" w:rsidRDefault="004C50DC" w:rsidP="004C50DC">
      <w:pPr>
        <w:spacing w:before="120" w:after="120"/>
        <w:jc w:val="both"/>
      </w:pPr>
      <w:r w:rsidRPr="00E8358C">
        <w:t xml:space="preserve">Vieux, Lucmane, « Price-Mars expulsé de l’indigénisme », </w:t>
      </w:r>
      <w:r w:rsidRPr="00E8358C">
        <w:rPr>
          <w:i/>
        </w:rPr>
        <w:t>Le Nouvelliste</w:t>
      </w:r>
      <w:r w:rsidRPr="00E8358C">
        <w:t xml:space="preserve">, 24 février 2012, en ligne, </w:t>
      </w:r>
      <w:hyperlink r:id="rId204" w:history="1">
        <w:r w:rsidRPr="00E8358C">
          <w:rPr>
            <w:rStyle w:val="Lienhypertexte"/>
          </w:rPr>
          <w:t>http://lenouvelliste.com/lenouvelliste/article/102799/Price-Mars-expulse-de-lindigenisme</w:t>
        </w:r>
      </w:hyperlink>
    </w:p>
    <w:p w:rsidR="004C50DC" w:rsidRPr="00E8358C" w:rsidRDefault="004C50DC" w:rsidP="004C50DC">
      <w:pPr>
        <w:spacing w:before="120" w:after="120"/>
        <w:jc w:val="both"/>
      </w:pPr>
      <w:r w:rsidRPr="00E8358C">
        <w:rPr>
          <w:rFonts w:eastAsia="Calibri"/>
          <w:bCs/>
        </w:rPr>
        <w:t>Vihalem, Margus, « Qu’est-ce qu’une subjectivation ? Les rapports entre le savoir, le pouvoir et le sujet dans la pensée de Michel Fo</w:t>
      </w:r>
      <w:r w:rsidRPr="00E8358C">
        <w:rPr>
          <w:rFonts w:eastAsia="Calibri"/>
          <w:bCs/>
        </w:rPr>
        <w:t>u</w:t>
      </w:r>
      <w:r w:rsidRPr="00E8358C">
        <w:rPr>
          <w:rFonts w:eastAsia="Calibri"/>
          <w:bCs/>
        </w:rPr>
        <w:t xml:space="preserve">cault », </w:t>
      </w:r>
      <w:r w:rsidRPr="00E8358C">
        <w:rPr>
          <w:rFonts w:eastAsia="Calibri"/>
          <w:bCs/>
          <w:i/>
        </w:rPr>
        <w:t>Synergies</w:t>
      </w:r>
      <w:r w:rsidRPr="00E8358C">
        <w:rPr>
          <w:rFonts w:eastAsia="Calibri"/>
          <w:b/>
          <w:bCs/>
        </w:rPr>
        <w:t xml:space="preserve"> – </w:t>
      </w:r>
      <w:r w:rsidRPr="00E8358C">
        <w:rPr>
          <w:rFonts w:eastAsia="Calibri"/>
          <w:i/>
          <w:iCs/>
        </w:rPr>
        <w:t xml:space="preserve">Pays Riverains de la Baltique, </w:t>
      </w:r>
      <w:r w:rsidRPr="00E8358C">
        <w:rPr>
          <w:rFonts w:eastAsia="Calibri"/>
        </w:rPr>
        <w:t xml:space="preserve">n° 8, 2011, </w:t>
      </w:r>
      <w:r>
        <w:rPr>
          <w:rFonts w:eastAsia="Calibri"/>
        </w:rPr>
        <w:t>p</w:t>
      </w:r>
      <w:r w:rsidRPr="00E8358C">
        <w:rPr>
          <w:rFonts w:eastAsia="Calibri"/>
        </w:rPr>
        <w:t>p. 89-100.</w:t>
      </w:r>
    </w:p>
    <w:p w:rsidR="004C50DC" w:rsidRPr="00E8358C" w:rsidRDefault="004C50DC" w:rsidP="004C50DC">
      <w:pPr>
        <w:spacing w:before="120" w:after="120"/>
        <w:jc w:val="both"/>
      </w:pPr>
      <w:r w:rsidRPr="00E8358C">
        <w:rPr>
          <w:iCs/>
        </w:rPr>
        <w:t xml:space="preserve">Villepin, Dominique de, </w:t>
      </w:r>
      <w:r w:rsidRPr="00E8358C">
        <w:t xml:space="preserve">« Avant-propos », dans Édouard Glissant, </w:t>
      </w:r>
      <w:r w:rsidRPr="00E8358C">
        <w:rPr>
          <w:i/>
        </w:rPr>
        <w:t>Mémoires des esclavages. La fondation d’un centre national pour la mémoire des esclavages et de leurs abolitions</w:t>
      </w:r>
      <w:r w:rsidRPr="00E8358C">
        <w:t xml:space="preserve">, Paris, Gallimard, La Documentation française,  2007, </w:t>
      </w:r>
      <w:r w:rsidRPr="00E8358C">
        <w:rPr>
          <w:iCs/>
        </w:rPr>
        <w:t>p</w:t>
      </w:r>
      <w:r>
        <w:rPr>
          <w:iCs/>
        </w:rPr>
        <w:t>p</w:t>
      </w:r>
      <w:r w:rsidRPr="00E8358C">
        <w:rPr>
          <w:iCs/>
        </w:rPr>
        <w:t>. 12-13</w:t>
      </w:r>
      <w:r w:rsidRPr="00E8358C">
        <w:t>.</w:t>
      </w:r>
    </w:p>
    <w:p w:rsidR="004C50DC" w:rsidRPr="00E8358C" w:rsidRDefault="004C50DC" w:rsidP="004C50DC">
      <w:pPr>
        <w:spacing w:before="120" w:after="120"/>
        <w:jc w:val="both"/>
      </w:pPr>
      <w:r w:rsidRPr="00E8358C">
        <w:t xml:space="preserve">Vincent, Sténio et L.C. Lhérisson, </w:t>
      </w:r>
      <w:r w:rsidRPr="00E8358C">
        <w:rPr>
          <w:i/>
        </w:rPr>
        <w:t>La législation de l’instruction publique de la République d’Haïti (1804-1895)</w:t>
      </w:r>
      <w:r w:rsidRPr="00E8358C">
        <w:t>, Paris, première éd</w:t>
      </w:r>
      <w:r w:rsidRPr="00E8358C">
        <w:t>i</w:t>
      </w:r>
      <w:r w:rsidRPr="00E8358C">
        <w:t>tion Vve Ch. Dunod &amp; Vicq, Quai des Grands-Augustins, 1898.</w:t>
      </w:r>
    </w:p>
    <w:p w:rsidR="004C50DC" w:rsidRPr="00E8358C" w:rsidRDefault="004C50DC" w:rsidP="004C50DC">
      <w:pPr>
        <w:spacing w:before="120" w:after="120"/>
        <w:jc w:val="both"/>
      </w:pPr>
      <w:r w:rsidRPr="00E8358C">
        <w:t xml:space="preserve">Walcott, Derek, « The Muse of History », dans Orde Coombs (éd.), </w:t>
      </w:r>
      <w:r w:rsidRPr="00E8358C">
        <w:rPr>
          <w:i/>
          <w:iCs/>
        </w:rPr>
        <w:t>Is Massa Day Dead </w:t>
      </w:r>
      <w:r w:rsidRPr="00E8358C">
        <w:rPr>
          <w:i/>
        </w:rPr>
        <w:t>? Black Moods in the Caribbean,</w:t>
      </w:r>
      <w:r w:rsidRPr="00E8358C">
        <w:t xml:space="preserve"> New-York, A</w:t>
      </w:r>
      <w:r w:rsidRPr="00E8358C">
        <w:t>n</w:t>
      </w:r>
      <w:r w:rsidRPr="00E8358C">
        <w:t xml:space="preserve">chor, 1974, </w:t>
      </w:r>
      <w:r>
        <w:t>p</w:t>
      </w:r>
      <w:r w:rsidRPr="00E8358C">
        <w:t>p. 1-27.</w:t>
      </w:r>
    </w:p>
    <w:p w:rsidR="004C50DC" w:rsidRPr="00E8358C" w:rsidRDefault="004C50DC" w:rsidP="004C50DC">
      <w:pPr>
        <w:spacing w:before="120" w:after="120"/>
        <w:jc w:val="both"/>
      </w:pPr>
      <w:r w:rsidRPr="00E8358C">
        <w:t xml:space="preserve">-------, « The Royal Palms… an absence of ruins », </w:t>
      </w:r>
      <w:r w:rsidRPr="00E8358C">
        <w:rPr>
          <w:i/>
        </w:rPr>
        <w:t>London Mag</w:t>
      </w:r>
      <w:r w:rsidRPr="00E8358C">
        <w:rPr>
          <w:i/>
        </w:rPr>
        <w:t>a</w:t>
      </w:r>
      <w:r w:rsidRPr="00E8358C">
        <w:rPr>
          <w:i/>
        </w:rPr>
        <w:t>zine</w:t>
      </w:r>
      <w:r w:rsidRPr="00E8358C">
        <w:t xml:space="preserve"> vol. 1, n</w:t>
      </w:r>
      <w:r w:rsidRPr="00E8358C">
        <w:rPr>
          <w:vertAlign w:val="superscript"/>
        </w:rPr>
        <w:t>o</w:t>
      </w:r>
      <w:r w:rsidRPr="00E8358C">
        <w:t xml:space="preserve"> 11, 1962, </w:t>
      </w:r>
      <w:r>
        <w:t>p</w:t>
      </w:r>
      <w:r w:rsidRPr="00E8358C">
        <w:t>p. 12-13.</w:t>
      </w:r>
    </w:p>
    <w:p w:rsidR="004C50DC" w:rsidRPr="00E8358C" w:rsidRDefault="004C50DC" w:rsidP="004C50DC">
      <w:pPr>
        <w:spacing w:before="120" w:after="120"/>
        <w:jc w:val="both"/>
      </w:pPr>
      <w:r w:rsidRPr="00E8358C">
        <w:t>Wallon, Emmanuel, « La démocratisation culturelle, un horizon d’action », C</w:t>
      </w:r>
      <w:r w:rsidRPr="00E8358C">
        <w:rPr>
          <w:i/>
          <w:iCs/>
        </w:rPr>
        <w:t xml:space="preserve">ahiers français, </w:t>
      </w:r>
      <w:r w:rsidRPr="00E8358C">
        <w:t>n</w:t>
      </w:r>
      <w:r w:rsidRPr="00E8358C">
        <w:rPr>
          <w:vertAlign w:val="superscript"/>
        </w:rPr>
        <w:t>o</w:t>
      </w:r>
      <w:r w:rsidRPr="00E8358C">
        <w:t xml:space="preserve"> 348, 2009, </w:t>
      </w:r>
      <w:r>
        <w:t>p</w:t>
      </w:r>
      <w:r w:rsidRPr="00E8358C">
        <w:t>p. 79-86.</w:t>
      </w:r>
    </w:p>
    <w:p w:rsidR="004C50DC" w:rsidRPr="00E8358C" w:rsidRDefault="004C50DC" w:rsidP="004C50DC">
      <w:pPr>
        <w:spacing w:before="120" w:after="120"/>
        <w:jc w:val="both"/>
      </w:pPr>
      <w:r w:rsidRPr="00E8358C">
        <w:t xml:space="preserve">Wainwright, Édith, </w:t>
      </w:r>
      <w:r w:rsidRPr="00E8358C">
        <w:rPr>
          <w:i/>
        </w:rPr>
        <w:t xml:space="preserve">Culture haïtienne à travers des textes choisis. Manuel d’enseignement, </w:t>
      </w:r>
      <w:r>
        <w:t xml:space="preserve">[494] </w:t>
      </w:r>
      <w:r w:rsidRPr="00E8358C">
        <w:t>Coconut Creek, Educa Vision Inc., 2001.</w:t>
      </w:r>
    </w:p>
    <w:p w:rsidR="004C50DC" w:rsidRPr="00E8358C" w:rsidRDefault="004C50DC" w:rsidP="004C50DC">
      <w:pPr>
        <w:spacing w:before="120" w:after="120"/>
        <w:jc w:val="both"/>
      </w:pPr>
      <w:r w:rsidRPr="00E8358C">
        <w:t xml:space="preserve">Warnier, Jean-Pierre, </w:t>
      </w:r>
      <w:r w:rsidRPr="00E8358C">
        <w:rPr>
          <w:i/>
        </w:rPr>
        <w:t>Construire la culture matérielle. L’homme qui pensait avec ses doigts</w:t>
      </w:r>
      <w:r w:rsidRPr="00E8358C">
        <w:t xml:space="preserve">, Paris, Presses universitaires de France, 1999. </w:t>
      </w:r>
    </w:p>
    <w:p w:rsidR="004C50DC" w:rsidRPr="00E8358C" w:rsidRDefault="004C50DC" w:rsidP="004C50DC">
      <w:pPr>
        <w:spacing w:before="120" w:after="120"/>
        <w:jc w:val="both"/>
      </w:pPr>
      <w:r w:rsidRPr="00E8358C">
        <w:t xml:space="preserve">-------, « Les technologies du sujet », </w:t>
      </w:r>
      <w:r w:rsidRPr="00E8358C">
        <w:rPr>
          <w:i/>
        </w:rPr>
        <w:t xml:space="preserve">Techniques &amp; Culture </w:t>
      </w:r>
      <w:r w:rsidRPr="00E8358C">
        <w:t>n</w:t>
      </w:r>
      <w:r w:rsidRPr="00E8358C">
        <w:rPr>
          <w:vertAlign w:val="superscript"/>
        </w:rPr>
        <w:t>os</w:t>
      </w:r>
      <w:r w:rsidRPr="00E8358C">
        <w:t xml:space="preserve"> 52-53, 2009, document 5, en ligne, </w:t>
      </w:r>
      <w:hyperlink r:id="rId205" w:history="1">
        <w:r w:rsidRPr="00E8358C">
          <w:rPr>
            <w:rStyle w:val="Lienhypertexte"/>
          </w:rPr>
          <w:t>http://tc.revues.org/4853</w:t>
        </w:r>
      </w:hyperlink>
    </w:p>
    <w:p w:rsidR="004C50DC" w:rsidRPr="00E8358C" w:rsidRDefault="004C50DC" w:rsidP="004C50DC">
      <w:pPr>
        <w:spacing w:before="120" w:after="120"/>
        <w:jc w:val="both"/>
      </w:pPr>
      <w:r w:rsidRPr="00E8358C">
        <w:t xml:space="preserve">Wesner, Emmanuel, </w:t>
      </w:r>
      <w:r w:rsidRPr="00E8358C">
        <w:rPr>
          <w:i/>
        </w:rPr>
        <w:t>La Période révolutionnaire à Saint-Domingue et en France (1789-1804) : classe de seconde et de rhéto,</w:t>
      </w:r>
      <w:r w:rsidRPr="00E8358C">
        <w:t xml:space="preserve"> Port-au-Prince, Fardin, 1981.</w:t>
      </w:r>
    </w:p>
    <w:p w:rsidR="004C50DC" w:rsidRPr="00E8358C" w:rsidRDefault="004C50DC" w:rsidP="004C50DC">
      <w:pPr>
        <w:spacing w:before="120" w:after="120"/>
        <w:jc w:val="both"/>
      </w:pPr>
      <w:r w:rsidRPr="00E8358C">
        <w:t xml:space="preserve">Wimpffen, Alexandre-Stanislas de, </w:t>
      </w:r>
      <w:r w:rsidRPr="00E8358C">
        <w:rPr>
          <w:i/>
        </w:rPr>
        <w:t>Haïti au XVIII</w:t>
      </w:r>
      <w:r w:rsidRPr="00E8358C">
        <w:rPr>
          <w:i/>
          <w:vertAlign w:val="superscript"/>
        </w:rPr>
        <w:t>e</w:t>
      </w:r>
      <w:r w:rsidRPr="00E8358C">
        <w:rPr>
          <w:i/>
        </w:rPr>
        <w:t xml:space="preserve"> siècle. Richesse et esclavage dans une colonie française</w:t>
      </w:r>
      <w:r w:rsidRPr="00E8358C">
        <w:t>, Paris, Karthala, 1993.</w:t>
      </w:r>
    </w:p>
    <w:p w:rsidR="004C50DC" w:rsidRPr="00E8358C" w:rsidRDefault="004C50DC" w:rsidP="004C50DC">
      <w:pPr>
        <w:spacing w:before="120" w:after="120"/>
        <w:jc w:val="both"/>
      </w:pPr>
      <w:r w:rsidRPr="00E8358C">
        <w:t xml:space="preserve">Wright, Richard, « Introduction », dans St.-Clair Drake et Horace R. Cayton, </w:t>
      </w:r>
      <w:r w:rsidRPr="00E8358C">
        <w:rPr>
          <w:i/>
        </w:rPr>
        <w:t>Black Metropolis : A study of Negro Life in Northern City</w:t>
      </w:r>
      <w:r w:rsidRPr="00E8358C">
        <w:t xml:space="preserve">, Harcourt, Brace and Company, San Diego (CA), 1945. </w:t>
      </w:r>
    </w:p>
    <w:p w:rsidR="004C50DC" w:rsidRPr="00E8358C" w:rsidRDefault="004C50DC" w:rsidP="004C50DC">
      <w:pPr>
        <w:spacing w:before="120" w:after="120"/>
        <w:jc w:val="both"/>
      </w:pPr>
      <w:r w:rsidRPr="00E8358C">
        <w:t>-------,</w:t>
      </w:r>
      <w:r w:rsidRPr="00E8358C">
        <w:rPr>
          <w:i/>
          <w:iCs/>
          <w:lang w:eastAsia="en-CA"/>
        </w:rPr>
        <w:t xml:space="preserve"> White Man, Listen !</w:t>
      </w:r>
      <w:r w:rsidRPr="00E8358C">
        <w:rPr>
          <w:lang w:eastAsia="en-CA"/>
        </w:rPr>
        <w:t xml:space="preserve"> New York, Doubleday, 1957.</w:t>
      </w:r>
    </w:p>
    <w:p w:rsidR="004C50DC" w:rsidRPr="00E8358C" w:rsidRDefault="004C50DC" w:rsidP="004C50DC">
      <w:pPr>
        <w:spacing w:before="120" w:after="120"/>
        <w:jc w:val="both"/>
      </w:pPr>
      <w:r w:rsidRPr="00E8358C">
        <w:rPr>
          <w:bCs/>
        </w:rPr>
        <w:t xml:space="preserve">Yacou, Alain, </w:t>
      </w:r>
      <w:r w:rsidRPr="00E8358C">
        <w:t>« Plantation et contre-plantation, foyers de “l’insurgence” nègre à Cuba dans la première moitié du XIX</w:t>
      </w:r>
      <w:r w:rsidRPr="00E8358C">
        <w:rPr>
          <w:vertAlign w:val="superscript"/>
        </w:rPr>
        <w:t>e</w:t>
      </w:r>
      <w:r w:rsidRPr="00E8358C">
        <w:t xml:space="preserve"> siècle », dans Maurice Burac et Danielle Bégot (dir.), </w:t>
      </w:r>
      <w:r w:rsidRPr="00E8358C">
        <w:rPr>
          <w:i/>
        </w:rPr>
        <w:t xml:space="preserve">L’habitation/plantation. Héritages et mutations. Caraïbe-Amérique, </w:t>
      </w:r>
      <w:r w:rsidRPr="00E8358C">
        <w:t>Paris, Karthala, 2011</w:t>
      </w:r>
      <w:r w:rsidRPr="00E8358C">
        <w:rPr>
          <w:bCs/>
        </w:rPr>
        <w:t>, p</w:t>
      </w:r>
      <w:r>
        <w:rPr>
          <w:bCs/>
        </w:rPr>
        <w:t>p</w:t>
      </w:r>
      <w:r w:rsidRPr="00E8358C">
        <w:rPr>
          <w:bCs/>
        </w:rPr>
        <w:t>. 37-64.</w:t>
      </w:r>
    </w:p>
    <w:p w:rsidR="004C50DC" w:rsidRPr="00E8358C" w:rsidRDefault="004C50DC" w:rsidP="004C50DC">
      <w:pPr>
        <w:spacing w:before="120" w:after="120"/>
        <w:jc w:val="both"/>
      </w:pPr>
      <w:r w:rsidRPr="00E8358C">
        <w:t xml:space="preserve">Yverose, Moïse et al., </w:t>
      </w:r>
      <w:r w:rsidRPr="00E8358C">
        <w:rPr>
          <w:i/>
        </w:rPr>
        <w:t>Bois-Caïman</w:t>
      </w:r>
      <w:r w:rsidRPr="00E8358C">
        <w:t xml:space="preserve">, en ligne, </w:t>
      </w:r>
      <w:hyperlink r:id="rId206" w:history="1">
        <w:r w:rsidRPr="00E8358C">
          <w:rPr>
            <w:rStyle w:val="Lienhypertexte"/>
          </w:rPr>
          <w:t>http://www.ipimh.ulaval.ca/fiche-bois-caiman-30.html</w:t>
        </w:r>
      </w:hyperlink>
      <w:r w:rsidRPr="00E8358C">
        <w:t>, 2013.</w:t>
      </w:r>
    </w:p>
    <w:p w:rsidR="004C50DC" w:rsidRPr="007F5D4F" w:rsidRDefault="004C50DC" w:rsidP="004C50DC">
      <w:pPr>
        <w:spacing w:before="120" w:after="120"/>
        <w:jc w:val="both"/>
        <w:rPr>
          <w:bCs/>
        </w:rPr>
      </w:pPr>
      <w:r w:rsidRPr="007F5D4F">
        <w:rPr>
          <w:bCs/>
        </w:rPr>
        <w:t xml:space="preserve">Zurara, Gomes Eanes de, </w:t>
      </w:r>
      <w:r w:rsidRPr="007F5D4F">
        <w:rPr>
          <w:bCs/>
          <w:i/>
          <w:iCs/>
        </w:rPr>
        <w:t>Chronique de Guinée (1453)</w:t>
      </w:r>
      <w:r w:rsidRPr="007F5D4F">
        <w:rPr>
          <w:bCs/>
        </w:rPr>
        <w:t xml:space="preserve"> (traduction et annotations de Léon Bourdon), Paris, Chandeigne, 1994 [1934].</w:t>
      </w:r>
    </w:p>
    <w:p w:rsidR="004C50DC" w:rsidRPr="00E8358C" w:rsidRDefault="004C50DC" w:rsidP="004C50DC">
      <w:pPr>
        <w:pStyle w:val="p"/>
      </w:pPr>
      <w:r w:rsidRPr="00E8358C">
        <w:br w:type="page"/>
        <w:t>[49</w:t>
      </w:r>
      <w:r>
        <w:t>5</w:t>
      </w:r>
      <w:r w:rsidRPr="00E8358C">
        <w:t>]</w:t>
      </w: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81" w:name="_Toc442280642"/>
      <w:bookmarkStart w:id="582" w:name="Memoire_annexes"/>
      <w:r w:rsidRPr="00EF76C4">
        <w:rPr>
          <w:b/>
          <w:sz w:val="24"/>
        </w:rPr>
        <w:t>Mémoire de l’esclavage en Haïti.</w:t>
      </w:r>
    </w:p>
    <w:p w:rsidR="004C50DC" w:rsidRPr="00E8358C" w:rsidRDefault="004C50DC" w:rsidP="004C50DC">
      <w:pPr>
        <w:spacing w:before="120" w:after="120"/>
        <w:ind w:firstLine="0"/>
        <w:jc w:val="center"/>
      </w:pPr>
      <w:r w:rsidRPr="00EF66E8">
        <w:rPr>
          <w:sz w:val="96"/>
        </w:rPr>
        <w:t>ANNEXES</w:t>
      </w:r>
      <w:bookmarkEnd w:id="581"/>
    </w:p>
    <w:bookmarkEnd w:id="582"/>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p>
    <w:p w:rsidR="004C50DC" w:rsidRPr="00E8358C" w:rsidRDefault="004C50DC" w:rsidP="004C50DC">
      <w:pPr>
        <w:pStyle w:val="p"/>
      </w:pPr>
      <w:r w:rsidRPr="00E8358C">
        <w:br w:type="page"/>
        <w:t>[49</w:t>
      </w:r>
      <w:r>
        <w:t>6</w:t>
      </w:r>
      <w:r w:rsidRPr="00E8358C">
        <w:t>]</w:t>
      </w: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83" w:name="_Toc406489829"/>
      <w:bookmarkStart w:id="584" w:name="_Toc442280643"/>
      <w:bookmarkStart w:id="585" w:name="Memoire_annexes_I"/>
      <w:r w:rsidRPr="00EF76C4">
        <w:rPr>
          <w:b/>
          <w:sz w:val="24"/>
        </w:rPr>
        <w:t>Mémoire de l’esclavage en Haïti.</w:t>
      </w:r>
    </w:p>
    <w:p w:rsidR="004C50DC" w:rsidRPr="00E8358C" w:rsidRDefault="004C50DC" w:rsidP="004C50DC">
      <w:pPr>
        <w:pStyle w:val="planche"/>
      </w:pPr>
      <w:r w:rsidRPr="00E8358C">
        <w:t>Annexe I</w:t>
      </w:r>
      <w:bookmarkEnd w:id="583"/>
      <w:bookmarkEnd w:id="584"/>
    </w:p>
    <w:bookmarkEnd w:id="585"/>
    <w:p w:rsidR="004C50DC" w:rsidRDefault="004C50DC" w:rsidP="004C50DC">
      <w:pPr>
        <w:spacing w:before="120" w:after="120"/>
        <w:jc w:val="both"/>
        <w:rPr>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rPr>
          <w:lang w:eastAsia="fr-FR"/>
        </w:rPr>
      </w:pPr>
    </w:p>
    <w:p w:rsidR="004C50DC" w:rsidRPr="00E8358C" w:rsidRDefault="009B614B" w:rsidP="004C50DC">
      <w:pPr>
        <w:pStyle w:val="fig"/>
      </w:pPr>
      <w:r w:rsidRPr="00E8358C">
        <w:rPr>
          <w:noProof/>
          <w:lang w:eastAsia="fr-FR"/>
        </w:rPr>
        <w:drawing>
          <wp:inline distT="0" distB="0" distL="0" distR="0">
            <wp:extent cx="3012440" cy="3582035"/>
            <wp:effectExtent l="0" t="0" r="0" b="0"/>
            <wp:docPr id="57" name="Image 46" descr="IMG_1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IMG_1405"/>
                    <pic:cNvPicPr>
                      <a:picLocks/>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12440" cy="3582035"/>
                    </a:xfrm>
                    <a:prstGeom prst="rect">
                      <a:avLst/>
                    </a:prstGeom>
                    <a:noFill/>
                    <a:ln>
                      <a:noFill/>
                    </a:ln>
                  </pic:spPr>
                </pic:pic>
              </a:graphicData>
            </a:graphic>
          </wp:inline>
        </w:drawing>
      </w:r>
    </w:p>
    <w:p w:rsidR="004C50DC" w:rsidRPr="00E8358C" w:rsidRDefault="004C50DC" w:rsidP="004C50DC">
      <w:pPr>
        <w:spacing w:before="120" w:after="120"/>
        <w:jc w:val="both"/>
      </w:pPr>
      <w:r w:rsidRPr="00E8358C">
        <w:rPr>
          <w:i/>
        </w:rPr>
        <w:t>État général des Nègres et Négresses en date du 1</w:t>
      </w:r>
      <w:r w:rsidRPr="00E8358C">
        <w:rPr>
          <w:i/>
          <w:vertAlign w:val="superscript"/>
        </w:rPr>
        <w:t>er</w:t>
      </w:r>
      <w:r w:rsidRPr="00E8358C">
        <w:rPr>
          <w:i/>
        </w:rPr>
        <w:t xml:space="preserve"> janvier 1791, habitation appartenant à la famille Ménoire et Beaujau au quartier Morin</w:t>
      </w:r>
      <w:r w:rsidRPr="00E8358C">
        <w:t>. (À la ligne 7 figure un Amérindien du nom d’Actis, âgé de 36 ans, comme maître sucrier.) Archives municipales de Bordeaux, Fonds Barbes, 210 S 112.</w:t>
      </w:r>
    </w:p>
    <w:p w:rsidR="004C50DC" w:rsidRPr="00E8358C" w:rsidRDefault="004C50DC" w:rsidP="004C50DC">
      <w:pPr>
        <w:spacing w:before="120" w:after="120"/>
        <w:jc w:val="both"/>
      </w:pPr>
    </w:p>
    <w:p w:rsidR="004C50DC" w:rsidRPr="00E8358C" w:rsidRDefault="004C50DC" w:rsidP="004C50DC">
      <w:pPr>
        <w:pStyle w:val="p"/>
      </w:pPr>
      <w:r w:rsidRPr="00E8358C">
        <w:br w:type="page"/>
        <w:t>[49</w:t>
      </w:r>
      <w:r>
        <w:t>7</w:t>
      </w:r>
      <w:r w:rsidRPr="00E8358C">
        <w:t>]</w:t>
      </w: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86" w:name="_Toc406489830"/>
      <w:bookmarkStart w:id="587" w:name="_Toc442280644"/>
      <w:bookmarkStart w:id="588" w:name="Memoire_annexes_II"/>
      <w:r w:rsidRPr="00EF76C4">
        <w:rPr>
          <w:b/>
          <w:sz w:val="24"/>
        </w:rPr>
        <w:t>Mémoire de l’esclavage en Haïti.</w:t>
      </w:r>
    </w:p>
    <w:p w:rsidR="004C50DC" w:rsidRPr="00E8358C" w:rsidRDefault="004C50DC" w:rsidP="004C50DC">
      <w:pPr>
        <w:pStyle w:val="planche"/>
      </w:pPr>
      <w:r w:rsidRPr="00E8358C">
        <w:t>Annexe II</w:t>
      </w:r>
      <w:bookmarkEnd w:id="586"/>
      <w:bookmarkEnd w:id="587"/>
    </w:p>
    <w:bookmarkEnd w:id="588"/>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Ce tableau présente plus d’une vingtaine d’ouvrages et manuels traitant de l’histoire et de la géographie d’Haïti, publiés de 1814 à 1924 par des auteurs haïtiens ou des historiens de Saint-Domingue.</w:t>
      </w:r>
    </w:p>
    <w:p w:rsidR="004C50DC" w:rsidRPr="00E8358C" w:rsidRDefault="004C50DC" w:rsidP="004C50DC">
      <w:pPr>
        <w:spacing w:before="120" w:after="12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2743"/>
        <w:gridCol w:w="2697"/>
      </w:tblGrid>
      <w:tr w:rsidR="004C50DC" w:rsidRPr="00E8358C">
        <w:trPr>
          <w:tblHeader/>
        </w:trPr>
        <w:tc>
          <w:tcPr>
            <w:tcW w:w="2696" w:type="dxa"/>
            <w:shd w:val="clear" w:color="auto" w:fill="F2EED5"/>
          </w:tcPr>
          <w:p w:rsidR="004C50DC" w:rsidRPr="00EF66E8" w:rsidRDefault="004C50DC" w:rsidP="004C50DC">
            <w:pPr>
              <w:spacing w:before="60" w:after="60"/>
              <w:ind w:firstLine="0"/>
              <w:rPr>
                <w:b/>
                <w:sz w:val="24"/>
              </w:rPr>
            </w:pPr>
            <w:r w:rsidRPr="00EF66E8">
              <w:rPr>
                <w:b/>
                <w:sz w:val="24"/>
              </w:rPr>
              <w:t>Année et édition</w:t>
            </w:r>
          </w:p>
        </w:tc>
        <w:tc>
          <w:tcPr>
            <w:tcW w:w="2743" w:type="dxa"/>
            <w:shd w:val="clear" w:color="auto" w:fill="F2EED5"/>
          </w:tcPr>
          <w:p w:rsidR="004C50DC" w:rsidRPr="00EF66E8" w:rsidRDefault="004C50DC" w:rsidP="004C50DC">
            <w:pPr>
              <w:spacing w:before="60" w:after="60"/>
              <w:ind w:firstLine="0"/>
              <w:rPr>
                <w:b/>
                <w:sz w:val="24"/>
              </w:rPr>
            </w:pPr>
            <w:r w:rsidRPr="00EF66E8">
              <w:rPr>
                <w:b/>
                <w:sz w:val="24"/>
              </w:rPr>
              <w:t>Ouvrages</w:t>
            </w:r>
          </w:p>
        </w:tc>
        <w:tc>
          <w:tcPr>
            <w:tcW w:w="2697" w:type="dxa"/>
            <w:shd w:val="clear" w:color="auto" w:fill="F2EED5"/>
          </w:tcPr>
          <w:p w:rsidR="004C50DC" w:rsidRPr="00EF66E8" w:rsidRDefault="004C50DC" w:rsidP="004C50DC">
            <w:pPr>
              <w:spacing w:before="60" w:after="60"/>
              <w:ind w:firstLine="0"/>
              <w:rPr>
                <w:b/>
                <w:sz w:val="24"/>
              </w:rPr>
            </w:pPr>
            <w:r w:rsidRPr="00EF66E8">
              <w:rPr>
                <w:b/>
                <w:sz w:val="24"/>
              </w:rPr>
              <w:t xml:space="preserve">Auteurs </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 xml:space="preserve">1814, Cap-Haïtien, Chez P. Roux, imprimeur du Roi. </w:t>
            </w:r>
          </w:p>
          <w:p w:rsidR="004C50DC" w:rsidRPr="00EF66E8" w:rsidRDefault="004C50DC" w:rsidP="004C50DC">
            <w:pPr>
              <w:spacing w:before="60" w:after="60"/>
              <w:ind w:firstLine="0"/>
              <w:rPr>
                <w:sz w:val="24"/>
              </w:rPr>
            </w:pPr>
            <w:r w:rsidRPr="00EF66E8">
              <w:rPr>
                <w:sz w:val="24"/>
              </w:rPr>
              <w:t>1816, Cap-Haïtien, Chez P. Roux, imprimeur du Roi.</w:t>
            </w:r>
          </w:p>
        </w:tc>
        <w:tc>
          <w:tcPr>
            <w:tcW w:w="2743" w:type="dxa"/>
          </w:tcPr>
          <w:p w:rsidR="004C50DC" w:rsidRPr="00EF66E8" w:rsidRDefault="004C50DC" w:rsidP="004C50DC">
            <w:pPr>
              <w:spacing w:before="60" w:after="60"/>
              <w:ind w:firstLine="0"/>
              <w:rPr>
                <w:i/>
                <w:sz w:val="24"/>
              </w:rPr>
            </w:pPr>
            <w:r w:rsidRPr="00EF66E8">
              <w:rPr>
                <w:i/>
                <w:sz w:val="24"/>
              </w:rPr>
              <w:t>Le système colonial d</w:t>
            </w:r>
            <w:r w:rsidRPr="00EF66E8">
              <w:rPr>
                <w:i/>
                <w:sz w:val="24"/>
              </w:rPr>
              <w:t>é</w:t>
            </w:r>
            <w:r w:rsidRPr="00EF66E8">
              <w:rPr>
                <w:i/>
                <w:sz w:val="24"/>
              </w:rPr>
              <w:t>voilé</w:t>
            </w:r>
          </w:p>
          <w:p w:rsidR="004C50DC" w:rsidRPr="00EF66E8" w:rsidRDefault="004C50DC" w:rsidP="004C50DC">
            <w:pPr>
              <w:spacing w:before="60" w:after="60"/>
              <w:ind w:firstLine="0"/>
              <w:rPr>
                <w:sz w:val="24"/>
              </w:rPr>
            </w:pPr>
          </w:p>
          <w:p w:rsidR="004C50DC" w:rsidRPr="00EF66E8" w:rsidRDefault="004C50DC" w:rsidP="004C50DC">
            <w:pPr>
              <w:spacing w:before="60" w:after="60"/>
              <w:ind w:firstLine="0"/>
              <w:rPr>
                <w:sz w:val="24"/>
              </w:rPr>
            </w:pPr>
            <w:r w:rsidRPr="00EF66E8">
              <w:rPr>
                <w:sz w:val="24"/>
              </w:rPr>
              <w:t>Réflexions sur une lettre de Mazères, ex-colon français, adre</w:t>
            </w:r>
            <w:r w:rsidRPr="00EF66E8">
              <w:rPr>
                <w:sz w:val="24"/>
              </w:rPr>
              <w:t>s</w:t>
            </w:r>
            <w:r w:rsidRPr="00EF66E8">
              <w:rPr>
                <w:sz w:val="24"/>
              </w:rPr>
              <w:t>sée à M.J.C.L. Si</w:t>
            </w:r>
            <w:r w:rsidRPr="00EF66E8">
              <w:rPr>
                <w:sz w:val="24"/>
              </w:rPr>
              <w:t>s</w:t>
            </w:r>
            <w:r w:rsidRPr="00EF66E8">
              <w:rPr>
                <w:sz w:val="24"/>
              </w:rPr>
              <w:t>monde de Sismondi, sur les noirs et les blancs, la civilisation de l’Afrique, le royaume d'Hayti</w:t>
            </w:r>
          </w:p>
        </w:tc>
        <w:tc>
          <w:tcPr>
            <w:tcW w:w="2697" w:type="dxa"/>
          </w:tcPr>
          <w:p w:rsidR="004C50DC" w:rsidRPr="00EF66E8" w:rsidRDefault="004C50DC" w:rsidP="004C50DC">
            <w:pPr>
              <w:spacing w:before="60" w:after="60"/>
              <w:ind w:firstLine="0"/>
              <w:rPr>
                <w:sz w:val="24"/>
              </w:rPr>
            </w:pPr>
            <w:r w:rsidRPr="00EF66E8">
              <w:rPr>
                <w:sz w:val="24"/>
              </w:rPr>
              <w:t>Baron De Vastey</w:t>
            </w:r>
          </w:p>
        </w:tc>
      </w:tr>
      <w:tr w:rsidR="004C50DC" w:rsidRPr="00D16C45">
        <w:tc>
          <w:tcPr>
            <w:tcW w:w="2696" w:type="dxa"/>
          </w:tcPr>
          <w:p w:rsidR="004C50DC" w:rsidRPr="00EF66E8" w:rsidRDefault="004C50DC" w:rsidP="004C50DC">
            <w:pPr>
              <w:spacing w:before="60" w:after="60"/>
              <w:ind w:firstLine="0"/>
              <w:rPr>
                <w:sz w:val="24"/>
              </w:rPr>
            </w:pPr>
            <w:r w:rsidRPr="00EF66E8">
              <w:rPr>
                <w:sz w:val="24"/>
              </w:rPr>
              <w:t>1818, Paris,  F. Scherff</w:t>
            </w:r>
          </w:p>
        </w:tc>
        <w:tc>
          <w:tcPr>
            <w:tcW w:w="2743" w:type="dxa"/>
          </w:tcPr>
          <w:p w:rsidR="004C50DC" w:rsidRPr="00EF66E8" w:rsidRDefault="004C50DC" w:rsidP="004C50DC">
            <w:pPr>
              <w:spacing w:before="60" w:after="60"/>
              <w:ind w:firstLine="0"/>
              <w:rPr>
                <w:i/>
                <w:sz w:val="24"/>
              </w:rPr>
            </w:pPr>
            <w:r w:rsidRPr="00EF66E8">
              <w:rPr>
                <w:i/>
                <w:sz w:val="24"/>
              </w:rPr>
              <w:t>Histoire de l’insurrection des escl</w:t>
            </w:r>
            <w:r w:rsidRPr="00EF66E8">
              <w:rPr>
                <w:i/>
                <w:sz w:val="24"/>
              </w:rPr>
              <w:t>a</w:t>
            </w:r>
            <w:r w:rsidRPr="00EF66E8">
              <w:rPr>
                <w:i/>
                <w:sz w:val="24"/>
              </w:rPr>
              <w:t>ves dans le nord de Saint-Domingue</w:t>
            </w:r>
          </w:p>
        </w:tc>
        <w:tc>
          <w:tcPr>
            <w:tcW w:w="2697" w:type="dxa"/>
          </w:tcPr>
          <w:p w:rsidR="004C50DC" w:rsidRPr="00EF66E8" w:rsidRDefault="004C50DC" w:rsidP="004C50DC">
            <w:pPr>
              <w:spacing w:before="60" w:after="60"/>
              <w:ind w:firstLine="0"/>
              <w:rPr>
                <w:sz w:val="24"/>
              </w:rPr>
            </w:pPr>
            <w:r w:rsidRPr="00EF66E8">
              <w:rPr>
                <w:sz w:val="24"/>
              </w:rPr>
              <w:t>Antoine Métral</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1832, Port-au-Prince</w:t>
            </w:r>
          </w:p>
          <w:p w:rsidR="004C50DC" w:rsidRPr="00EF66E8" w:rsidRDefault="004C50DC" w:rsidP="004C50DC">
            <w:pPr>
              <w:spacing w:before="60" w:after="60"/>
              <w:ind w:firstLine="0"/>
              <w:rPr>
                <w:sz w:val="24"/>
              </w:rPr>
            </w:pPr>
          </w:p>
        </w:tc>
        <w:tc>
          <w:tcPr>
            <w:tcW w:w="2743" w:type="dxa"/>
          </w:tcPr>
          <w:p w:rsidR="004C50DC" w:rsidRPr="00EF66E8" w:rsidRDefault="004C50DC" w:rsidP="004C50DC">
            <w:pPr>
              <w:spacing w:before="60" w:after="60"/>
              <w:ind w:firstLine="0"/>
              <w:rPr>
                <w:sz w:val="24"/>
              </w:rPr>
            </w:pPr>
            <w:r w:rsidRPr="00EF66E8">
              <w:rPr>
                <w:i/>
                <w:sz w:val="24"/>
              </w:rPr>
              <w:t>Géographie de l’île d’Haïti</w:t>
            </w:r>
          </w:p>
        </w:tc>
        <w:tc>
          <w:tcPr>
            <w:tcW w:w="2697" w:type="dxa"/>
          </w:tcPr>
          <w:p w:rsidR="004C50DC" w:rsidRPr="00EF66E8" w:rsidRDefault="004C50DC" w:rsidP="004C50DC">
            <w:pPr>
              <w:spacing w:before="60" w:after="60"/>
              <w:ind w:firstLine="0"/>
              <w:rPr>
                <w:sz w:val="24"/>
              </w:rPr>
            </w:pPr>
            <w:r w:rsidRPr="00EF66E8">
              <w:rPr>
                <w:sz w:val="24"/>
              </w:rPr>
              <w:t>Beaubrun Ardouin</w:t>
            </w:r>
          </w:p>
          <w:p w:rsidR="004C50DC" w:rsidRPr="00EF66E8" w:rsidRDefault="004C50DC" w:rsidP="004C50DC">
            <w:pPr>
              <w:spacing w:before="60" w:after="60"/>
              <w:ind w:firstLine="0"/>
              <w:rPr>
                <w:sz w:val="24"/>
              </w:rPr>
            </w:pPr>
          </w:p>
        </w:tc>
      </w:tr>
      <w:tr w:rsidR="004C50DC" w:rsidRPr="00E8358C">
        <w:tc>
          <w:tcPr>
            <w:tcW w:w="2696" w:type="dxa"/>
          </w:tcPr>
          <w:p w:rsidR="004C50DC" w:rsidRPr="00EF66E8" w:rsidRDefault="004C50DC" w:rsidP="004C50DC">
            <w:pPr>
              <w:spacing w:before="60" w:after="60"/>
              <w:ind w:firstLine="0"/>
              <w:rPr>
                <w:sz w:val="24"/>
              </w:rPr>
            </w:pPr>
            <w:r w:rsidRPr="00EF66E8">
              <w:rPr>
                <w:sz w:val="24"/>
              </w:rPr>
              <w:t>1847 Port-au-Prince, Imprimerie de Jn Cou</w:t>
            </w:r>
            <w:r w:rsidRPr="00EF66E8">
              <w:rPr>
                <w:sz w:val="24"/>
              </w:rPr>
              <w:t>r</w:t>
            </w:r>
            <w:r w:rsidRPr="00EF66E8">
              <w:rPr>
                <w:sz w:val="24"/>
              </w:rPr>
              <w:t>tois</w:t>
            </w:r>
          </w:p>
        </w:tc>
        <w:tc>
          <w:tcPr>
            <w:tcW w:w="2743" w:type="dxa"/>
          </w:tcPr>
          <w:p w:rsidR="004C50DC" w:rsidRPr="00EF66E8" w:rsidRDefault="004C50DC" w:rsidP="004C50DC">
            <w:pPr>
              <w:spacing w:before="60" w:after="60"/>
              <w:ind w:firstLine="0"/>
              <w:rPr>
                <w:sz w:val="24"/>
              </w:rPr>
            </w:pPr>
            <w:r w:rsidRPr="00EF66E8">
              <w:rPr>
                <w:i/>
                <w:sz w:val="24"/>
              </w:rPr>
              <w:t>Histoire d’Haïti</w:t>
            </w:r>
            <w:r w:rsidRPr="00EF66E8">
              <w:rPr>
                <w:sz w:val="24"/>
              </w:rPr>
              <w:t xml:space="preserve"> (trois volumes)</w:t>
            </w:r>
          </w:p>
        </w:tc>
        <w:tc>
          <w:tcPr>
            <w:tcW w:w="2697" w:type="dxa"/>
          </w:tcPr>
          <w:p w:rsidR="004C50DC" w:rsidRPr="00EF66E8" w:rsidRDefault="004C50DC" w:rsidP="004C50DC">
            <w:pPr>
              <w:spacing w:before="60" w:after="60"/>
              <w:ind w:firstLine="0"/>
              <w:rPr>
                <w:sz w:val="24"/>
              </w:rPr>
            </w:pPr>
            <w:r w:rsidRPr="00EF66E8">
              <w:rPr>
                <w:sz w:val="24"/>
              </w:rPr>
              <w:t>Thomas Madiou</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1853-1865, Paris</w:t>
            </w:r>
          </w:p>
        </w:tc>
        <w:tc>
          <w:tcPr>
            <w:tcW w:w="2743" w:type="dxa"/>
          </w:tcPr>
          <w:p w:rsidR="004C50DC" w:rsidRPr="00EF66E8" w:rsidRDefault="004C50DC" w:rsidP="004C50DC">
            <w:pPr>
              <w:spacing w:before="60" w:after="60"/>
              <w:ind w:firstLine="0"/>
              <w:rPr>
                <w:sz w:val="24"/>
              </w:rPr>
            </w:pPr>
            <w:r w:rsidRPr="00EF66E8">
              <w:rPr>
                <w:i/>
                <w:sz w:val="24"/>
              </w:rPr>
              <w:t>Études sur l’histoire d’Haïti</w:t>
            </w:r>
            <w:r w:rsidRPr="00EF66E8">
              <w:rPr>
                <w:sz w:val="24"/>
              </w:rPr>
              <w:t xml:space="preserve"> (1789-1846) (o</w:t>
            </w:r>
            <w:r w:rsidRPr="00EF66E8">
              <w:rPr>
                <w:sz w:val="24"/>
              </w:rPr>
              <w:t>n</w:t>
            </w:r>
            <w:r w:rsidRPr="00EF66E8">
              <w:rPr>
                <w:sz w:val="24"/>
              </w:rPr>
              <w:t>ze tomes)</w:t>
            </w:r>
          </w:p>
        </w:tc>
        <w:tc>
          <w:tcPr>
            <w:tcW w:w="2697" w:type="dxa"/>
          </w:tcPr>
          <w:p w:rsidR="004C50DC" w:rsidRPr="00EF66E8" w:rsidRDefault="004C50DC" w:rsidP="004C50DC">
            <w:pPr>
              <w:spacing w:before="60" w:after="60"/>
              <w:ind w:firstLine="0"/>
              <w:rPr>
                <w:sz w:val="24"/>
              </w:rPr>
            </w:pPr>
            <w:r w:rsidRPr="00EF66E8">
              <w:rPr>
                <w:sz w:val="24"/>
              </w:rPr>
              <w:t>Beaubrun Ardouin</w:t>
            </w:r>
          </w:p>
          <w:p w:rsidR="004C50DC" w:rsidRPr="00EF66E8" w:rsidRDefault="004C50DC" w:rsidP="004C50DC">
            <w:pPr>
              <w:spacing w:before="60" w:after="60"/>
              <w:ind w:firstLine="0"/>
              <w:rPr>
                <w:sz w:val="24"/>
              </w:rPr>
            </w:pPr>
          </w:p>
        </w:tc>
      </w:tr>
      <w:tr w:rsidR="004C50DC" w:rsidRPr="00E8358C">
        <w:tc>
          <w:tcPr>
            <w:tcW w:w="2696" w:type="dxa"/>
          </w:tcPr>
          <w:p w:rsidR="004C50DC" w:rsidRPr="00EF66E8" w:rsidRDefault="004C50DC" w:rsidP="004C50DC">
            <w:pPr>
              <w:spacing w:before="60" w:after="60"/>
              <w:ind w:firstLine="0"/>
              <w:rPr>
                <w:sz w:val="24"/>
              </w:rPr>
            </w:pPr>
            <w:r w:rsidRPr="00EF66E8">
              <w:rPr>
                <w:sz w:val="24"/>
              </w:rPr>
              <w:t>1853, Paris, éd. P</w:t>
            </w:r>
            <w:r w:rsidRPr="00EF66E8">
              <w:rPr>
                <w:sz w:val="24"/>
              </w:rPr>
              <w:t>a</w:t>
            </w:r>
            <w:r w:rsidRPr="00EF66E8">
              <w:rPr>
                <w:sz w:val="24"/>
              </w:rPr>
              <w:t>gnerre</w:t>
            </w:r>
          </w:p>
        </w:tc>
        <w:tc>
          <w:tcPr>
            <w:tcW w:w="2743" w:type="dxa"/>
          </w:tcPr>
          <w:p w:rsidR="004C50DC" w:rsidRPr="00EF66E8" w:rsidRDefault="004C50DC" w:rsidP="004C50DC">
            <w:pPr>
              <w:spacing w:before="60" w:after="60"/>
              <w:ind w:firstLine="0"/>
              <w:rPr>
                <w:i/>
                <w:sz w:val="24"/>
              </w:rPr>
            </w:pPr>
            <w:r w:rsidRPr="00EF66E8">
              <w:rPr>
                <w:i/>
                <w:sz w:val="24"/>
              </w:rPr>
              <w:t>Mémoires de Tou</w:t>
            </w:r>
            <w:r w:rsidRPr="00EF66E8">
              <w:rPr>
                <w:i/>
                <w:sz w:val="24"/>
              </w:rPr>
              <w:t>s</w:t>
            </w:r>
            <w:r w:rsidRPr="00EF66E8">
              <w:rPr>
                <w:i/>
                <w:sz w:val="24"/>
              </w:rPr>
              <w:t>saint Louverture</w:t>
            </w:r>
          </w:p>
        </w:tc>
        <w:tc>
          <w:tcPr>
            <w:tcW w:w="2697" w:type="dxa"/>
          </w:tcPr>
          <w:p w:rsidR="004C50DC" w:rsidRPr="00EF66E8" w:rsidRDefault="004C50DC" w:rsidP="004C50DC">
            <w:pPr>
              <w:spacing w:before="60" w:after="60"/>
              <w:ind w:firstLine="0"/>
              <w:rPr>
                <w:sz w:val="24"/>
              </w:rPr>
            </w:pPr>
            <w:r w:rsidRPr="00EF66E8">
              <w:rPr>
                <w:sz w:val="24"/>
              </w:rPr>
              <w:t>Saint-Rémy des Cayes</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1854, Paris</w:t>
            </w:r>
          </w:p>
        </w:tc>
        <w:tc>
          <w:tcPr>
            <w:tcW w:w="2743" w:type="dxa"/>
          </w:tcPr>
          <w:p w:rsidR="004C50DC" w:rsidRPr="00EF66E8" w:rsidRDefault="004C50DC" w:rsidP="004C50DC">
            <w:pPr>
              <w:spacing w:before="60" w:after="60"/>
              <w:ind w:firstLine="0"/>
              <w:rPr>
                <w:i/>
                <w:sz w:val="24"/>
              </w:rPr>
            </w:pPr>
            <w:r w:rsidRPr="00EF66E8">
              <w:rPr>
                <w:i/>
                <w:sz w:val="24"/>
              </w:rPr>
              <w:t>Histoire des Cac</w:t>
            </w:r>
            <w:r w:rsidRPr="00EF66E8">
              <w:rPr>
                <w:i/>
                <w:sz w:val="24"/>
              </w:rPr>
              <w:t>i</w:t>
            </w:r>
            <w:r w:rsidRPr="00EF66E8">
              <w:rPr>
                <w:i/>
                <w:sz w:val="24"/>
              </w:rPr>
              <w:t>ques d’Haïti</w:t>
            </w:r>
          </w:p>
        </w:tc>
        <w:tc>
          <w:tcPr>
            <w:tcW w:w="2697" w:type="dxa"/>
          </w:tcPr>
          <w:p w:rsidR="004C50DC" w:rsidRPr="00EF66E8" w:rsidRDefault="004C50DC" w:rsidP="004C50DC">
            <w:pPr>
              <w:spacing w:before="60" w:after="60"/>
              <w:ind w:firstLine="0"/>
              <w:rPr>
                <w:sz w:val="24"/>
              </w:rPr>
            </w:pPr>
            <w:r w:rsidRPr="00EF66E8">
              <w:rPr>
                <w:sz w:val="24"/>
              </w:rPr>
              <w:t>Émile Nau</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1864, Paris, A. D</w:t>
            </w:r>
            <w:r w:rsidRPr="00EF66E8">
              <w:rPr>
                <w:sz w:val="24"/>
              </w:rPr>
              <w:t>u</w:t>
            </w:r>
            <w:r w:rsidRPr="00EF66E8">
              <w:rPr>
                <w:sz w:val="24"/>
              </w:rPr>
              <w:t>rand</w:t>
            </w:r>
          </w:p>
        </w:tc>
        <w:tc>
          <w:tcPr>
            <w:tcW w:w="2743" w:type="dxa"/>
          </w:tcPr>
          <w:p w:rsidR="004C50DC" w:rsidRPr="00EF66E8" w:rsidRDefault="004C50DC" w:rsidP="004C50DC">
            <w:pPr>
              <w:spacing w:before="60" w:after="60"/>
              <w:ind w:firstLine="0"/>
              <w:rPr>
                <w:i/>
                <w:sz w:val="24"/>
              </w:rPr>
            </w:pPr>
            <w:r w:rsidRPr="00EF66E8">
              <w:rPr>
                <w:i/>
                <w:sz w:val="24"/>
              </w:rPr>
              <w:t>Souvenirs histor</w:t>
            </w:r>
            <w:r w:rsidRPr="00EF66E8">
              <w:rPr>
                <w:i/>
                <w:sz w:val="24"/>
              </w:rPr>
              <w:t>i</w:t>
            </w:r>
            <w:r w:rsidRPr="00EF66E8">
              <w:rPr>
                <w:i/>
                <w:sz w:val="24"/>
              </w:rPr>
              <w:t>ques</w:t>
            </w:r>
          </w:p>
        </w:tc>
        <w:tc>
          <w:tcPr>
            <w:tcW w:w="2697" w:type="dxa"/>
          </w:tcPr>
          <w:p w:rsidR="004C50DC" w:rsidRPr="00EF66E8" w:rsidRDefault="004C50DC" w:rsidP="004C50DC">
            <w:pPr>
              <w:spacing w:before="60" w:after="60"/>
              <w:ind w:firstLine="0"/>
              <w:rPr>
                <w:sz w:val="24"/>
              </w:rPr>
            </w:pPr>
            <w:r w:rsidRPr="00EF66E8">
              <w:rPr>
                <w:sz w:val="24"/>
              </w:rPr>
              <w:t>Guy Joseph Bonnet (éd</w:t>
            </w:r>
            <w:r w:rsidRPr="00EF66E8">
              <w:rPr>
                <w:sz w:val="24"/>
              </w:rPr>
              <w:t>i</w:t>
            </w:r>
            <w:r w:rsidRPr="00EF66E8">
              <w:rPr>
                <w:sz w:val="24"/>
              </w:rPr>
              <w:t>té par Edmond Bo</w:t>
            </w:r>
            <w:r w:rsidRPr="00EF66E8">
              <w:rPr>
                <w:sz w:val="24"/>
              </w:rPr>
              <w:t>n</w:t>
            </w:r>
            <w:r w:rsidRPr="00EF66E8">
              <w:rPr>
                <w:sz w:val="24"/>
              </w:rPr>
              <w:t>net)</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1865, Port-au-Prince, T. Bouch</w:t>
            </w:r>
            <w:r w:rsidRPr="00EF66E8">
              <w:rPr>
                <w:sz w:val="24"/>
              </w:rPr>
              <w:t>e</w:t>
            </w:r>
            <w:r w:rsidRPr="00EF66E8">
              <w:rPr>
                <w:sz w:val="24"/>
              </w:rPr>
              <w:t>reau</w:t>
            </w:r>
          </w:p>
        </w:tc>
        <w:tc>
          <w:tcPr>
            <w:tcW w:w="2743" w:type="dxa"/>
          </w:tcPr>
          <w:p w:rsidR="004C50DC" w:rsidRPr="00EF66E8" w:rsidRDefault="004C50DC" w:rsidP="004C50DC">
            <w:pPr>
              <w:spacing w:before="60" w:after="60"/>
              <w:ind w:firstLine="0"/>
              <w:rPr>
                <w:i/>
                <w:sz w:val="24"/>
              </w:rPr>
            </w:pPr>
            <w:r w:rsidRPr="00EF66E8">
              <w:rPr>
                <w:i/>
                <w:sz w:val="24"/>
              </w:rPr>
              <w:t>Essais sur l’histoire d’Haïti</w:t>
            </w:r>
          </w:p>
        </w:tc>
        <w:tc>
          <w:tcPr>
            <w:tcW w:w="2697" w:type="dxa"/>
          </w:tcPr>
          <w:p w:rsidR="004C50DC" w:rsidRPr="00EF66E8" w:rsidRDefault="004C50DC" w:rsidP="004C50DC">
            <w:pPr>
              <w:spacing w:before="60" w:after="60"/>
              <w:ind w:firstLine="0"/>
              <w:rPr>
                <w:sz w:val="24"/>
              </w:rPr>
            </w:pPr>
            <w:r w:rsidRPr="00EF66E8">
              <w:rPr>
                <w:sz w:val="24"/>
              </w:rPr>
              <w:t>Céligny Ardouin</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1866, Paris, P.-A. Bou</w:t>
            </w:r>
            <w:r w:rsidRPr="00EF66E8">
              <w:rPr>
                <w:sz w:val="24"/>
              </w:rPr>
              <w:t>r</w:t>
            </w:r>
            <w:r w:rsidRPr="00EF66E8">
              <w:rPr>
                <w:sz w:val="24"/>
              </w:rPr>
              <w:t>dier et C</w:t>
            </w:r>
            <w:r w:rsidRPr="00EF66E8">
              <w:rPr>
                <w:sz w:val="24"/>
                <w:vertAlign w:val="superscript"/>
              </w:rPr>
              <w:t>ie</w:t>
            </w:r>
          </w:p>
        </w:tc>
        <w:tc>
          <w:tcPr>
            <w:tcW w:w="2743" w:type="dxa"/>
          </w:tcPr>
          <w:p w:rsidR="004C50DC" w:rsidRPr="00EF66E8" w:rsidRDefault="004C50DC" w:rsidP="004C50DC">
            <w:pPr>
              <w:spacing w:before="60" w:after="60"/>
              <w:ind w:firstLine="0"/>
              <w:rPr>
                <w:i/>
                <w:sz w:val="24"/>
              </w:rPr>
            </w:pPr>
            <w:r w:rsidRPr="00EF66E8">
              <w:rPr>
                <w:i/>
                <w:sz w:val="24"/>
              </w:rPr>
              <w:t>Précis historique sur la révolution ha</w:t>
            </w:r>
            <w:r w:rsidRPr="00EF66E8">
              <w:rPr>
                <w:i/>
                <w:sz w:val="24"/>
              </w:rPr>
              <w:t>ï</w:t>
            </w:r>
            <w:r w:rsidRPr="00EF66E8">
              <w:rPr>
                <w:i/>
                <w:sz w:val="24"/>
              </w:rPr>
              <w:t>tienne de 1843</w:t>
            </w:r>
          </w:p>
        </w:tc>
        <w:tc>
          <w:tcPr>
            <w:tcW w:w="2697" w:type="dxa"/>
          </w:tcPr>
          <w:p w:rsidR="004C50DC" w:rsidRPr="00EF66E8" w:rsidRDefault="004C50DC" w:rsidP="004C50DC">
            <w:pPr>
              <w:spacing w:before="60" w:after="60"/>
              <w:ind w:firstLine="0"/>
              <w:rPr>
                <w:sz w:val="24"/>
              </w:rPr>
            </w:pPr>
            <w:r w:rsidRPr="00EF66E8">
              <w:rPr>
                <w:sz w:val="24"/>
              </w:rPr>
              <w:t>Élie Dubois</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1875, Port-au-Prince</w:t>
            </w:r>
          </w:p>
        </w:tc>
        <w:tc>
          <w:tcPr>
            <w:tcW w:w="2743" w:type="dxa"/>
          </w:tcPr>
          <w:p w:rsidR="004C50DC" w:rsidRPr="00EF66E8" w:rsidRDefault="004C50DC" w:rsidP="004C50DC">
            <w:pPr>
              <w:spacing w:before="60" w:after="60"/>
              <w:ind w:firstLine="0"/>
              <w:rPr>
                <w:i/>
                <w:sz w:val="24"/>
              </w:rPr>
            </w:pPr>
            <w:r w:rsidRPr="00EF66E8">
              <w:rPr>
                <w:i/>
                <w:sz w:val="24"/>
              </w:rPr>
              <w:t>Notions géograph</w:t>
            </w:r>
            <w:r w:rsidRPr="00EF66E8">
              <w:rPr>
                <w:i/>
                <w:sz w:val="24"/>
              </w:rPr>
              <w:t>i</w:t>
            </w:r>
            <w:r w:rsidRPr="00EF66E8">
              <w:rPr>
                <w:i/>
                <w:sz w:val="24"/>
              </w:rPr>
              <w:t>ques et historiques à l’usage des écoles primaires et des écoles rurales de la R</w:t>
            </w:r>
            <w:r w:rsidRPr="00EF66E8">
              <w:rPr>
                <w:i/>
                <w:sz w:val="24"/>
              </w:rPr>
              <w:t>é</w:t>
            </w:r>
            <w:r w:rsidRPr="00EF66E8">
              <w:rPr>
                <w:i/>
                <w:sz w:val="24"/>
              </w:rPr>
              <w:t>publique d’Haïti</w:t>
            </w:r>
          </w:p>
          <w:p w:rsidR="004C50DC" w:rsidRPr="00EF66E8" w:rsidRDefault="004C50DC" w:rsidP="004C50DC">
            <w:pPr>
              <w:spacing w:before="60" w:after="60"/>
              <w:ind w:firstLine="0"/>
              <w:rPr>
                <w:sz w:val="24"/>
              </w:rPr>
            </w:pPr>
            <w:r w:rsidRPr="00EF66E8">
              <w:rPr>
                <w:sz w:val="24"/>
              </w:rPr>
              <w:t>(Réédition en 1887 par Enélus Robin)</w:t>
            </w:r>
          </w:p>
        </w:tc>
        <w:tc>
          <w:tcPr>
            <w:tcW w:w="2697" w:type="dxa"/>
          </w:tcPr>
          <w:p w:rsidR="004C50DC" w:rsidRPr="00EF66E8" w:rsidRDefault="004C50DC" w:rsidP="004C50DC">
            <w:pPr>
              <w:spacing w:before="60" w:after="60"/>
              <w:ind w:firstLine="0"/>
              <w:rPr>
                <w:sz w:val="24"/>
              </w:rPr>
            </w:pPr>
            <w:r w:rsidRPr="00EF66E8">
              <w:rPr>
                <w:sz w:val="24"/>
              </w:rPr>
              <w:t>Général E. Marion</w:t>
            </w:r>
          </w:p>
          <w:p w:rsidR="004C50DC" w:rsidRPr="00EF66E8" w:rsidRDefault="004C50DC" w:rsidP="004C50DC">
            <w:pPr>
              <w:spacing w:before="60" w:after="60"/>
              <w:ind w:firstLine="0"/>
              <w:rPr>
                <w:sz w:val="24"/>
              </w:rPr>
            </w:pPr>
          </w:p>
        </w:tc>
      </w:tr>
      <w:tr w:rsidR="004C50DC" w:rsidRPr="00E8358C">
        <w:tc>
          <w:tcPr>
            <w:tcW w:w="2696" w:type="dxa"/>
          </w:tcPr>
          <w:p w:rsidR="004C50DC" w:rsidRPr="00EF66E8" w:rsidRDefault="004C50DC" w:rsidP="004C50DC">
            <w:pPr>
              <w:spacing w:before="60" w:after="60"/>
              <w:ind w:firstLine="0"/>
              <w:rPr>
                <w:sz w:val="24"/>
              </w:rPr>
            </w:pPr>
            <w:r w:rsidRPr="00EF66E8">
              <w:rPr>
                <w:sz w:val="24"/>
              </w:rPr>
              <w:t>[498]</w:t>
            </w:r>
          </w:p>
        </w:tc>
        <w:tc>
          <w:tcPr>
            <w:tcW w:w="2743" w:type="dxa"/>
          </w:tcPr>
          <w:p w:rsidR="004C50DC" w:rsidRPr="00EF66E8" w:rsidRDefault="004C50DC" w:rsidP="004C50DC">
            <w:pPr>
              <w:spacing w:before="60" w:after="60"/>
              <w:ind w:firstLine="0"/>
              <w:rPr>
                <w:i/>
                <w:sz w:val="24"/>
              </w:rPr>
            </w:pPr>
          </w:p>
        </w:tc>
        <w:tc>
          <w:tcPr>
            <w:tcW w:w="2697" w:type="dxa"/>
          </w:tcPr>
          <w:p w:rsidR="004C50DC" w:rsidRPr="00EF66E8" w:rsidRDefault="004C50DC" w:rsidP="004C50DC">
            <w:pPr>
              <w:spacing w:before="60" w:after="60"/>
              <w:ind w:firstLine="0"/>
              <w:rPr>
                <w:sz w:val="24"/>
              </w:rPr>
            </w:pPr>
          </w:p>
        </w:tc>
      </w:tr>
      <w:tr w:rsidR="004C50DC" w:rsidRPr="00E8358C">
        <w:tc>
          <w:tcPr>
            <w:tcW w:w="2696" w:type="dxa"/>
          </w:tcPr>
          <w:p w:rsidR="004C50DC" w:rsidRPr="00EF66E8" w:rsidRDefault="004C50DC" w:rsidP="004C50DC">
            <w:pPr>
              <w:spacing w:before="60" w:after="60"/>
              <w:ind w:firstLine="0"/>
              <w:rPr>
                <w:sz w:val="24"/>
              </w:rPr>
            </w:pPr>
            <w:r w:rsidRPr="00EF66E8">
              <w:rPr>
                <w:sz w:val="24"/>
              </w:rPr>
              <w:t>1881,  Jacmel, M</w:t>
            </w:r>
            <w:r w:rsidRPr="00EF66E8">
              <w:rPr>
                <w:sz w:val="24"/>
              </w:rPr>
              <w:t>a</w:t>
            </w:r>
            <w:r w:rsidRPr="00EF66E8">
              <w:rPr>
                <w:sz w:val="24"/>
              </w:rPr>
              <w:t>dame Samuel</w:t>
            </w:r>
          </w:p>
        </w:tc>
        <w:tc>
          <w:tcPr>
            <w:tcW w:w="2743" w:type="dxa"/>
          </w:tcPr>
          <w:p w:rsidR="004C50DC" w:rsidRPr="00EF66E8" w:rsidRDefault="004C50DC" w:rsidP="004C50DC">
            <w:pPr>
              <w:spacing w:before="60" w:after="60"/>
              <w:ind w:firstLine="0"/>
              <w:rPr>
                <w:sz w:val="24"/>
              </w:rPr>
            </w:pPr>
            <w:r w:rsidRPr="00EF66E8">
              <w:rPr>
                <w:i/>
                <w:sz w:val="24"/>
              </w:rPr>
              <w:t>Abrégé de la géogr</w:t>
            </w:r>
            <w:r w:rsidRPr="00EF66E8">
              <w:rPr>
                <w:i/>
                <w:sz w:val="24"/>
              </w:rPr>
              <w:t>a</w:t>
            </w:r>
            <w:r w:rsidRPr="00EF66E8">
              <w:rPr>
                <w:i/>
                <w:sz w:val="24"/>
              </w:rPr>
              <w:t>phie d’Haïti</w:t>
            </w:r>
            <w:r w:rsidRPr="00EF66E8">
              <w:rPr>
                <w:sz w:val="24"/>
              </w:rPr>
              <w:t>, de M. A.-B. A</w:t>
            </w:r>
            <w:r w:rsidRPr="00EF66E8">
              <w:rPr>
                <w:sz w:val="24"/>
              </w:rPr>
              <w:t>r</w:t>
            </w:r>
            <w:r w:rsidRPr="00EF66E8">
              <w:rPr>
                <w:sz w:val="24"/>
              </w:rPr>
              <w:t>douin</w:t>
            </w:r>
          </w:p>
        </w:tc>
        <w:tc>
          <w:tcPr>
            <w:tcW w:w="2697" w:type="dxa"/>
          </w:tcPr>
          <w:p w:rsidR="004C50DC" w:rsidRPr="00EF66E8" w:rsidRDefault="004C50DC" w:rsidP="004C50DC">
            <w:pPr>
              <w:spacing w:before="60" w:after="60"/>
              <w:ind w:firstLine="0"/>
              <w:rPr>
                <w:sz w:val="24"/>
              </w:rPr>
            </w:pPr>
            <w:r w:rsidRPr="00EF66E8">
              <w:rPr>
                <w:sz w:val="24"/>
              </w:rPr>
              <w:t>Diana Ramsay</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1888</w:t>
            </w:r>
          </w:p>
        </w:tc>
        <w:tc>
          <w:tcPr>
            <w:tcW w:w="2743" w:type="dxa"/>
          </w:tcPr>
          <w:p w:rsidR="004C50DC" w:rsidRPr="00EF66E8" w:rsidRDefault="004C50DC" w:rsidP="004C50DC">
            <w:pPr>
              <w:spacing w:before="60" w:after="60"/>
              <w:ind w:firstLine="0"/>
              <w:rPr>
                <w:sz w:val="24"/>
              </w:rPr>
            </w:pPr>
            <w:r w:rsidRPr="00EF66E8">
              <w:rPr>
                <w:i/>
                <w:sz w:val="24"/>
              </w:rPr>
              <w:t>Précis d’histoire d’Haïti</w:t>
            </w:r>
            <w:r w:rsidRPr="00EF66E8">
              <w:rPr>
                <w:sz w:val="24"/>
              </w:rPr>
              <w:t xml:space="preserve"> suivi de </w:t>
            </w:r>
            <w:r w:rsidRPr="00EF66E8">
              <w:rPr>
                <w:i/>
                <w:sz w:val="24"/>
              </w:rPr>
              <w:t>Notions de gé</w:t>
            </w:r>
            <w:r w:rsidRPr="00EF66E8">
              <w:rPr>
                <w:i/>
                <w:sz w:val="24"/>
              </w:rPr>
              <w:t>o</w:t>
            </w:r>
            <w:r w:rsidRPr="00EF66E8">
              <w:rPr>
                <w:i/>
                <w:sz w:val="24"/>
              </w:rPr>
              <w:t>graphie</w:t>
            </w:r>
          </w:p>
        </w:tc>
        <w:tc>
          <w:tcPr>
            <w:tcW w:w="2697" w:type="dxa"/>
          </w:tcPr>
          <w:p w:rsidR="004C50DC" w:rsidRPr="00EF66E8" w:rsidRDefault="004C50DC" w:rsidP="004C50DC">
            <w:pPr>
              <w:spacing w:before="60" w:after="60"/>
              <w:ind w:firstLine="0"/>
              <w:rPr>
                <w:sz w:val="24"/>
              </w:rPr>
            </w:pPr>
            <w:r w:rsidRPr="00EF66E8">
              <w:rPr>
                <w:sz w:val="24"/>
              </w:rPr>
              <w:t xml:space="preserve">Marie Gilgas </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 xml:space="preserve">1892, Port-au-Prince </w:t>
            </w:r>
          </w:p>
          <w:p w:rsidR="004C50DC" w:rsidRPr="00EF66E8" w:rsidRDefault="004C50DC" w:rsidP="004C50DC">
            <w:pPr>
              <w:spacing w:before="60" w:after="60"/>
              <w:ind w:firstLine="0"/>
              <w:rPr>
                <w:sz w:val="24"/>
              </w:rPr>
            </w:pPr>
            <w:r w:rsidRPr="00EF66E8">
              <w:rPr>
                <w:sz w:val="24"/>
              </w:rPr>
              <w:t>1900 : 2</w:t>
            </w:r>
            <w:r w:rsidRPr="00EF66E8">
              <w:rPr>
                <w:sz w:val="24"/>
                <w:vertAlign w:val="superscript"/>
              </w:rPr>
              <w:t>ème</w:t>
            </w:r>
            <w:r w:rsidRPr="00EF66E8">
              <w:rPr>
                <w:sz w:val="24"/>
              </w:rPr>
              <w:t xml:space="preserve"> et 3</w:t>
            </w:r>
            <w:r w:rsidRPr="00EF66E8">
              <w:rPr>
                <w:sz w:val="24"/>
                <w:vertAlign w:val="superscript"/>
              </w:rPr>
              <w:t>ème</w:t>
            </w:r>
            <w:r w:rsidRPr="00EF66E8">
              <w:rPr>
                <w:sz w:val="24"/>
              </w:rPr>
              <w:t xml:space="preserve"> partie</w:t>
            </w:r>
          </w:p>
        </w:tc>
        <w:tc>
          <w:tcPr>
            <w:tcW w:w="2743" w:type="dxa"/>
          </w:tcPr>
          <w:p w:rsidR="004C50DC" w:rsidRPr="00EF66E8" w:rsidRDefault="004C50DC" w:rsidP="004C50DC">
            <w:pPr>
              <w:spacing w:before="60" w:after="60"/>
              <w:ind w:firstLine="0"/>
              <w:rPr>
                <w:sz w:val="24"/>
              </w:rPr>
            </w:pPr>
            <w:r w:rsidRPr="00EF66E8">
              <w:rPr>
                <w:i/>
                <w:sz w:val="24"/>
              </w:rPr>
              <w:t>Histoire d’Haïti à l’usage des écoles</w:t>
            </w:r>
          </w:p>
        </w:tc>
        <w:tc>
          <w:tcPr>
            <w:tcW w:w="2697" w:type="dxa"/>
          </w:tcPr>
          <w:p w:rsidR="004C50DC" w:rsidRPr="00EF66E8" w:rsidRDefault="004C50DC" w:rsidP="004C50DC">
            <w:pPr>
              <w:spacing w:before="60" w:after="60"/>
              <w:ind w:firstLine="0"/>
              <w:rPr>
                <w:sz w:val="24"/>
              </w:rPr>
            </w:pPr>
            <w:r w:rsidRPr="00EF66E8">
              <w:rPr>
                <w:sz w:val="24"/>
              </w:rPr>
              <w:t>Dr Roche Grellier</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[1892] 1912, Paris, D</w:t>
            </w:r>
            <w:r w:rsidRPr="00EF66E8">
              <w:rPr>
                <w:sz w:val="24"/>
              </w:rPr>
              <w:t>u</w:t>
            </w:r>
            <w:r w:rsidRPr="00EF66E8">
              <w:rPr>
                <w:sz w:val="24"/>
              </w:rPr>
              <w:t>bois &amp; Bauer</w:t>
            </w:r>
          </w:p>
          <w:p w:rsidR="004C50DC" w:rsidRPr="00EF66E8" w:rsidRDefault="004C50DC" w:rsidP="004C50DC">
            <w:pPr>
              <w:spacing w:before="60" w:after="60"/>
              <w:ind w:firstLine="0"/>
              <w:rPr>
                <w:sz w:val="24"/>
              </w:rPr>
            </w:pPr>
            <w:r w:rsidRPr="00EF66E8">
              <w:rPr>
                <w:sz w:val="24"/>
              </w:rPr>
              <w:t>2</w:t>
            </w:r>
            <w:r w:rsidRPr="00EF66E8">
              <w:rPr>
                <w:sz w:val="24"/>
                <w:vertAlign w:val="superscript"/>
              </w:rPr>
              <w:t>e</w:t>
            </w:r>
            <w:r w:rsidRPr="00EF66E8">
              <w:rPr>
                <w:sz w:val="24"/>
              </w:rPr>
              <w:t xml:space="preserve"> édition en 3 vol.</w:t>
            </w:r>
          </w:p>
        </w:tc>
        <w:tc>
          <w:tcPr>
            <w:tcW w:w="2743" w:type="dxa"/>
          </w:tcPr>
          <w:p w:rsidR="004C50DC" w:rsidRPr="00EF66E8" w:rsidRDefault="004C50DC" w:rsidP="004C50DC">
            <w:pPr>
              <w:spacing w:before="60" w:after="60"/>
              <w:ind w:firstLine="0"/>
              <w:rPr>
                <w:i/>
                <w:sz w:val="24"/>
              </w:rPr>
            </w:pPr>
            <w:r w:rsidRPr="00EF66E8">
              <w:rPr>
                <w:i/>
                <w:sz w:val="24"/>
              </w:rPr>
              <w:t>Cours d’histoire d’Haïti</w:t>
            </w:r>
          </w:p>
          <w:p w:rsidR="004C50DC" w:rsidRPr="00EF66E8" w:rsidRDefault="004C50DC" w:rsidP="004C50DC">
            <w:pPr>
              <w:spacing w:before="60" w:after="60"/>
              <w:ind w:firstLine="0"/>
              <w:rPr>
                <w:sz w:val="24"/>
                <w:szCs w:val="22"/>
              </w:rPr>
            </w:pPr>
            <w:r w:rsidRPr="00EF66E8">
              <w:rPr>
                <w:sz w:val="24"/>
                <w:szCs w:val="22"/>
              </w:rPr>
              <w:t>Cet ouvrage a été a</w:t>
            </w:r>
            <w:r w:rsidRPr="00EF66E8">
              <w:rPr>
                <w:sz w:val="24"/>
                <w:szCs w:val="22"/>
              </w:rPr>
              <w:t>u</w:t>
            </w:r>
            <w:r w:rsidRPr="00EF66E8">
              <w:rPr>
                <w:sz w:val="24"/>
                <w:szCs w:val="22"/>
              </w:rPr>
              <w:t>torisé dans toutes les éc</w:t>
            </w:r>
            <w:r w:rsidRPr="00EF66E8">
              <w:rPr>
                <w:sz w:val="24"/>
                <w:szCs w:val="22"/>
              </w:rPr>
              <w:t>o</w:t>
            </w:r>
            <w:r w:rsidRPr="00EF66E8">
              <w:rPr>
                <w:sz w:val="24"/>
                <w:szCs w:val="22"/>
              </w:rPr>
              <w:t>les de la Rép</w:t>
            </w:r>
            <w:r w:rsidRPr="00EF66E8">
              <w:rPr>
                <w:sz w:val="24"/>
                <w:szCs w:val="22"/>
              </w:rPr>
              <w:t>u</w:t>
            </w:r>
            <w:r w:rsidRPr="00EF66E8">
              <w:rPr>
                <w:sz w:val="24"/>
                <w:szCs w:val="22"/>
              </w:rPr>
              <w:t>blique par Arrêtés du 23 octobre 1898 et du 4 août 1903.</w:t>
            </w:r>
          </w:p>
        </w:tc>
        <w:tc>
          <w:tcPr>
            <w:tcW w:w="2697" w:type="dxa"/>
          </w:tcPr>
          <w:p w:rsidR="004C50DC" w:rsidRPr="00EF66E8" w:rsidRDefault="004C50DC" w:rsidP="004C50DC">
            <w:pPr>
              <w:spacing w:before="60" w:after="60"/>
              <w:ind w:firstLine="0"/>
              <w:rPr>
                <w:sz w:val="24"/>
              </w:rPr>
            </w:pPr>
            <w:r w:rsidRPr="00EF66E8">
              <w:rPr>
                <w:sz w:val="24"/>
              </w:rPr>
              <w:t>Jean-Baptiste Do</w:t>
            </w:r>
            <w:r w:rsidRPr="00EF66E8">
              <w:rPr>
                <w:sz w:val="24"/>
              </w:rPr>
              <w:t>r</w:t>
            </w:r>
            <w:r w:rsidRPr="00EF66E8">
              <w:rPr>
                <w:sz w:val="24"/>
              </w:rPr>
              <w:t>sainvil</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1906, Port-au-Prince, imprimerie du Matin, première pa</w:t>
            </w:r>
            <w:r w:rsidRPr="00EF66E8">
              <w:rPr>
                <w:sz w:val="24"/>
              </w:rPr>
              <w:t>r</w:t>
            </w:r>
            <w:r w:rsidRPr="00EF66E8">
              <w:rPr>
                <w:sz w:val="24"/>
              </w:rPr>
              <w:t>tie</w:t>
            </w:r>
          </w:p>
          <w:p w:rsidR="004C50DC" w:rsidRPr="00EF66E8" w:rsidRDefault="004C50DC" w:rsidP="004C50DC">
            <w:pPr>
              <w:spacing w:before="60" w:after="60"/>
              <w:ind w:firstLine="0"/>
              <w:rPr>
                <w:sz w:val="24"/>
                <w:szCs w:val="22"/>
              </w:rPr>
            </w:pPr>
            <w:r w:rsidRPr="00EF66E8">
              <w:rPr>
                <w:sz w:val="24"/>
              </w:rPr>
              <w:t>1909, Port-au-Prince, imprimerie du Matin, deuxième pa</w:t>
            </w:r>
            <w:r w:rsidRPr="00EF66E8">
              <w:rPr>
                <w:sz w:val="24"/>
              </w:rPr>
              <w:t>r</w:t>
            </w:r>
            <w:r w:rsidRPr="00EF66E8">
              <w:rPr>
                <w:sz w:val="24"/>
              </w:rPr>
              <w:t>tie</w:t>
            </w:r>
          </w:p>
        </w:tc>
        <w:tc>
          <w:tcPr>
            <w:tcW w:w="2743" w:type="dxa"/>
          </w:tcPr>
          <w:p w:rsidR="004C50DC" w:rsidRPr="00EF66E8" w:rsidRDefault="004C50DC" w:rsidP="004C50DC">
            <w:pPr>
              <w:spacing w:before="60" w:after="60"/>
              <w:ind w:firstLine="0"/>
              <w:rPr>
                <w:sz w:val="24"/>
              </w:rPr>
            </w:pPr>
            <w:r w:rsidRPr="00EF66E8">
              <w:rPr>
                <w:i/>
                <w:sz w:val="24"/>
              </w:rPr>
              <w:t>Histoire d’Haïti d’après un plan no</w:t>
            </w:r>
            <w:r w:rsidRPr="00EF66E8">
              <w:rPr>
                <w:i/>
                <w:sz w:val="24"/>
              </w:rPr>
              <w:t>u</w:t>
            </w:r>
            <w:r w:rsidRPr="00EF66E8">
              <w:rPr>
                <w:i/>
                <w:sz w:val="24"/>
              </w:rPr>
              <w:t>veau basé sur l’observation des faits (1804-1909) – Éd</w:t>
            </w:r>
            <w:r w:rsidRPr="00EF66E8">
              <w:rPr>
                <w:i/>
                <w:sz w:val="24"/>
              </w:rPr>
              <w:t>i</w:t>
            </w:r>
            <w:r w:rsidRPr="00EF66E8">
              <w:rPr>
                <w:i/>
                <w:sz w:val="24"/>
              </w:rPr>
              <w:t>tion spéciale à l’usage des adultes et des gens du monde</w:t>
            </w:r>
          </w:p>
        </w:tc>
        <w:tc>
          <w:tcPr>
            <w:tcW w:w="2697" w:type="dxa"/>
          </w:tcPr>
          <w:p w:rsidR="004C50DC" w:rsidRPr="00EF66E8" w:rsidRDefault="004C50DC" w:rsidP="004C50DC">
            <w:pPr>
              <w:spacing w:before="60" w:after="60"/>
              <w:ind w:firstLine="0"/>
              <w:rPr>
                <w:sz w:val="24"/>
              </w:rPr>
            </w:pPr>
            <w:r w:rsidRPr="00EF66E8">
              <w:rPr>
                <w:sz w:val="24"/>
              </w:rPr>
              <w:t>Auguste Magloire</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1906, Port-au-Prince, Département de l’instruction p</w:t>
            </w:r>
            <w:r w:rsidRPr="00EF66E8">
              <w:rPr>
                <w:sz w:val="24"/>
              </w:rPr>
              <w:t>u</w:t>
            </w:r>
            <w:r w:rsidRPr="00EF66E8">
              <w:rPr>
                <w:sz w:val="24"/>
              </w:rPr>
              <w:t>blique</w:t>
            </w:r>
          </w:p>
        </w:tc>
        <w:tc>
          <w:tcPr>
            <w:tcW w:w="2743" w:type="dxa"/>
          </w:tcPr>
          <w:p w:rsidR="004C50DC" w:rsidRPr="00EF66E8" w:rsidRDefault="004C50DC" w:rsidP="004C50DC">
            <w:pPr>
              <w:spacing w:before="60" w:after="60"/>
              <w:ind w:firstLine="0"/>
              <w:rPr>
                <w:i/>
                <w:sz w:val="24"/>
              </w:rPr>
            </w:pPr>
            <w:r w:rsidRPr="00EF66E8">
              <w:rPr>
                <w:i/>
                <w:sz w:val="24"/>
              </w:rPr>
              <w:t>Manuel d’histoire d’Haïti</w:t>
            </w:r>
          </w:p>
        </w:tc>
        <w:tc>
          <w:tcPr>
            <w:tcW w:w="2697" w:type="dxa"/>
          </w:tcPr>
          <w:p w:rsidR="004C50DC" w:rsidRPr="00EF66E8" w:rsidRDefault="004C50DC" w:rsidP="004C50DC">
            <w:pPr>
              <w:spacing w:before="60" w:after="60"/>
              <w:ind w:firstLine="0"/>
              <w:rPr>
                <w:sz w:val="24"/>
              </w:rPr>
            </w:pPr>
            <w:r w:rsidRPr="00EF66E8">
              <w:rPr>
                <w:sz w:val="24"/>
              </w:rPr>
              <w:t>Windsor Bell</w:t>
            </w:r>
            <w:r w:rsidRPr="00EF66E8">
              <w:rPr>
                <w:sz w:val="24"/>
              </w:rPr>
              <w:t>e</w:t>
            </w:r>
            <w:r w:rsidRPr="00EF66E8">
              <w:rPr>
                <w:sz w:val="24"/>
              </w:rPr>
              <w:t>garde et Justin Lh</w:t>
            </w:r>
            <w:r w:rsidRPr="00EF66E8">
              <w:rPr>
                <w:sz w:val="24"/>
              </w:rPr>
              <w:t>é</w:t>
            </w:r>
            <w:r w:rsidRPr="00EF66E8">
              <w:rPr>
                <w:sz w:val="24"/>
              </w:rPr>
              <w:t>risson</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1913, Bruxelles, S</w:t>
            </w:r>
            <w:r w:rsidRPr="00EF66E8">
              <w:rPr>
                <w:sz w:val="24"/>
              </w:rPr>
              <w:t>o</w:t>
            </w:r>
            <w:r w:rsidRPr="00EF66E8">
              <w:rPr>
                <w:sz w:val="24"/>
              </w:rPr>
              <w:t>ciété anonyme be</w:t>
            </w:r>
            <w:r w:rsidRPr="00EF66E8">
              <w:rPr>
                <w:sz w:val="24"/>
              </w:rPr>
              <w:t>l</w:t>
            </w:r>
            <w:r w:rsidRPr="00EF66E8">
              <w:rPr>
                <w:sz w:val="24"/>
              </w:rPr>
              <w:t>ge d’imprimerie</w:t>
            </w:r>
          </w:p>
        </w:tc>
        <w:tc>
          <w:tcPr>
            <w:tcW w:w="2743" w:type="dxa"/>
          </w:tcPr>
          <w:p w:rsidR="004C50DC" w:rsidRPr="00EF66E8" w:rsidRDefault="004C50DC" w:rsidP="004C50DC">
            <w:pPr>
              <w:spacing w:before="60" w:after="60"/>
              <w:ind w:firstLine="0"/>
              <w:rPr>
                <w:i/>
                <w:sz w:val="24"/>
              </w:rPr>
            </w:pPr>
            <w:r w:rsidRPr="00EF66E8">
              <w:rPr>
                <w:i/>
                <w:sz w:val="24"/>
              </w:rPr>
              <w:t>L’année enfantine d’Histoire et de Géogr</w:t>
            </w:r>
            <w:r w:rsidRPr="00EF66E8">
              <w:rPr>
                <w:i/>
                <w:sz w:val="24"/>
              </w:rPr>
              <w:t>a</w:t>
            </w:r>
            <w:r w:rsidRPr="00EF66E8">
              <w:rPr>
                <w:i/>
                <w:sz w:val="24"/>
              </w:rPr>
              <w:t>phie d’Haïti</w:t>
            </w:r>
          </w:p>
        </w:tc>
        <w:tc>
          <w:tcPr>
            <w:tcW w:w="2697" w:type="dxa"/>
          </w:tcPr>
          <w:p w:rsidR="004C50DC" w:rsidRPr="00EF66E8" w:rsidRDefault="004C50DC" w:rsidP="004C50DC">
            <w:pPr>
              <w:spacing w:before="60" w:after="60"/>
              <w:ind w:firstLine="0"/>
              <w:rPr>
                <w:sz w:val="24"/>
              </w:rPr>
            </w:pPr>
            <w:r w:rsidRPr="00EF66E8">
              <w:rPr>
                <w:sz w:val="24"/>
              </w:rPr>
              <w:t>Sténio Vincent et Dantès Bellegarde</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[1895] à 1919</w:t>
            </w:r>
          </w:p>
        </w:tc>
        <w:tc>
          <w:tcPr>
            <w:tcW w:w="2743" w:type="dxa"/>
          </w:tcPr>
          <w:p w:rsidR="004C50DC" w:rsidRPr="00EF66E8" w:rsidRDefault="004C50DC" w:rsidP="004C50DC">
            <w:pPr>
              <w:spacing w:before="60" w:after="60"/>
              <w:ind w:firstLine="0"/>
              <w:rPr>
                <w:sz w:val="24"/>
              </w:rPr>
            </w:pPr>
            <w:r w:rsidRPr="00EF66E8">
              <w:rPr>
                <w:sz w:val="24"/>
              </w:rPr>
              <w:t>Histoire d’Haïti – Cours professé au petit sémina</w:t>
            </w:r>
            <w:r w:rsidRPr="00EF66E8">
              <w:rPr>
                <w:sz w:val="24"/>
              </w:rPr>
              <w:t>i</w:t>
            </w:r>
            <w:r w:rsidRPr="00EF66E8">
              <w:rPr>
                <w:sz w:val="24"/>
              </w:rPr>
              <w:t>re-collège Saint-Martial, Vol</w:t>
            </w:r>
            <w:r w:rsidRPr="00EF66E8">
              <w:rPr>
                <w:sz w:val="24"/>
              </w:rPr>
              <w:t>u</w:t>
            </w:r>
            <w:r w:rsidRPr="00EF66E8">
              <w:rPr>
                <w:sz w:val="24"/>
              </w:rPr>
              <w:t>mes 1 à 2</w:t>
            </w:r>
          </w:p>
        </w:tc>
        <w:tc>
          <w:tcPr>
            <w:tcW w:w="2697" w:type="dxa"/>
          </w:tcPr>
          <w:p w:rsidR="004C50DC" w:rsidRPr="00EF66E8" w:rsidRDefault="004C50DC" w:rsidP="004C50DC">
            <w:pPr>
              <w:spacing w:before="60" w:after="60"/>
              <w:ind w:firstLine="0"/>
              <w:rPr>
                <w:sz w:val="24"/>
              </w:rPr>
            </w:pPr>
            <w:r w:rsidRPr="00EF66E8">
              <w:rPr>
                <w:sz w:val="24"/>
              </w:rPr>
              <w:t>Rév. Père Cabon</w:t>
            </w:r>
          </w:p>
        </w:tc>
      </w:tr>
      <w:tr w:rsidR="004C50DC" w:rsidRPr="00E8358C">
        <w:tc>
          <w:tcPr>
            <w:tcW w:w="2696" w:type="dxa"/>
          </w:tcPr>
          <w:p w:rsidR="004C50DC" w:rsidRPr="00EF66E8" w:rsidRDefault="004C50DC" w:rsidP="004C50DC">
            <w:pPr>
              <w:spacing w:before="60" w:after="60"/>
              <w:ind w:firstLine="0"/>
              <w:rPr>
                <w:sz w:val="24"/>
              </w:rPr>
            </w:pPr>
            <w:r w:rsidRPr="00EF66E8">
              <w:rPr>
                <w:sz w:val="24"/>
              </w:rPr>
              <w:t>[1924] 1934, Port-au-Prince, Procure des Fr</w:t>
            </w:r>
            <w:r w:rsidRPr="00EF66E8">
              <w:rPr>
                <w:sz w:val="24"/>
              </w:rPr>
              <w:t>è</w:t>
            </w:r>
            <w:r w:rsidRPr="00EF66E8">
              <w:rPr>
                <w:sz w:val="24"/>
              </w:rPr>
              <w:t>res de l’Instruction chr</w:t>
            </w:r>
            <w:r w:rsidRPr="00EF66E8">
              <w:rPr>
                <w:sz w:val="24"/>
              </w:rPr>
              <w:t>é</w:t>
            </w:r>
            <w:r w:rsidRPr="00EF66E8">
              <w:rPr>
                <w:sz w:val="24"/>
              </w:rPr>
              <w:t>tienne</w:t>
            </w:r>
          </w:p>
        </w:tc>
        <w:tc>
          <w:tcPr>
            <w:tcW w:w="2743" w:type="dxa"/>
          </w:tcPr>
          <w:p w:rsidR="004C50DC" w:rsidRPr="00EF66E8" w:rsidRDefault="004C50DC" w:rsidP="004C50DC">
            <w:pPr>
              <w:spacing w:before="60" w:after="60"/>
              <w:ind w:firstLine="0"/>
              <w:rPr>
                <w:i/>
                <w:sz w:val="24"/>
              </w:rPr>
            </w:pPr>
            <w:r w:rsidRPr="00EF66E8">
              <w:rPr>
                <w:i/>
                <w:sz w:val="24"/>
              </w:rPr>
              <w:t xml:space="preserve">Manuel d’histoire d’Haïti </w:t>
            </w:r>
          </w:p>
          <w:p w:rsidR="004C50DC" w:rsidRPr="00EF66E8" w:rsidRDefault="004C50DC" w:rsidP="004C50DC">
            <w:pPr>
              <w:spacing w:before="60" w:after="60"/>
              <w:ind w:firstLine="0"/>
              <w:rPr>
                <w:sz w:val="24"/>
              </w:rPr>
            </w:pPr>
          </w:p>
        </w:tc>
        <w:tc>
          <w:tcPr>
            <w:tcW w:w="2697" w:type="dxa"/>
          </w:tcPr>
          <w:p w:rsidR="004C50DC" w:rsidRPr="00EF66E8" w:rsidRDefault="004C50DC" w:rsidP="004C50DC">
            <w:pPr>
              <w:spacing w:before="60" w:after="60"/>
              <w:ind w:firstLine="0"/>
              <w:rPr>
                <w:sz w:val="24"/>
              </w:rPr>
            </w:pPr>
            <w:r w:rsidRPr="00EF66E8">
              <w:rPr>
                <w:sz w:val="24"/>
              </w:rPr>
              <w:t>Dr. Justin-Chrysostome Dorsainvil  en collabor</w:t>
            </w:r>
            <w:r w:rsidRPr="00EF66E8">
              <w:rPr>
                <w:sz w:val="24"/>
              </w:rPr>
              <w:t>a</w:t>
            </w:r>
            <w:r w:rsidRPr="00EF66E8">
              <w:rPr>
                <w:sz w:val="24"/>
              </w:rPr>
              <w:t>tion avec les F.I.C</w:t>
            </w:r>
          </w:p>
        </w:tc>
      </w:tr>
    </w:tbl>
    <w:p w:rsidR="004C50DC" w:rsidRPr="00E8358C" w:rsidRDefault="004C50DC" w:rsidP="004C50DC">
      <w:pPr>
        <w:spacing w:before="120" w:after="120"/>
        <w:jc w:val="both"/>
      </w:pPr>
    </w:p>
    <w:p w:rsidR="004C50DC" w:rsidRPr="00E8358C" w:rsidRDefault="004C50DC" w:rsidP="004C50DC">
      <w:pPr>
        <w:pStyle w:val="p"/>
      </w:pPr>
      <w:r w:rsidRPr="00E8358C">
        <w:br w:type="page"/>
        <w:t>[49</w:t>
      </w:r>
      <w:r>
        <w:t>9</w:t>
      </w:r>
      <w:r w:rsidRPr="00E8358C">
        <w:t>]</w:t>
      </w:r>
    </w:p>
    <w:p w:rsidR="004C50DC" w:rsidRPr="00E8358C" w:rsidRDefault="004C50DC" w:rsidP="004C50DC">
      <w:pPr>
        <w:spacing w:before="120" w:after="120"/>
        <w:jc w:val="both"/>
      </w:pP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89" w:name="_Toc442280645"/>
      <w:bookmarkStart w:id="590" w:name="Memoire_annexes_III"/>
      <w:r w:rsidRPr="00EF76C4">
        <w:rPr>
          <w:b/>
          <w:sz w:val="24"/>
        </w:rPr>
        <w:t>Mémoire de l’esclavage en Haïti.</w:t>
      </w:r>
    </w:p>
    <w:p w:rsidR="004C50DC" w:rsidRPr="00E8358C" w:rsidRDefault="004C50DC" w:rsidP="004C50DC">
      <w:pPr>
        <w:pStyle w:val="planche"/>
      </w:pPr>
      <w:r w:rsidRPr="00E8358C">
        <w:t>Annexe III</w:t>
      </w:r>
      <w:bookmarkEnd w:id="589"/>
    </w:p>
    <w:bookmarkEnd w:id="590"/>
    <w:p w:rsidR="004C50DC" w:rsidRDefault="004C50DC" w:rsidP="004C50DC">
      <w:pPr>
        <w:spacing w:before="120" w:after="120"/>
        <w:jc w:val="both"/>
        <w:rPr>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rPr>
          <w:lang w:eastAsia="fr-FR"/>
        </w:rPr>
      </w:pPr>
    </w:p>
    <w:p w:rsidR="004C50DC" w:rsidRPr="00E8358C" w:rsidRDefault="009B614B" w:rsidP="004C50DC">
      <w:pPr>
        <w:spacing w:before="120" w:after="120"/>
        <w:jc w:val="both"/>
      </w:pPr>
      <w:r w:rsidRPr="00E8358C">
        <w:rPr>
          <w:noProof/>
          <w:lang w:eastAsia="fr-FR"/>
        </w:rPr>
        <w:drawing>
          <wp:inline distT="0" distB="0" distL="0" distR="0">
            <wp:extent cx="3840480" cy="2829560"/>
            <wp:effectExtent l="0" t="0" r="0" b="0"/>
            <wp:docPr id="58" name="Image 48" descr="ceremo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descr="ceremonie"/>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40480" cy="2829560"/>
                    </a:xfrm>
                    <a:prstGeom prst="rect">
                      <a:avLst/>
                    </a:prstGeom>
                    <a:noFill/>
                    <a:ln>
                      <a:noFill/>
                    </a:ln>
                  </pic:spPr>
                </pic:pic>
              </a:graphicData>
            </a:graphic>
          </wp:inline>
        </w:drawing>
      </w:r>
    </w:p>
    <w:p w:rsidR="004C50DC" w:rsidRPr="00E8358C" w:rsidRDefault="004C50DC" w:rsidP="004C50DC">
      <w:pPr>
        <w:pStyle w:val="figst"/>
      </w:pPr>
      <w:r w:rsidRPr="00E8358C">
        <w:t>Cérémonie du Bois Caïman. Tableau d’André Normil, 1990</w:t>
      </w:r>
      <w:r>
        <w:t>.</w:t>
      </w:r>
    </w:p>
    <w:p w:rsidR="004C50DC" w:rsidRPr="00E8358C" w:rsidRDefault="004C50DC" w:rsidP="004C50DC">
      <w:pPr>
        <w:pStyle w:val="figst"/>
      </w:pPr>
      <w:r w:rsidRPr="00E8358C">
        <w:t>Source : http:espritdu va</w:t>
      </w:r>
      <w:r w:rsidRPr="00E8358C">
        <w:t>u</w:t>
      </w:r>
      <w:r w:rsidRPr="00E8358C">
        <w:t>dou.ifrance.com/vaudou/html/boiscaiman/html</w:t>
      </w:r>
    </w:p>
    <w:p w:rsidR="004C50DC" w:rsidRPr="00E8358C" w:rsidRDefault="004C50DC" w:rsidP="004C50DC">
      <w:pPr>
        <w:pStyle w:val="p"/>
      </w:pPr>
      <w:r w:rsidRPr="00E8358C">
        <w:br w:type="page"/>
        <w:t>[49</w:t>
      </w:r>
      <w:r>
        <w:t>9</w:t>
      </w:r>
      <w:r w:rsidRPr="00E8358C">
        <w:t>]</w:t>
      </w: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91" w:name="_Toc406489831"/>
      <w:bookmarkStart w:id="592" w:name="_Toc442280646"/>
      <w:bookmarkStart w:id="593" w:name="Memoire_annexes_IV"/>
      <w:r w:rsidRPr="00EF76C4">
        <w:rPr>
          <w:b/>
          <w:sz w:val="24"/>
        </w:rPr>
        <w:t>Mémoire de l’esclavage en Haïti.</w:t>
      </w:r>
    </w:p>
    <w:p w:rsidR="004C50DC" w:rsidRPr="00E8358C" w:rsidRDefault="004C50DC" w:rsidP="004C50DC">
      <w:pPr>
        <w:pStyle w:val="planche"/>
      </w:pPr>
      <w:r w:rsidRPr="00E8358C">
        <w:t>Annexe I</w:t>
      </w:r>
      <w:bookmarkEnd w:id="591"/>
      <w:r w:rsidRPr="00E8358C">
        <w:t>V</w:t>
      </w:r>
      <w:bookmarkEnd w:id="592"/>
    </w:p>
    <w:bookmarkEnd w:id="593"/>
    <w:p w:rsidR="004C50DC" w:rsidRDefault="004C50DC" w:rsidP="004C50DC">
      <w:pPr>
        <w:spacing w:before="120" w:after="120"/>
        <w:jc w:val="both"/>
        <w:rPr>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rPr>
          <w:lang w:eastAsia="fr-FR"/>
        </w:rPr>
      </w:pPr>
    </w:p>
    <w:p w:rsidR="004C50DC" w:rsidRPr="00E8358C" w:rsidRDefault="009B614B" w:rsidP="004C50DC">
      <w:pPr>
        <w:spacing w:before="120" w:after="120"/>
        <w:jc w:val="both"/>
      </w:pPr>
      <w:r w:rsidRPr="00E8358C">
        <w:rPr>
          <w:noProof/>
          <w:lang w:eastAsia="fr-FR"/>
        </w:rPr>
        <w:drawing>
          <wp:inline distT="0" distB="0" distL="0" distR="0">
            <wp:extent cx="3291840" cy="3001645"/>
            <wp:effectExtent l="0" t="0" r="0" b="0"/>
            <wp:docPr id="59" name="Image 50" descr="IMG_1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 descr="IMG_1450"/>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91840" cy="3001645"/>
                    </a:xfrm>
                    <a:prstGeom prst="rect">
                      <a:avLst/>
                    </a:prstGeom>
                    <a:noFill/>
                    <a:ln>
                      <a:noFill/>
                    </a:ln>
                  </pic:spPr>
                </pic:pic>
              </a:graphicData>
            </a:graphic>
          </wp:inline>
        </w:drawing>
      </w:r>
    </w:p>
    <w:p w:rsidR="004C50DC" w:rsidRPr="00E8358C" w:rsidRDefault="004C50DC" w:rsidP="004C50DC">
      <w:pPr>
        <w:pStyle w:val="figst"/>
      </w:pPr>
      <w:r w:rsidRPr="00E8358C">
        <w:rPr>
          <w:lang w:eastAsia="en-CA"/>
        </w:rPr>
        <w:t>Buste de Toussaint Louverture au square Toussaint</w:t>
      </w:r>
      <w:r>
        <w:rPr>
          <w:lang w:eastAsia="en-CA"/>
        </w:rPr>
        <w:t>.</w:t>
      </w:r>
      <w:r>
        <w:rPr>
          <w:lang w:eastAsia="en-CA"/>
        </w:rPr>
        <w:br/>
      </w:r>
      <w:r w:rsidRPr="00E8358C">
        <w:rPr>
          <w:lang w:eastAsia="en-CA"/>
        </w:rPr>
        <w:t>Louverture dans le quartier de Bastide à Bordeaux, France.</w:t>
      </w:r>
      <w:r>
        <w:rPr>
          <w:lang w:eastAsia="en-CA"/>
        </w:rPr>
        <w:br/>
      </w:r>
      <w:r w:rsidRPr="00E8358C">
        <w:rPr>
          <w:lang w:eastAsia="en-CA"/>
        </w:rPr>
        <w:t>Photographie J.R. Augustin, 2013</w:t>
      </w:r>
    </w:p>
    <w:p w:rsidR="004C50DC" w:rsidRPr="00E8358C" w:rsidRDefault="004C50DC" w:rsidP="004C50DC">
      <w:pPr>
        <w:pStyle w:val="p"/>
      </w:pPr>
      <w:r w:rsidRPr="00E8358C">
        <w:br w:type="page"/>
        <w:t>[</w:t>
      </w:r>
      <w:r>
        <w:t>500</w:t>
      </w:r>
      <w:r w:rsidRPr="00E8358C">
        <w:t>]</w:t>
      </w:r>
    </w:p>
    <w:p w:rsidR="004C50DC" w:rsidRPr="00E8358C" w:rsidRDefault="004C50DC" w:rsidP="004C50DC">
      <w:pPr>
        <w:spacing w:before="120" w:after="120"/>
        <w:jc w:val="both"/>
      </w:pPr>
    </w:p>
    <w:p w:rsidR="004C50DC" w:rsidRPr="00EF76C4" w:rsidRDefault="004C50DC" w:rsidP="004C50DC">
      <w:pPr>
        <w:spacing w:after="120"/>
        <w:ind w:firstLine="0"/>
        <w:jc w:val="center"/>
        <w:rPr>
          <w:b/>
          <w:sz w:val="24"/>
        </w:rPr>
      </w:pPr>
      <w:bookmarkStart w:id="594" w:name="_Toc406489832"/>
      <w:bookmarkStart w:id="595" w:name="_Toc442280647"/>
      <w:bookmarkStart w:id="596" w:name="Memoire_annexes_V"/>
      <w:r w:rsidRPr="00EF76C4">
        <w:rPr>
          <w:b/>
          <w:sz w:val="24"/>
        </w:rPr>
        <w:t>Mémoire de l’esclavage en Haïti.</w:t>
      </w:r>
    </w:p>
    <w:p w:rsidR="004C50DC" w:rsidRPr="00E8358C" w:rsidRDefault="004C50DC" w:rsidP="004C50DC">
      <w:pPr>
        <w:pStyle w:val="planche"/>
      </w:pPr>
      <w:r w:rsidRPr="00E8358C">
        <w:t>Annexe V</w:t>
      </w:r>
      <w:bookmarkEnd w:id="594"/>
      <w:bookmarkEnd w:id="595"/>
    </w:p>
    <w:bookmarkEnd w:id="596"/>
    <w:p w:rsidR="004C50DC" w:rsidRDefault="004C50DC" w:rsidP="004C50DC">
      <w:pPr>
        <w:spacing w:before="120" w:after="120"/>
        <w:jc w:val="both"/>
        <w:rPr>
          <w:u w:val="single"/>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ind w:right="90" w:firstLine="0"/>
        <w:jc w:val="both"/>
        <w:rPr>
          <w:sz w:val="20"/>
        </w:rPr>
      </w:pPr>
    </w:p>
    <w:p w:rsidR="004C50DC" w:rsidRPr="00E8358C" w:rsidRDefault="009B614B" w:rsidP="004C50DC">
      <w:pPr>
        <w:spacing w:before="120" w:after="120"/>
        <w:jc w:val="both"/>
        <w:rPr>
          <w:u w:val="single"/>
          <w:lang w:eastAsia="en-CA"/>
        </w:rPr>
      </w:pPr>
      <w:r w:rsidRPr="00E8358C">
        <w:rPr>
          <w:noProof/>
          <w:u w:val="single"/>
          <w:lang w:eastAsia="fr-FR"/>
        </w:rPr>
        <w:drawing>
          <wp:inline distT="0" distB="0" distL="0" distR="0">
            <wp:extent cx="3657600" cy="2764790"/>
            <wp:effectExtent l="0" t="0" r="0" b="0"/>
            <wp:docPr id="60" name="Image 1" descr="C:\Users\INDIRA\Documents\Doctorat Etudes\Photos Musée d'Aquitaine\IMG_2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C:\Users\INDIRA\Documents\Doctorat Etudes\Photos Musée d'Aquitaine\IMG_2069.JPG"/>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57600" cy="2764790"/>
                    </a:xfrm>
                    <a:prstGeom prst="rect">
                      <a:avLst/>
                    </a:prstGeom>
                    <a:noFill/>
                    <a:ln>
                      <a:noFill/>
                    </a:ln>
                  </pic:spPr>
                </pic:pic>
              </a:graphicData>
            </a:graphic>
          </wp:inline>
        </w:drawing>
      </w:r>
    </w:p>
    <w:p w:rsidR="004C50DC" w:rsidRPr="00E8358C" w:rsidRDefault="004C50DC" w:rsidP="004C50DC">
      <w:pPr>
        <w:pStyle w:val="figst"/>
      </w:pPr>
      <w:r w:rsidRPr="00E8358C">
        <w:t>Emménagement d’esclaves dans un négrier, par M. Biard.</w:t>
      </w:r>
      <w:r>
        <w:br/>
      </w:r>
      <w:r w:rsidRPr="00E8358C">
        <w:t>Musée d’Aquitaine de Bordeaux, France.</w:t>
      </w:r>
      <w:r>
        <w:br/>
      </w:r>
      <w:r w:rsidRPr="00E8358C">
        <w:t>Photographie J.R. Augustin, 2013</w:t>
      </w:r>
    </w:p>
    <w:p w:rsidR="004C50DC" w:rsidRPr="00E8358C" w:rsidRDefault="004C50DC" w:rsidP="004C50DC">
      <w:pPr>
        <w:spacing w:before="120" w:after="120"/>
        <w:jc w:val="both"/>
        <w:rPr>
          <w:u w:val="single"/>
        </w:rPr>
      </w:pPr>
    </w:p>
    <w:p w:rsidR="004C50DC" w:rsidRPr="00E8358C" w:rsidRDefault="004C50DC" w:rsidP="004C50DC">
      <w:pPr>
        <w:pStyle w:val="p"/>
      </w:pPr>
      <w:r w:rsidRPr="00E8358C">
        <w:rPr>
          <w:u w:val="single"/>
        </w:rPr>
        <w:br w:type="page"/>
      </w:r>
      <w:r w:rsidRPr="00E8358C">
        <w:t>[50</w:t>
      </w:r>
      <w:r>
        <w:t>1</w:t>
      </w:r>
      <w:r w:rsidRPr="00E8358C">
        <w:t>]</w:t>
      </w:r>
    </w:p>
    <w:p w:rsidR="004C50DC" w:rsidRPr="00E8358C" w:rsidRDefault="004C50DC" w:rsidP="004C50DC">
      <w:pPr>
        <w:spacing w:before="120" w:after="120"/>
        <w:jc w:val="both"/>
        <w:rPr>
          <w:u w:val="single"/>
        </w:rPr>
      </w:pPr>
    </w:p>
    <w:p w:rsidR="004C50DC" w:rsidRPr="00EF76C4" w:rsidRDefault="004C50DC" w:rsidP="004C50DC">
      <w:pPr>
        <w:spacing w:after="120"/>
        <w:ind w:firstLine="0"/>
        <w:jc w:val="center"/>
        <w:rPr>
          <w:b/>
          <w:sz w:val="24"/>
        </w:rPr>
      </w:pPr>
      <w:bookmarkStart w:id="597" w:name="_Toc442280648"/>
      <w:bookmarkStart w:id="598" w:name="Memoire_annexes_VI"/>
      <w:r w:rsidRPr="00EF76C4">
        <w:rPr>
          <w:b/>
          <w:sz w:val="24"/>
        </w:rPr>
        <w:t>Mémoire de l’esclavage en Haïti.</w:t>
      </w:r>
    </w:p>
    <w:p w:rsidR="004C50DC" w:rsidRPr="00E8358C" w:rsidRDefault="004C50DC" w:rsidP="004C50DC">
      <w:pPr>
        <w:pStyle w:val="planche"/>
      </w:pPr>
      <w:r w:rsidRPr="00E8358C">
        <w:t>Annexe VI</w:t>
      </w:r>
      <w:bookmarkEnd w:id="597"/>
    </w:p>
    <w:bookmarkEnd w:id="598"/>
    <w:p w:rsidR="004C50DC" w:rsidRDefault="004C50DC" w:rsidP="004C50DC">
      <w:pPr>
        <w:spacing w:before="120" w:after="120"/>
        <w:jc w:val="both"/>
        <w:rPr>
          <w:lang w:eastAsia="fr-FR"/>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spacing w:before="120" w:after="120"/>
        <w:jc w:val="both"/>
        <w:rPr>
          <w:lang w:eastAsia="fr-FR"/>
        </w:rPr>
      </w:pPr>
    </w:p>
    <w:p w:rsidR="004C50DC" w:rsidRPr="00E8358C" w:rsidRDefault="009B614B" w:rsidP="004C50DC">
      <w:pPr>
        <w:spacing w:before="120" w:after="120"/>
        <w:ind w:left="-720" w:firstLine="0"/>
        <w:jc w:val="right"/>
        <w:rPr>
          <w:lang w:eastAsia="fr-FR"/>
        </w:rPr>
      </w:pPr>
      <w:r w:rsidRPr="00E8358C">
        <w:rPr>
          <w:noProof/>
          <w:lang w:eastAsia="fr-FR"/>
        </w:rPr>
        <w:drawing>
          <wp:inline distT="0" distB="0" distL="0" distR="0">
            <wp:extent cx="5281930" cy="7476490"/>
            <wp:effectExtent l="0" t="0" r="0" b="0"/>
            <wp:docPr id="61" name="Image 52" descr="SCN_0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 descr="SCN_0003"/>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81930" cy="7476490"/>
                    </a:xfrm>
                    <a:prstGeom prst="rect">
                      <a:avLst/>
                    </a:prstGeom>
                    <a:noFill/>
                    <a:ln>
                      <a:noFill/>
                    </a:ln>
                  </pic:spPr>
                </pic:pic>
              </a:graphicData>
            </a:graphic>
          </wp:inline>
        </w:drawing>
      </w:r>
    </w:p>
    <w:p w:rsidR="004C50DC" w:rsidRDefault="004C50DC" w:rsidP="004C50DC">
      <w:pPr>
        <w:pStyle w:val="p"/>
      </w:pPr>
      <w:r>
        <w:br w:type="page"/>
        <w:t>[502]</w:t>
      </w:r>
    </w:p>
    <w:p w:rsidR="004C50DC" w:rsidRPr="00E8358C" w:rsidRDefault="004C50DC" w:rsidP="004C50DC">
      <w:pPr>
        <w:pStyle w:val="p"/>
      </w:pPr>
    </w:p>
    <w:p w:rsidR="004C50DC" w:rsidRPr="00E8358C" w:rsidRDefault="009B614B" w:rsidP="004C50DC">
      <w:pPr>
        <w:spacing w:before="120" w:after="120"/>
        <w:ind w:left="-720" w:firstLine="0"/>
        <w:jc w:val="right"/>
        <w:rPr>
          <w:lang w:eastAsia="fr-FR"/>
        </w:rPr>
      </w:pPr>
      <w:r w:rsidRPr="00E8358C">
        <w:rPr>
          <w:noProof/>
          <w:lang w:eastAsia="fr-FR"/>
        </w:rPr>
        <w:drawing>
          <wp:inline distT="0" distB="0" distL="0" distR="0">
            <wp:extent cx="5680075" cy="5873750"/>
            <wp:effectExtent l="0" t="0" r="0" b="0"/>
            <wp:docPr id="62" name="Image 53" descr="SCN_0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 descr="SCN_0002"/>
                    <pic:cNvPicPr>
                      <a:picLocks/>
                    </pic:cNvPicPr>
                  </pic:nvPicPr>
                  <pic:blipFill>
                    <a:blip r:embed="rId212">
                      <a:extLst>
                        <a:ext uri="{28A0092B-C50C-407E-A947-70E740481C1C}">
                          <a14:useLocalDpi xmlns:a14="http://schemas.microsoft.com/office/drawing/2010/main" val="0"/>
                        </a:ext>
                      </a:extLst>
                    </a:blip>
                    <a:srcRect r="-787" b="32602"/>
                    <a:stretch>
                      <a:fillRect/>
                    </a:stretch>
                  </pic:blipFill>
                  <pic:spPr bwMode="auto">
                    <a:xfrm>
                      <a:off x="0" y="0"/>
                      <a:ext cx="5680075" cy="5873750"/>
                    </a:xfrm>
                    <a:prstGeom prst="rect">
                      <a:avLst/>
                    </a:prstGeom>
                    <a:noFill/>
                    <a:ln>
                      <a:noFill/>
                    </a:ln>
                  </pic:spPr>
                </pic:pic>
              </a:graphicData>
            </a:graphic>
          </wp:inline>
        </w:drawing>
      </w:r>
    </w:p>
    <w:p w:rsidR="004C50DC" w:rsidRPr="00E8358C" w:rsidRDefault="004C50DC" w:rsidP="004C50DC">
      <w:pPr>
        <w:spacing w:before="120" w:after="120"/>
        <w:jc w:val="both"/>
        <w:rPr>
          <w:b/>
          <w:i/>
        </w:rPr>
      </w:pPr>
      <w:bookmarkStart w:id="599" w:name="_Toc442280649"/>
    </w:p>
    <w:p w:rsidR="004C50DC" w:rsidRPr="00E8358C" w:rsidRDefault="004C50DC" w:rsidP="004C50DC">
      <w:pPr>
        <w:pStyle w:val="p"/>
      </w:pPr>
      <w:r w:rsidRPr="00E8358C">
        <w:br w:type="page"/>
        <w:t>[50</w:t>
      </w:r>
      <w:r>
        <w:t>3</w:t>
      </w:r>
      <w:r w:rsidRPr="00E8358C">
        <w:t>]</w:t>
      </w:r>
    </w:p>
    <w:p w:rsidR="004C50DC" w:rsidRPr="00E8358C" w:rsidRDefault="004C50DC" w:rsidP="004C50DC">
      <w:pPr>
        <w:spacing w:before="120" w:after="120"/>
        <w:jc w:val="both"/>
        <w:rPr>
          <w:b/>
          <w:i/>
        </w:rPr>
      </w:pPr>
    </w:p>
    <w:p w:rsidR="004C50DC" w:rsidRPr="00EF76C4" w:rsidRDefault="004C50DC" w:rsidP="004C50DC">
      <w:pPr>
        <w:spacing w:after="120"/>
        <w:ind w:firstLine="0"/>
        <w:jc w:val="center"/>
        <w:rPr>
          <w:b/>
          <w:sz w:val="24"/>
        </w:rPr>
      </w:pPr>
      <w:bookmarkStart w:id="600" w:name="Memoire_annexes_VII"/>
      <w:r w:rsidRPr="00EF76C4">
        <w:rPr>
          <w:b/>
          <w:sz w:val="24"/>
        </w:rPr>
        <w:t>Mémoire de l’esclavage en Haïti.</w:t>
      </w:r>
    </w:p>
    <w:p w:rsidR="004C50DC" w:rsidRPr="00E8358C" w:rsidRDefault="004C50DC" w:rsidP="004C50DC">
      <w:pPr>
        <w:pStyle w:val="planche"/>
      </w:pPr>
      <w:r w:rsidRPr="00E8358C">
        <w:t>Annexe VII</w:t>
      </w:r>
      <w:bookmarkEnd w:id="599"/>
    </w:p>
    <w:bookmarkEnd w:id="600"/>
    <w:p w:rsidR="004C50DC" w:rsidRPr="00E8358C" w:rsidRDefault="004C50DC" w:rsidP="004C50DC">
      <w:pPr>
        <w:spacing w:before="120" w:after="120"/>
        <w:jc w:val="both"/>
        <w:rPr>
          <w:b/>
        </w:rPr>
      </w:pPr>
    </w:p>
    <w:p w:rsidR="004C50DC" w:rsidRPr="00E8358C" w:rsidRDefault="004C50DC" w:rsidP="004C50DC">
      <w:pPr>
        <w:pStyle w:val="suite"/>
      </w:pPr>
      <w:r w:rsidRPr="00E8358C">
        <w:t>Serment au Drapeau de François Duvalier</w:t>
      </w:r>
    </w:p>
    <w:p w:rsidR="004C50DC" w:rsidRPr="00E8358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Default="004C50DC" w:rsidP="004C50DC">
      <w:pPr>
        <w:ind w:right="90" w:firstLine="0"/>
        <w:jc w:val="both"/>
        <w:rPr>
          <w:sz w:val="20"/>
        </w:rPr>
      </w:pPr>
    </w:p>
    <w:p w:rsidR="004C50DC" w:rsidRPr="00E8358C" w:rsidRDefault="004C50DC" w:rsidP="004C50DC">
      <w:pPr>
        <w:spacing w:before="120" w:after="120"/>
        <w:jc w:val="center"/>
      </w:pPr>
      <w:r w:rsidRPr="00E8358C">
        <w:t>Je jure devant Dieu et devant la nation</w:t>
      </w:r>
      <w:r>
        <w:br/>
      </w:r>
      <w:r w:rsidRPr="00E8358C">
        <w:t>d’en être le gardien intraitable et farouche.</w:t>
      </w:r>
      <w:r>
        <w:br/>
      </w:r>
      <w:r w:rsidRPr="00E8358C">
        <w:t>Qu'il flotte désormais dans l’azur</w:t>
      </w:r>
      <w:r>
        <w:br/>
      </w:r>
      <w:r w:rsidRPr="00E8358C">
        <w:t>pour rappeler à tous les Haïtiens</w:t>
      </w:r>
      <w:r>
        <w:br/>
      </w:r>
      <w:r w:rsidRPr="00E8358C">
        <w:t>les prouesses de nos sublimes martyrs</w:t>
      </w:r>
      <w:r>
        <w:br/>
      </w:r>
      <w:r w:rsidRPr="00E8358C">
        <w:t>qui se sont immortalisés,</w:t>
      </w:r>
      <w:r>
        <w:br/>
      </w:r>
      <w:r w:rsidRPr="00E8358C">
        <w:t>sous les boulets et la mitraille,</w:t>
      </w:r>
      <w:r>
        <w:br/>
      </w:r>
      <w:r w:rsidRPr="00E8358C">
        <w:t>sur la Butte Charrier, à Vertières,</w:t>
      </w:r>
      <w:r>
        <w:br/>
      </w:r>
      <w:r w:rsidRPr="00E8358C">
        <w:t>dans la Crête à Pierrot</w:t>
      </w:r>
      <w:r>
        <w:br/>
      </w:r>
      <w:r w:rsidRPr="00E8358C">
        <w:t>pour nous créer une patrie</w:t>
      </w:r>
      <w:r>
        <w:br/>
      </w:r>
      <w:r w:rsidRPr="00E8358C">
        <w:t>où le nègre haïtien</w:t>
      </w:r>
      <w:r>
        <w:br/>
      </w:r>
      <w:r w:rsidRPr="00E8358C">
        <w:t>se sent réellement souverain et libre.</w:t>
      </w:r>
    </w:p>
    <w:p w:rsidR="004C50DC" w:rsidRPr="00E8358C" w:rsidRDefault="004C50DC" w:rsidP="004C50DC">
      <w:pPr>
        <w:spacing w:before="120" w:after="120"/>
        <w:jc w:val="both"/>
        <w:rPr>
          <w:b/>
          <w:bCs/>
          <w:szCs w:val="28"/>
        </w:rPr>
      </w:pPr>
    </w:p>
    <w:p w:rsidR="004C50DC" w:rsidRPr="00E8358C" w:rsidRDefault="004C50DC" w:rsidP="004C50DC">
      <w:pPr>
        <w:pStyle w:val="p"/>
      </w:pPr>
      <w:r w:rsidRPr="00E8358C">
        <w:rPr>
          <w:b/>
        </w:rPr>
        <w:br w:type="page"/>
      </w:r>
      <w:r w:rsidRPr="00E8358C">
        <w:t>[50</w:t>
      </w:r>
      <w:r>
        <w:t>4</w:t>
      </w:r>
      <w:r w:rsidRPr="00E8358C">
        <w:t>]</w:t>
      </w:r>
    </w:p>
    <w:p w:rsidR="004C50DC" w:rsidRPr="00E8358C" w:rsidRDefault="004C50DC" w:rsidP="004C50DC">
      <w:pPr>
        <w:spacing w:before="120" w:after="120"/>
        <w:jc w:val="both"/>
        <w:rPr>
          <w:b/>
          <w:bCs/>
          <w:szCs w:val="28"/>
        </w:rPr>
      </w:pPr>
    </w:p>
    <w:p w:rsidR="004C50DC" w:rsidRPr="00EF76C4" w:rsidRDefault="004C50DC" w:rsidP="004C50DC">
      <w:pPr>
        <w:spacing w:after="120"/>
        <w:ind w:firstLine="0"/>
        <w:jc w:val="center"/>
        <w:rPr>
          <w:b/>
          <w:sz w:val="24"/>
        </w:rPr>
      </w:pPr>
      <w:bookmarkStart w:id="601" w:name="_Toc442280650"/>
      <w:bookmarkStart w:id="602" w:name="Memoire_annexes_VIII"/>
      <w:r w:rsidRPr="00EF76C4">
        <w:rPr>
          <w:b/>
          <w:sz w:val="24"/>
        </w:rPr>
        <w:t>Mémoire de l’esclavage en Haïti.</w:t>
      </w:r>
    </w:p>
    <w:p w:rsidR="004C50DC" w:rsidRPr="00E8358C" w:rsidRDefault="004C50DC" w:rsidP="004C50DC">
      <w:pPr>
        <w:pStyle w:val="planche"/>
      </w:pPr>
      <w:r w:rsidRPr="00E8358C">
        <w:t>Annexe VIII</w:t>
      </w:r>
      <w:bookmarkEnd w:id="601"/>
    </w:p>
    <w:bookmarkEnd w:id="602"/>
    <w:p w:rsidR="004C50DC" w:rsidRDefault="004C50DC" w:rsidP="004C50DC">
      <w:pPr>
        <w:spacing w:before="120" w:after="120"/>
        <w:jc w:val="both"/>
        <w:rPr>
          <w:b/>
          <w:bCs/>
          <w:szCs w:val="28"/>
        </w:rPr>
      </w:pPr>
    </w:p>
    <w:p w:rsidR="004C50DC" w:rsidRPr="00E8358C" w:rsidRDefault="004C50DC" w:rsidP="004C50DC">
      <w:pPr>
        <w:pStyle w:val="suite"/>
      </w:pPr>
      <w:r w:rsidRPr="00E8358C">
        <w:t>Schéma d’entrevue</w:t>
      </w:r>
    </w:p>
    <w:p w:rsidR="004C50DC" w:rsidRPr="00E8358C" w:rsidRDefault="004C50DC" w:rsidP="004C50DC">
      <w:pPr>
        <w:spacing w:before="120" w:after="120"/>
        <w:jc w:val="both"/>
        <w:rPr>
          <w:b/>
          <w:bCs/>
        </w:rPr>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ind w:left="360" w:hanging="360"/>
        <w:jc w:val="both"/>
        <w:rPr>
          <w:b/>
        </w:rPr>
      </w:pPr>
      <w:r>
        <w:rPr>
          <w:b/>
          <w:bCs/>
        </w:rPr>
        <w:t>1.</w:t>
      </w:r>
      <w:r>
        <w:rPr>
          <w:b/>
          <w:bCs/>
        </w:rPr>
        <w:tab/>
      </w:r>
      <w:r w:rsidRPr="00E8358C">
        <w:rPr>
          <w:b/>
          <w:bCs/>
        </w:rPr>
        <w:t>Informations sur la personne interrogée</w:t>
      </w:r>
    </w:p>
    <w:p w:rsidR="004C50DC" w:rsidRDefault="004C50DC" w:rsidP="004C50DC">
      <w:pPr>
        <w:ind w:left="720" w:hanging="360"/>
        <w:jc w:val="both"/>
      </w:pPr>
    </w:p>
    <w:p w:rsidR="004C50DC" w:rsidRPr="00E8358C" w:rsidRDefault="004C50DC" w:rsidP="004C50DC">
      <w:pPr>
        <w:ind w:left="720" w:hanging="360"/>
        <w:jc w:val="both"/>
      </w:pPr>
      <w:r w:rsidRPr="00E8358C">
        <w:t xml:space="preserve">- </w:t>
      </w:r>
      <w:r>
        <w:tab/>
      </w:r>
      <w:r w:rsidRPr="00E8358C">
        <w:t>Prénom et nom de la personne rencontrée</w:t>
      </w:r>
    </w:p>
    <w:p w:rsidR="004C50DC" w:rsidRPr="00E8358C" w:rsidRDefault="004C50DC" w:rsidP="004C50DC">
      <w:pPr>
        <w:ind w:left="720" w:hanging="360"/>
        <w:jc w:val="both"/>
      </w:pPr>
      <w:r w:rsidRPr="00E8358C">
        <w:t xml:space="preserve">- </w:t>
      </w:r>
      <w:r>
        <w:tab/>
      </w:r>
      <w:r w:rsidRPr="00E8358C">
        <w:t>Âge ou date de naissance</w:t>
      </w:r>
    </w:p>
    <w:p w:rsidR="004C50DC" w:rsidRPr="00E8358C" w:rsidRDefault="004C50DC" w:rsidP="004C50DC">
      <w:pPr>
        <w:ind w:left="720" w:hanging="360"/>
        <w:jc w:val="both"/>
      </w:pPr>
      <w:r w:rsidRPr="00E8358C">
        <w:t xml:space="preserve">- </w:t>
      </w:r>
      <w:r>
        <w:tab/>
      </w:r>
      <w:r w:rsidRPr="00E8358C">
        <w:t>Lieu de naissance ou d’origine</w:t>
      </w:r>
    </w:p>
    <w:p w:rsidR="004C50DC" w:rsidRPr="00E8358C" w:rsidRDefault="004C50DC" w:rsidP="004C50DC">
      <w:pPr>
        <w:ind w:left="720" w:hanging="360"/>
        <w:jc w:val="both"/>
      </w:pPr>
      <w:r w:rsidRPr="00E8358C">
        <w:t xml:space="preserve">- </w:t>
      </w:r>
      <w:r>
        <w:tab/>
      </w:r>
      <w:r w:rsidRPr="00E8358C">
        <w:t xml:space="preserve">Sexe </w:t>
      </w:r>
    </w:p>
    <w:p w:rsidR="004C50DC" w:rsidRPr="00E8358C" w:rsidRDefault="004C50DC" w:rsidP="004C50DC">
      <w:pPr>
        <w:ind w:left="720" w:hanging="360"/>
        <w:jc w:val="both"/>
      </w:pPr>
      <w:r w:rsidRPr="00E8358C">
        <w:t xml:space="preserve">- </w:t>
      </w:r>
      <w:r>
        <w:tab/>
      </w:r>
      <w:r w:rsidRPr="00E8358C">
        <w:t>Lieu de résidence actuelle</w:t>
      </w:r>
    </w:p>
    <w:p w:rsidR="004C50DC" w:rsidRPr="00E8358C" w:rsidRDefault="004C50DC" w:rsidP="004C50DC">
      <w:pPr>
        <w:ind w:left="720" w:hanging="360"/>
        <w:jc w:val="both"/>
      </w:pPr>
      <w:r w:rsidRPr="00E8358C">
        <w:t xml:space="preserve">- </w:t>
      </w:r>
      <w:r>
        <w:tab/>
      </w:r>
      <w:r w:rsidRPr="00E8358C">
        <w:t xml:space="preserve">Domiciles antérieurs </w:t>
      </w:r>
    </w:p>
    <w:p w:rsidR="004C50DC" w:rsidRPr="00E8358C" w:rsidRDefault="004C50DC" w:rsidP="004C50DC">
      <w:pPr>
        <w:ind w:left="720" w:hanging="360"/>
        <w:jc w:val="both"/>
      </w:pPr>
      <w:r w:rsidRPr="00E8358C">
        <w:t xml:space="preserve">- </w:t>
      </w:r>
      <w:r>
        <w:tab/>
      </w:r>
      <w:r w:rsidRPr="00E8358C">
        <w:t>Situation familiale d’origine (enfants, rang dans la famille, p</w:t>
      </w:r>
      <w:r w:rsidRPr="00E8358C">
        <w:t>a</w:t>
      </w:r>
      <w:r w:rsidRPr="00E8358C">
        <w:t>rents, grands- parents)</w:t>
      </w:r>
    </w:p>
    <w:p w:rsidR="004C50DC" w:rsidRPr="00E8358C" w:rsidRDefault="004C50DC" w:rsidP="004C50DC">
      <w:pPr>
        <w:ind w:left="720" w:hanging="360"/>
        <w:jc w:val="both"/>
      </w:pPr>
      <w:r w:rsidRPr="00E8358C">
        <w:t xml:space="preserve">- </w:t>
      </w:r>
      <w:r>
        <w:tab/>
      </w:r>
      <w:r w:rsidRPr="00E8358C">
        <w:t>État civil</w:t>
      </w:r>
    </w:p>
    <w:p w:rsidR="004C50DC" w:rsidRPr="00E8358C" w:rsidRDefault="004C50DC" w:rsidP="004C50DC">
      <w:pPr>
        <w:ind w:left="720" w:hanging="360"/>
        <w:jc w:val="both"/>
      </w:pPr>
      <w:r w:rsidRPr="00E8358C">
        <w:t xml:space="preserve">- </w:t>
      </w:r>
      <w:r>
        <w:tab/>
      </w:r>
      <w:r w:rsidRPr="00E8358C">
        <w:t>Formation académique ou professionnelle</w:t>
      </w:r>
    </w:p>
    <w:p w:rsidR="004C50DC" w:rsidRPr="00E8358C" w:rsidRDefault="004C50DC" w:rsidP="004C50DC">
      <w:pPr>
        <w:ind w:left="720" w:hanging="360"/>
        <w:jc w:val="both"/>
      </w:pPr>
      <w:r w:rsidRPr="00E8358C">
        <w:t xml:space="preserve">- </w:t>
      </w:r>
      <w:r>
        <w:tab/>
      </w:r>
      <w:r w:rsidRPr="00E8358C">
        <w:t>Occupation (s)</w:t>
      </w:r>
    </w:p>
    <w:p w:rsidR="004C50DC" w:rsidRDefault="004C50DC" w:rsidP="004C50DC">
      <w:pPr>
        <w:ind w:left="720" w:hanging="360"/>
        <w:jc w:val="both"/>
      </w:pPr>
      <w:r w:rsidRPr="00E8358C">
        <w:t xml:space="preserve">- </w:t>
      </w:r>
      <w:r>
        <w:tab/>
      </w:r>
      <w:r w:rsidRPr="00E8358C">
        <w:t xml:space="preserve">Téléphone </w:t>
      </w:r>
    </w:p>
    <w:p w:rsidR="004C50DC" w:rsidRPr="00E8358C" w:rsidRDefault="004C50DC" w:rsidP="004C50DC">
      <w:pPr>
        <w:spacing w:before="120" w:after="120"/>
        <w:jc w:val="both"/>
      </w:pPr>
    </w:p>
    <w:p w:rsidR="004C50DC" w:rsidRPr="00E8358C" w:rsidRDefault="004C50DC" w:rsidP="004C50DC">
      <w:pPr>
        <w:spacing w:before="120" w:after="120"/>
        <w:ind w:left="360" w:hanging="360"/>
        <w:jc w:val="both"/>
        <w:rPr>
          <w:b/>
        </w:rPr>
      </w:pPr>
      <w:r>
        <w:rPr>
          <w:b/>
        </w:rPr>
        <w:t>2.</w:t>
      </w:r>
      <w:r>
        <w:rPr>
          <w:b/>
        </w:rPr>
        <w:tab/>
      </w:r>
      <w:r w:rsidRPr="00E8358C">
        <w:rPr>
          <w:b/>
        </w:rPr>
        <w:t>Sur les mémoires de l’esclavage</w:t>
      </w:r>
    </w:p>
    <w:p w:rsidR="004C50DC" w:rsidRPr="00E8358C" w:rsidRDefault="004C50DC" w:rsidP="004C50DC">
      <w:pPr>
        <w:ind w:left="720" w:hanging="360"/>
        <w:jc w:val="both"/>
      </w:pPr>
      <w:r w:rsidRPr="00E8358C">
        <w:t xml:space="preserve">- </w:t>
      </w:r>
      <w:r>
        <w:tab/>
      </w:r>
      <w:r w:rsidRPr="00E8358C">
        <w:t>Quel est votre avis sur le système esclavagiste ?</w:t>
      </w:r>
    </w:p>
    <w:p w:rsidR="004C50DC" w:rsidRPr="00E8358C" w:rsidRDefault="004C50DC" w:rsidP="004C50DC">
      <w:pPr>
        <w:ind w:left="720" w:hanging="360"/>
        <w:jc w:val="both"/>
      </w:pPr>
      <w:r w:rsidRPr="00E8358C">
        <w:t xml:space="preserve">- </w:t>
      </w:r>
      <w:r>
        <w:tab/>
      </w:r>
      <w:r w:rsidRPr="00E8358C">
        <w:t>Quelle mémoire conservez-vous du passé colonial esclavagi</w:t>
      </w:r>
      <w:r w:rsidRPr="00E8358C">
        <w:t>s</w:t>
      </w:r>
      <w:r w:rsidRPr="00E8358C">
        <w:t>te en Haïti ?</w:t>
      </w:r>
    </w:p>
    <w:p w:rsidR="004C50DC" w:rsidRPr="00E8358C" w:rsidRDefault="004C50DC" w:rsidP="004C50DC">
      <w:pPr>
        <w:ind w:left="720" w:hanging="360"/>
        <w:jc w:val="both"/>
      </w:pPr>
      <w:r w:rsidRPr="00E8358C">
        <w:t xml:space="preserve">- </w:t>
      </w:r>
      <w:r>
        <w:tab/>
      </w:r>
      <w:r w:rsidRPr="00E8358C">
        <w:t>Quelle est votre perception aujourd’hui de l’esclavage ?</w:t>
      </w:r>
    </w:p>
    <w:p w:rsidR="004C50DC" w:rsidRPr="00E8358C" w:rsidRDefault="004C50DC" w:rsidP="004C50DC">
      <w:pPr>
        <w:ind w:left="720" w:hanging="360"/>
        <w:jc w:val="both"/>
      </w:pPr>
      <w:r w:rsidRPr="00E8358C">
        <w:t xml:space="preserve">- </w:t>
      </w:r>
      <w:r>
        <w:tab/>
      </w:r>
      <w:r w:rsidRPr="00E8358C">
        <w:t>Existe-t-il encore des pratiques dans la société haïtienne qui s’apparentent à l’esclavage ? Lesquelles ? Pourquoi ?</w:t>
      </w:r>
    </w:p>
    <w:p w:rsidR="004C50DC" w:rsidRPr="00E8358C" w:rsidRDefault="004C50DC" w:rsidP="004C50DC">
      <w:pPr>
        <w:ind w:left="720" w:hanging="360"/>
        <w:jc w:val="both"/>
      </w:pPr>
      <w:r w:rsidRPr="00E8358C">
        <w:t xml:space="preserve">- </w:t>
      </w:r>
      <w:r>
        <w:tab/>
      </w:r>
      <w:r w:rsidRPr="00E8358C">
        <w:t>En quoi les mémoires de l’esclavage peuvent-elles être favor</w:t>
      </w:r>
      <w:r w:rsidRPr="00E8358C">
        <w:t>a</w:t>
      </w:r>
      <w:r w:rsidRPr="00E8358C">
        <w:t xml:space="preserve">bles à saisir la société haïtienne ? </w:t>
      </w:r>
    </w:p>
    <w:p w:rsidR="004C50DC" w:rsidRPr="00E8358C" w:rsidRDefault="004C50DC" w:rsidP="004C50DC">
      <w:pPr>
        <w:ind w:left="720" w:hanging="360"/>
        <w:jc w:val="both"/>
      </w:pPr>
      <w:r w:rsidRPr="00E8358C">
        <w:t xml:space="preserve">- </w:t>
      </w:r>
      <w:r>
        <w:tab/>
      </w:r>
      <w:r w:rsidRPr="00E8358C">
        <w:t>Peuvent-elles être considérées comme un terrain propice au dév</w:t>
      </w:r>
      <w:r w:rsidRPr="00E8358C">
        <w:t>e</w:t>
      </w:r>
      <w:r w:rsidRPr="00E8358C">
        <w:t>loppement d’une ethnologie en Haïti ?</w:t>
      </w:r>
    </w:p>
    <w:p w:rsidR="004C50DC" w:rsidRPr="00E8358C" w:rsidRDefault="004C50DC" w:rsidP="004C50DC">
      <w:pPr>
        <w:ind w:left="720" w:hanging="360"/>
        <w:jc w:val="both"/>
      </w:pPr>
      <w:r w:rsidRPr="00E8358C">
        <w:t xml:space="preserve">- </w:t>
      </w:r>
      <w:r>
        <w:tab/>
      </w:r>
      <w:r w:rsidRPr="00E8358C">
        <w:t>Quels sont les lieux, pratiques ou formes d’expressions qui peuvent être des souvenirs du colonial encore présent dans l’environnement social, politique, religieux et culturel haïtien ?</w:t>
      </w:r>
    </w:p>
    <w:p w:rsidR="004C50DC" w:rsidRPr="00E8358C" w:rsidRDefault="004C50DC" w:rsidP="004C50DC">
      <w:pPr>
        <w:ind w:left="720" w:hanging="360"/>
        <w:jc w:val="both"/>
      </w:pPr>
      <w:r w:rsidRPr="00E8358C">
        <w:t xml:space="preserve">- </w:t>
      </w:r>
      <w:r>
        <w:tab/>
      </w:r>
      <w:r w:rsidRPr="00E8358C">
        <w:t xml:space="preserve">Quelles sont les caractéristiques de ces mémoires ? En quoi sont-elles des héritages de ce passé ? </w:t>
      </w:r>
    </w:p>
    <w:p w:rsidR="004C50DC" w:rsidRPr="00E8358C" w:rsidRDefault="004C50DC" w:rsidP="004C50DC">
      <w:pPr>
        <w:ind w:left="720" w:hanging="360"/>
        <w:jc w:val="both"/>
      </w:pPr>
      <w:r w:rsidRPr="00E8358C">
        <w:t xml:space="preserve">- </w:t>
      </w:r>
      <w:r>
        <w:tab/>
      </w:r>
      <w:r w:rsidRPr="00E8358C">
        <w:t>Sont-elles conservées et transmises ? Qui les construit ? Co</w:t>
      </w:r>
      <w:r w:rsidRPr="00E8358C">
        <w:t>m</w:t>
      </w:r>
      <w:r w:rsidRPr="00E8358C">
        <w:t>ment sont-elles transmises ?</w:t>
      </w:r>
    </w:p>
    <w:p w:rsidR="004C50DC" w:rsidRPr="00E8358C" w:rsidRDefault="004C50DC" w:rsidP="004C50DC">
      <w:pPr>
        <w:ind w:left="720" w:hanging="360"/>
        <w:jc w:val="both"/>
      </w:pPr>
      <w:r w:rsidRPr="00E8358C">
        <w:t xml:space="preserve">- </w:t>
      </w:r>
      <w:r>
        <w:tab/>
      </w:r>
      <w:r w:rsidRPr="00E8358C">
        <w:t>Quels éléments de la mémoire collective en lien à l’esclavage ide</w:t>
      </w:r>
      <w:r w:rsidRPr="00E8358C">
        <w:t>n</w:t>
      </w:r>
      <w:r w:rsidRPr="00E8358C">
        <w:t xml:space="preserve">tifiez-vous en Haïti ? </w:t>
      </w:r>
    </w:p>
    <w:p w:rsidR="004C50DC" w:rsidRDefault="004C50DC" w:rsidP="004C50DC">
      <w:pPr>
        <w:ind w:left="720" w:hanging="360"/>
        <w:jc w:val="both"/>
      </w:pPr>
      <w:r w:rsidRPr="00E8358C">
        <w:t xml:space="preserve">- </w:t>
      </w:r>
      <w:r>
        <w:tab/>
      </w:r>
      <w:r w:rsidRPr="00E8358C">
        <w:t>Quelles sont les possibilités pour l’Haïtien de s’identifier aux de</w:t>
      </w:r>
      <w:r w:rsidRPr="00E8358C">
        <w:t>s</w:t>
      </w:r>
      <w:r w:rsidRPr="00E8358C">
        <w:t>cendants d’esclaves aujourd’hui ?</w:t>
      </w:r>
    </w:p>
    <w:p w:rsidR="004C50DC" w:rsidRPr="00E8358C" w:rsidRDefault="004C50DC" w:rsidP="004C50DC">
      <w:pPr>
        <w:spacing w:before="120" w:after="120"/>
        <w:jc w:val="both"/>
      </w:pPr>
    </w:p>
    <w:p w:rsidR="004C50DC" w:rsidRPr="00E8358C" w:rsidRDefault="004C50DC" w:rsidP="004C50DC">
      <w:pPr>
        <w:spacing w:before="120" w:after="120"/>
        <w:ind w:left="360" w:hanging="360"/>
        <w:jc w:val="both"/>
        <w:rPr>
          <w:b/>
        </w:rPr>
      </w:pPr>
      <w:r>
        <w:rPr>
          <w:b/>
        </w:rPr>
        <w:t>3.</w:t>
      </w:r>
      <w:r>
        <w:rPr>
          <w:b/>
        </w:rPr>
        <w:tab/>
      </w:r>
      <w:r w:rsidRPr="00E8358C">
        <w:rPr>
          <w:b/>
        </w:rPr>
        <w:t>Sur les politiques culturelles en Haïti</w:t>
      </w:r>
    </w:p>
    <w:p w:rsidR="004C50DC" w:rsidRDefault="004C50DC" w:rsidP="004C50DC">
      <w:pPr>
        <w:spacing w:before="120" w:after="120"/>
        <w:jc w:val="both"/>
      </w:pPr>
    </w:p>
    <w:p w:rsidR="004C50DC" w:rsidRPr="00E8358C" w:rsidRDefault="004C50DC" w:rsidP="004C50DC">
      <w:pPr>
        <w:spacing w:before="120" w:after="120"/>
        <w:jc w:val="both"/>
      </w:pPr>
      <w:r w:rsidRPr="00E8358C">
        <w:t xml:space="preserve">- </w:t>
      </w:r>
      <w:r>
        <w:tab/>
      </w:r>
      <w:r w:rsidRPr="00E8358C">
        <w:t>Existe-t-il une politique culturelle haïtienne qui définit les a</w:t>
      </w:r>
      <w:r w:rsidRPr="00E8358C">
        <w:t>c</w:t>
      </w:r>
      <w:r w:rsidRPr="00E8358C">
        <w:t>tions à entreprendre pour conserver les mémoires de l’esclavage en Haïti ?</w:t>
      </w:r>
    </w:p>
    <w:p w:rsidR="004C50DC" w:rsidRPr="00E8358C" w:rsidRDefault="004C50DC" w:rsidP="004C50DC">
      <w:pPr>
        <w:ind w:left="720" w:hanging="360"/>
        <w:jc w:val="both"/>
      </w:pPr>
      <w:r w:rsidRPr="00E8358C">
        <w:t xml:space="preserve">- </w:t>
      </w:r>
      <w:r>
        <w:tab/>
      </w:r>
      <w:r w:rsidRPr="00E8358C">
        <w:t>Quelles sont les principales institutions qui devraient s’en o</w:t>
      </w:r>
      <w:r w:rsidRPr="00E8358C">
        <w:t>c</w:t>
      </w:r>
      <w:r w:rsidRPr="00E8358C">
        <w:t xml:space="preserve">cuper ? </w:t>
      </w:r>
    </w:p>
    <w:p w:rsidR="004C50DC" w:rsidRDefault="004C50DC" w:rsidP="004C50DC">
      <w:pPr>
        <w:ind w:left="720" w:hanging="360"/>
        <w:jc w:val="both"/>
      </w:pPr>
      <w:r w:rsidRPr="00E8358C">
        <w:t xml:space="preserve">- </w:t>
      </w:r>
      <w:r>
        <w:tab/>
      </w:r>
      <w:r w:rsidRPr="00E8358C">
        <w:t>Leur patrimonialisation est-elle possible ? Si oui, pourquoi et comment ? Si non, pourquoi ?</w:t>
      </w:r>
    </w:p>
    <w:p w:rsidR="004C50DC" w:rsidRPr="00E8358C" w:rsidRDefault="004C50DC" w:rsidP="004C50DC">
      <w:pPr>
        <w:pStyle w:val="p"/>
      </w:pPr>
      <w:r>
        <w:t>[505]</w:t>
      </w:r>
    </w:p>
    <w:p w:rsidR="004C50DC" w:rsidRPr="00E8358C" w:rsidRDefault="004C50DC" w:rsidP="004C50DC">
      <w:pPr>
        <w:ind w:left="720" w:hanging="360"/>
        <w:jc w:val="both"/>
      </w:pPr>
      <w:r w:rsidRPr="00E8358C">
        <w:t xml:space="preserve">- </w:t>
      </w:r>
      <w:r>
        <w:tab/>
      </w:r>
      <w:r w:rsidRPr="00E8358C">
        <w:t xml:space="preserve">Quels sont les enjeux d’une éventuelle patrimonialisation ? </w:t>
      </w:r>
    </w:p>
    <w:p w:rsidR="004C50DC" w:rsidRPr="00E8358C" w:rsidRDefault="004C50DC" w:rsidP="004C50DC">
      <w:pPr>
        <w:ind w:left="720" w:hanging="360"/>
        <w:jc w:val="both"/>
      </w:pPr>
      <w:r w:rsidRPr="00E8358C">
        <w:t xml:space="preserve">- </w:t>
      </w:r>
      <w:r>
        <w:tab/>
      </w:r>
      <w:r w:rsidRPr="00E8358C">
        <w:t>Quelles positions adoptent les médias vis-à-vis de ces mémoires en Haïti ?</w:t>
      </w:r>
    </w:p>
    <w:p w:rsidR="004C50DC" w:rsidRPr="00E8358C" w:rsidRDefault="004C50DC" w:rsidP="004C50DC">
      <w:pPr>
        <w:ind w:left="720" w:hanging="360"/>
        <w:jc w:val="both"/>
      </w:pPr>
      <w:r w:rsidRPr="00E8358C">
        <w:t xml:space="preserve">- </w:t>
      </w:r>
      <w:r>
        <w:tab/>
      </w:r>
      <w:r w:rsidRPr="00E8358C">
        <w:t>Répondent-elles à leur mission ? Pourquoi ? Quelles sont les pri</w:t>
      </w:r>
      <w:r w:rsidRPr="00E8358C">
        <w:t>n</w:t>
      </w:r>
      <w:r w:rsidRPr="00E8358C">
        <w:t xml:space="preserve">cipales barrières ? </w:t>
      </w:r>
    </w:p>
    <w:p w:rsidR="004C50DC" w:rsidRDefault="004C50DC" w:rsidP="004C50DC">
      <w:pPr>
        <w:ind w:left="720" w:hanging="360"/>
        <w:jc w:val="both"/>
      </w:pPr>
      <w:r w:rsidRPr="00E8358C">
        <w:t xml:space="preserve">- </w:t>
      </w:r>
      <w:r>
        <w:tab/>
      </w:r>
      <w:r w:rsidRPr="00E8358C">
        <w:t>Des travaux de sauvegarde s’effectuent-ils sur ces sites en ra</w:t>
      </w:r>
      <w:r w:rsidRPr="00E8358C">
        <w:t>p</w:t>
      </w:r>
      <w:r w:rsidRPr="00E8358C">
        <w:t xml:space="preserve">port à ces mémoires ? </w:t>
      </w:r>
    </w:p>
    <w:p w:rsidR="004C50DC" w:rsidRPr="00E8358C" w:rsidRDefault="004C50DC" w:rsidP="004C50DC">
      <w:pPr>
        <w:ind w:left="720" w:hanging="360"/>
        <w:jc w:val="both"/>
      </w:pPr>
    </w:p>
    <w:p w:rsidR="004C50DC" w:rsidRPr="00E8358C" w:rsidRDefault="004C50DC" w:rsidP="004C50DC">
      <w:pPr>
        <w:spacing w:before="120" w:after="120"/>
        <w:ind w:left="360" w:hanging="360"/>
        <w:jc w:val="both"/>
        <w:rPr>
          <w:b/>
        </w:rPr>
      </w:pPr>
      <w:r>
        <w:rPr>
          <w:b/>
        </w:rPr>
        <w:t>4.</w:t>
      </w:r>
      <w:r>
        <w:rPr>
          <w:b/>
        </w:rPr>
        <w:tab/>
      </w:r>
      <w:r w:rsidRPr="00E8358C">
        <w:rPr>
          <w:b/>
        </w:rPr>
        <w:t>Mémoires de l’esclavage et rapport avec les habitations col</w:t>
      </w:r>
      <w:r w:rsidRPr="00E8358C">
        <w:rPr>
          <w:b/>
        </w:rPr>
        <w:t>o</w:t>
      </w:r>
      <w:r w:rsidRPr="00E8358C">
        <w:rPr>
          <w:b/>
        </w:rPr>
        <w:t>niales et les fortifications</w:t>
      </w:r>
    </w:p>
    <w:p w:rsidR="004C50DC" w:rsidRDefault="004C50DC" w:rsidP="004C50DC">
      <w:pPr>
        <w:ind w:left="720" w:hanging="360"/>
        <w:jc w:val="both"/>
      </w:pPr>
    </w:p>
    <w:p w:rsidR="004C50DC" w:rsidRPr="00E8358C" w:rsidRDefault="004C50DC" w:rsidP="004C50DC">
      <w:pPr>
        <w:ind w:left="720" w:hanging="360"/>
        <w:jc w:val="both"/>
      </w:pPr>
      <w:r w:rsidRPr="00E8358C">
        <w:t xml:space="preserve">- </w:t>
      </w:r>
      <w:r>
        <w:tab/>
      </w:r>
      <w:r w:rsidRPr="00E8358C">
        <w:t>Quelle est votre perception de ces lieux ? Quelle est la valeur que revêtent les vestiges ?</w:t>
      </w:r>
    </w:p>
    <w:p w:rsidR="004C50DC" w:rsidRPr="00E8358C" w:rsidRDefault="004C50DC" w:rsidP="004C50DC">
      <w:pPr>
        <w:ind w:left="720" w:hanging="360"/>
        <w:jc w:val="both"/>
      </w:pPr>
      <w:r w:rsidRPr="00E8358C">
        <w:t xml:space="preserve">- </w:t>
      </w:r>
      <w:r>
        <w:tab/>
      </w:r>
      <w:r w:rsidRPr="00E8358C">
        <w:t>Est-ce qu’ils vous rappellent quelque chose ?</w:t>
      </w:r>
    </w:p>
    <w:p w:rsidR="004C50DC" w:rsidRPr="00E8358C" w:rsidRDefault="004C50DC" w:rsidP="004C50DC">
      <w:pPr>
        <w:ind w:left="720" w:hanging="360"/>
        <w:jc w:val="both"/>
      </w:pPr>
      <w:r w:rsidRPr="00E8358C">
        <w:t xml:space="preserve">- </w:t>
      </w:r>
      <w:r>
        <w:tab/>
      </w:r>
      <w:r w:rsidRPr="00E8358C">
        <w:t>Quelles informations avez-vous sur les habitations et/ou les fortif</w:t>
      </w:r>
      <w:r w:rsidRPr="00E8358C">
        <w:t>i</w:t>
      </w:r>
      <w:r w:rsidRPr="00E8358C">
        <w:t xml:space="preserve">cations? </w:t>
      </w:r>
    </w:p>
    <w:p w:rsidR="004C50DC" w:rsidRPr="00E8358C" w:rsidRDefault="004C50DC" w:rsidP="004C50DC">
      <w:pPr>
        <w:ind w:left="720" w:hanging="360"/>
        <w:jc w:val="both"/>
      </w:pPr>
      <w:r w:rsidRPr="00E8358C">
        <w:t xml:space="preserve">- </w:t>
      </w:r>
      <w:r>
        <w:tab/>
      </w:r>
      <w:r w:rsidRPr="00E8358C">
        <w:t xml:space="preserve">Comment dans votre communauté percevez-vous ces lieux ? </w:t>
      </w:r>
    </w:p>
    <w:p w:rsidR="004C50DC" w:rsidRPr="00E8358C" w:rsidRDefault="004C50DC" w:rsidP="004C50DC">
      <w:pPr>
        <w:ind w:left="720" w:hanging="360"/>
        <w:jc w:val="both"/>
      </w:pPr>
      <w:r w:rsidRPr="00E8358C">
        <w:t xml:space="preserve">- </w:t>
      </w:r>
      <w:r>
        <w:tab/>
      </w:r>
      <w:r w:rsidRPr="00E8358C">
        <w:t>Comment les vestiges de ces habitations coloniales et de ces fort</w:t>
      </w:r>
      <w:r w:rsidRPr="00E8358C">
        <w:t>i</w:t>
      </w:r>
      <w:r w:rsidRPr="00E8358C">
        <w:t>fications peuvent-ils servir de supports aux mémoires de l’esclavage aujourd’hui en Haïti ?</w:t>
      </w:r>
    </w:p>
    <w:p w:rsidR="004C50DC" w:rsidRPr="00E8358C" w:rsidRDefault="004C50DC" w:rsidP="004C50DC">
      <w:pPr>
        <w:ind w:left="720" w:hanging="360"/>
        <w:jc w:val="both"/>
      </w:pPr>
      <w:r w:rsidRPr="00E8358C">
        <w:t xml:space="preserve">- </w:t>
      </w:r>
      <w:r>
        <w:tab/>
      </w:r>
      <w:r w:rsidRPr="00E8358C">
        <w:t>Sont-ils vraiment des cadres à ces mémoires ?</w:t>
      </w:r>
    </w:p>
    <w:p w:rsidR="004C50DC" w:rsidRPr="00E8358C" w:rsidRDefault="004C50DC" w:rsidP="004C50DC">
      <w:pPr>
        <w:ind w:left="720" w:hanging="360"/>
        <w:jc w:val="both"/>
      </w:pPr>
      <w:r w:rsidRPr="00E8358C">
        <w:t xml:space="preserve">- </w:t>
      </w:r>
      <w:r>
        <w:tab/>
      </w:r>
      <w:r w:rsidRPr="00E8358C">
        <w:t>Peut-on les considérer comme des cadres à un patrimoine mém</w:t>
      </w:r>
      <w:r w:rsidRPr="00E8358C">
        <w:t>o</w:t>
      </w:r>
      <w:r w:rsidRPr="00E8358C">
        <w:t>riel de l’esclavage en Haïti ?</w:t>
      </w:r>
    </w:p>
    <w:p w:rsidR="004C50DC" w:rsidRPr="00E8358C" w:rsidRDefault="004C50DC" w:rsidP="004C50DC">
      <w:pPr>
        <w:ind w:left="720" w:hanging="360"/>
        <w:jc w:val="both"/>
      </w:pPr>
      <w:r w:rsidRPr="00E8358C">
        <w:t xml:space="preserve">- </w:t>
      </w:r>
      <w:r>
        <w:tab/>
      </w:r>
      <w:r w:rsidRPr="00E8358C">
        <w:t>Quelles sont les autres traces vivantes qui forment l’expression de la mémoire de l’esclavage en Haïti ? (Comment la langue cré</w:t>
      </w:r>
      <w:r w:rsidRPr="00E8358C">
        <w:t>o</w:t>
      </w:r>
      <w:r w:rsidRPr="00E8358C">
        <w:t>le, la religion vodou, les expressions littéraires et artistiques sont-elles marquées par le passé colonial esclavagiste en Ha</w:t>
      </w:r>
      <w:r w:rsidRPr="00E8358C">
        <w:t>ï</w:t>
      </w:r>
      <w:r w:rsidRPr="00E8358C">
        <w:t>ti ?)</w:t>
      </w:r>
    </w:p>
    <w:p w:rsidR="004C50DC" w:rsidRDefault="004C50DC" w:rsidP="004C50DC">
      <w:pPr>
        <w:ind w:left="720" w:hanging="360"/>
        <w:jc w:val="both"/>
      </w:pPr>
      <w:r w:rsidRPr="00E8358C">
        <w:t xml:space="preserve">- </w:t>
      </w:r>
      <w:r>
        <w:tab/>
      </w:r>
      <w:r w:rsidRPr="00E8358C">
        <w:t>Le débat sur la dette de l’indépendance peut-il être intégré aux mémoires de l’esclavage en Haïti ? Si oui pourquoi ? Si non pou</w:t>
      </w:r>
      <w:r w:rsidRPr="00E8358C">
        <w:t>r</w:t>
      </w:r>
      <w:r w:rsidRPr="00E8358C">
        <w:t xml:space="preserve">quoi ? </w:t>
      </w:r>
    </w:p>
    <w:p w:rsidR="004C50DC" w:rsidRPr="00E8358C" w:rsidRDefault="004C50DC" w:rsidP="004C50DC">
      <w:pPr>
        <w:spacing w:before="120" w:after="120"/>
        <w:jc w:val="both"/>
      </w:pPr>
    </w:p>
    <w:p w:rsidR="004C50DC" w:rsidRPr="00E8358C" w:rsidRDefault="004C50DC" w:rsidP="004C50DC">
      <w:pPr>
        <w:spacing w:before="120" w:after="120"/>
        <w:ind w:left="360" w:hanging="360"/>
        <w:jc w:val="both"/>
        <w:rPr>
          <w:b/>
        </w:rPr>
      </w:pPr>
      <w:r>
        <w:rPr>
          <w:b/>
        </w:rPr>
        <w:t>5.</w:t>
      </w:r>
      <w:r>
        <w:rPr>
          <w:b/>
        </w:rPr>
        <w:tab/>
      </w:r>
      <w:r w:rsidRPr="00E8358C">
        <w:rPr>
          <w:b/>
        </w:rPr>
        <w:t>Mise en valeur des mémoires de l’esclavage</w:t>
      </w:r>
    </w:p>
    <w:p w:rsidR="004C50DC" w:rsidRDefault="004C50DC" w:rsidP="004C50DC">
      <w:pPr>
        <w:spacing w:before="120" w:after="120"/>
        <w:jc w:val="both"/>
      </w:pPr>
    </w:p>
    <w:p w:rsidR="004C50DC" w:rsidRPr="00E8358C" w:rsidRDefault="004C50DC" w:rsidP="004C50DC">
      <w:pPr>
        <w:ind w:left="720" w:hanging="360"/>
        <w:jc w:val="both"/>
      </w:pPr>
      <w:r w:rsidRPr="00E8358C">
        <w:t xml:space="preserve">- </w:t>
      </w:r>
      <w:r>
        <w:tab/>
      </w:r>
      <w:r w:rsidRPr="00E8358C">
        <w:t>Qu’est-ce qui constitue le patrimoine mémoriel de l’esclavage en Haïti ?</w:t>
      </w:r>
    </w:p>
    <w:p w:rsidR="004C50DC" w:rsidRPr="00E8358C" w:rsidRDefault="004C50DC" w:rsidP="004C50DC">
      <w:pPr>
        <w:ind w:left="720" w:hanging="360"/>
        <w:jc w:val="both"/>
      </w:pPr>
      <w:r w:rsidRPr="00E8358C">
        <w:t xml:space="preserve">- </w:t>
      </w:r>
      <w:r>
        <w:tab/>
      </w:r>
      <w:r w:rsidRPr="00E8358C">
        <w:t>Peut-on considérer les mémoires de l’esclavage comme un p</w:t>
      </w:r>
      <w:r w:rsidRPr="00E8358C">
        <w:t>a</w:t>
      </w:r>
      <w:r w:rsidRPr="00E8358C">
        <w:t>trimoine en Haïti ?</w:t>
      </w:r>
    </w:p>
    <w:p w:rsidR="004C50DC" w:rsidRPr="00E8358C" w:rsidRDefault="004C50DC" w:rsidP="004C50DC">
      <w:pPr>
        <w:ind w:left="720" w:hanging="360"/>
        <w:jc w:val="both"/>
      </w:pPr>
      <w:r w:rsidRPr="00E8358C">
        <w:t xml:space="preserve">- </w:t>
      </w:r>
      <w:r>
        <w:tab/>
      </w:r>
      <w:r w:rsidRPr="00E8358C">
        <w:t>Comment sont-elles présentées dans l’espace public ? Sont-elles présentes dans les musées ? Comment ? Quel discours et quel concept sont développés autour de ces mémoires ? Pou</w:t>
      </w:r>
      <w:r w:rsidRPr="00E8358C">
        <w:t>r</w:t>
      </w:r>
      <w:r w:rsidRPr="00E8358C">
        <w:t xml:space="preserve">quoi ? </w:t>
      </w:r>
    </w:p>
    <w:p w:rsidR="004C50DC" w:rsidRPr="00E8358C" w:rsidRDefault="004C50DC" w:rsidP="004C50DC">
      <w:pPr>
        <w:ind w:left="720" w:hanging="360"/>
        <w:jc w:val="both"/>
      </w:pPr>
      <w:r w:rsidRPr="00E8358C">
        <w:t xml:space="preserve">- </w:t>
      </w:r>
      <w:r>
        <w:tab/>
      </w:r>
      <w:r w:rsidRPr="00E8358C">
        <w:t>Est-ce qu’elles sont enseignées ? Pourquoi ? Comment ? Quel est le message central transmis ? Pourquoi ?</w:t>
      </w:r>
    </w:p>
    <w:p w:rsidR="004C50DC" w:rsidRPr="00E8358C" w:rsidRDefault="004C50DC" w:rsidP="004C50DC">
      <w:pPr>
        <w:ind w:left="720" w:hanging="360"/>
        <w:jc w:val="both"/>
      </w:pPr>
      <w:r w:rsidRPr="00E8358C">
        <w:t xml:space="preserve">- </w:t>
      </w:r>
      <w:r>
        <w:tab/>
      </w:r>
      <w:r w:rsidRPr="00E8358C">
        <w:t xml:space="preserve">Comment sont-elles prises en compte dans les mises en scène commémoratives en Haïti ? </w:t>
      </w:r>
    </w:p>
    <w:p w:rsidR="004C50DC" w:rsidRPr="00E8358C" w:rsidRDefault="004C50DC" w:rsidP="004C50DC">
      <w:pPr>
        <w:ind w:left="720" w:hanging="360"/>
        <w:jc w:val="both"/>
      </w:pPr>
      <w:r w:rsidRPr="00E8358C">
        <w:t xml:space="preserve">- </w:t>
      </w:r>
      <w:r>
        <w:tab/>
      </w:r>
      <w:r w:rsidRPr="00E8358C">
        <w:t>Peuvent-elles être des sources de fierté, de revendication et d’identification pour l’Haïtien? Constituent-elles aussi des sources de gêne ?</w:t>
      </w:r>
    </w:p>
    <w:p w:rsidR="004C50DC" w:rsidRPr="00E8358C" w:rsidRDefault="004C50DC" w:rsidP="004C50DC">
      <w:pPr>
        <w:ind w:left="720" w:hanging="360"/>
        <w:jc w:val="both"/>
      </w:pPr>
      <w:r w:rsidRPr="00E8358C">
        <w:t xml:space="preserve">- </w:t>
      </w:r>
      <w:r>
        <w:tab/>
      </w:r>
      <w:r w:rsidRPr="00E8358C">
        <w:t>Quelle valorisation à la résistance à l’esclavage font les Ha</w:t>
      </w:r>
      <w:r w:rsidRPr="00E8358C">
        <w:t>ï</w:t>
      </w:r>
      <w:r w:rsidRPr="00E8358C">
        <w:t xml:space="preserve">tiens de l’indépendance à aujourd’hui ? </w:t>
      </w:r>
    </w:p>
    <w:p w:rsidR="004C50DC" w:rsidRPr="00E8358C" w:rsidRDefault="004C50DC" w:rsidP="004C50DC">
      <w:pPr>
        <w:ind w:left="720" w:hanging="360"/>
        <w:jc w:val="both"/>
      </w:pPr>
      <w:r w:rsidRPr="00E8358C">
        <w:t xml:space="preserve">- </w:t>
      </w:r>
      <w:r>
        <w:tab/>
      </w:r>
      <w:r w:rsidRPr="00E8358C">
        <w:t>Quel est votre avis sur un projet de mise en patrimoine des ve</w:t>
      </w:r>
      <w:r w:rsidRPr="00E8358C">
        <w:t>s</w:t>
      </w:r>
      <w:r w:rsidRPr="00E8358C">
        <w:t>tiges des habitations coloniales et des fortifications ? </w:t>
      </w:r>
    </w:p>
    <w:p w:rsidR="004C50DC" w:rsidRPr="00E8358C" w:rsidRDefault="004C50DC" w:rsidP="004C50DC">
      <w:pPr>
        <w:ind w:left="720" w:hanging="360"/>
        <w:jc w:val="both"/>
      </w:pPr>
      <w:r w:rsidRPr="00E8358C">
        <w:t xml:space="preserve">- </w:t>
      </w:r>
      <w:r>
        <w:tab/>
      </w:r>
      <w:r w:rsidRPr="00E8358C">
        <w:t>À quels critères doit satisfaire une habitation coloniale ou une fo</w:t>
      </w:r>
      <w:r w:rsidRPr="00E8358C">
        <w:t>r</w:t>
      </w:r>
      <w:r w:rsidRPr="00E8358C">
        <w:t xml:space="preserve">tification pour être considérée comme un lieu de mémoire en Haïti ? </w:t>
      </w:r>
    </w:p>
    <w:p w:rsidR="004C50DC" w:rsidRDefault="004C50DC" w:rsidP="004C50DC">
      <w:pPr>
        <w:pStyle w:val="p"/>
      </w:pPr>
      <w:r>
        <w:t>[506]</w:t>
      </w:r>
    </w:p>
    <w:p w:rsidR="004C50DC" w:rsidRPr="00E8358C" w:rsidRDefault="004C50DC" w:rsidP="004C50DC">
      <w:pPr>
        <w:ind w:left="720" w:hanging="360"/>
        <w:jc w:val="both"/>
      </w:pPr>
      <w:r w:rsidRPr="00E8358C">
        <w:t xml:space="preserve">- </w:t>
      </w:r>
      <w:r>
        <w:tab/>
      </w:r>
      <w:r w:rsidRPr="00E8358C">
        <w:t xml:space="preserve">Que savez-vous du projet de la </w:t>
      </w:r>
      <w:r w:rsidRPr="00E8358C">
        <w:rPr>
          <w:i/>
        </w:rPr>
        <w:t>Route 2004</w:t>
      </w:r>
      <w:r w:rsidRPr="00E8358C">
        <w:t xml:space="preserve"> en Haïti et du projet de </w:t>
      </w:r>
      <w:r w:rsidRPr="00E8358C">
        <w:rPr>
          <w:i/>
        </w:rPr>
        <w:t>La Route de l’esclave</w:t>
      </w:r>
      <w:r w:rsidRPr="00E8358C">
        <w:t xml:space="preserve"> de l’UNESCO ?</w:t>
      </w:r>
    </w:p>
    <w:p w:rsidR="004C50DC" w:rsidRPr="00E8358C" w:rsidRDefault="004C50DC" w:rsidP="004C50DC">
      <w:pPr>
        <w:ind w:left="720" w:hanging="360"/>
        <w:jc w:val="both"/>
      </w:pPr>
      <w:r w:rsidRPr="00E8358C">
        <w:t xml:space="preserve">- </w:t>
      </w:r>
      <w:r>
        <w:tab/>
      </w:r>
      <w:r w:rsidRPr="00E8358C">
        <w:t xml:space="preserve">Comment voyez-vous la réalisation de ces projets aujourd’hui en Haïti ? </w:t>
      </w:r>
    </w:p>
    <w:p w:rsidR="004C50DC" w:rsidRPr="00E8358C" w:rsidRDefault="004C50DC" w:rsidP="004C50DC">
      <w:pPr>
        <w:ind w:left="720" w:hanging="360"/>
        <w:jc w:val="both"/>
      </w:pPr>
      <w:r w:rsidRPr="00E8358C">
        <w:t xml:space="preserve">- </w:t>
      </w:r>
      <w:r>
        <w:tab/>
      </w:r>
      <w:r w:rsidRPr="00E8358C">
        <w:t>Quelles sont les incidences que peut avoir un tel projet dans la s</w:t>
      </w:r>
      <w:r w:rsidRPr="00E8358C">
        <w:t>o</w:t>
      </w:r>
      <w:r w:rsidRPr="00E8358C">
        <w:t>ciété haïtienne ?</w:t>
      </w:r>
      <w:r w:rsidRPr="00E8358C">
        <w:rPr>
          <w:vertAlign w:val="superscript"/>
        </w:rPr>
        <w:t> </w:t>
      </w:r>
    </w:p>
    <w:p w:rsidR="004C50DC" w:rsidRPr="00E8358C" w:rsidRDefault="004C50DC" w:rsidP="004C50DC">
      <w:pPr>
        <w:ind w:left="720" w:hanging="360"/>
        <w:jc w:val="both"/>
      </w:pPr>
      <w:r w:rsidRPr="00E8358C">
        <w:t xml:space="preserve">- </w:t>
      </w:r>
      <w:r>
        <w:tab/>
      </w:r>
      <w:r w:rsidRPr="00E8358C">
        <w:t>Comment peut-il contribuer au « vouloir vivre ensemble » ha</w:t>
      </w:r>
      <w:r w:rsidRPr="00E8358C">
        <w:t>ï</w:t>
      </w:r>
      <w:r w:rsidRPr="00E8358C">
        <w:t>tien ?</w:t>
      </w:r>
    </w:p>
    <w:p w:rsidR="004C50DC" w:rsidRPr="00E8358C" w:rsidRDefault="004C50DC" w:rsidP="004C50DC">
      <w:pPr>
        <w:pStyle w:val="p"/>
      </w:pPr>
      <w:r w:rsidRPr="00E8358C">
        <w:br w:type="page"/>
      </w:r>
      <w:bookmarkStart w:id="603" w:name="_Toc442280651"/>
      <w:r w:rsidRPr="00E8358C">
        <w:t>[50</w:t>
      </w:r>
      <w:r>
        <w:t>7</w:t>
      </w:r>
      <w:r w:rsidRPr="00E8358C">
        <w:t>]</w:t>
      </w:r>
    </w:p>
    <w:p w:rsidR="004C50DC" w:rsidRPr="00E8358C" w:rsidRDefault="004C50DC" w:rsidP="004C50DC">
      <w:pPr>
        <w:spacing w:before="120" w:after="120"/>
        <w:jc w:val="both"/>
        <w:rPr>
          <w:b/>
          <w:bCs/>
          <w:szCs w:val="28"/>
        </w:rPr>
      </w:pPr>
    </w:p>
    <w:p w:rsidR="004C50DC" w:rsidRPr="00EF76C4" w:rsidRDefault="004C50DC" w:rsidP="004C50DC">
      <w:pPr>
        <w:spacing w:after="120"/>
        <w:ind w:firstLine="0"/>
        <w:jc w:val="center"/>
        <w:rPr>
          <w:b/>
          <w:sz w:val="24"/>
        </w:rPr>
      </w:pPr>
      <w:bookmarkStart w:id="604" w:name="Memoire_annexes_IX"/>
      <w:r w:rsidRPr="00EF76C4">
        <w:rPr>
          <w:b/>
          <w:sz w:val="24"/>
        </w:rPr>
        <w:t>Mémoire de l’esclavage en Haïti.</w:t>
      </w:r>
    </w:p>
    <w:p w:rsidR="004C50DC" w:rsidRPr="00E8358C" w:rsidRDefault="004C50DC" w:rsidP="004C50DC">
      <w:pPr>
        <w:pStyle w:val="planche"/>
      </w:pPr>
      <w:r>
        <w:t>Annexe IX</w:t>
      </w:r>
    </w:p>
    <w:bookmarkEnd w:id="604"/>
    <w:p w:rsidR="004C50DC" w:rsidRDefault="004C50DC" w:rsidP="004C50DC">
      <w:pPr>
        <w:spacing w:before="120" w:after="120"/>
        <w:jc w:val="both"/>
        <w:rPr>
          <w:b/>
          <w:bCs/>
          <w:szCs w:val="28"/>
        </w:rPr>
      </w:pPr>
    </w:p>
    <w:p w:rsidR="004C50DC" w:rsidRPr="00E8358C" w:rsidRDefault="004C50DC" w:rsidP="004C50DC">
      <w:pPr>
        <w:pStyle w:val="suite"/>
      </w:pPr>
      <w:r w:rsidRPr="00161573">
        <w:t>PROJET ROUTE DE L’ESCLAVE</w:t>
      </w:r>
    </w:p>
    <w:p w:rsidR="004C50DC" w:rsidRPr="00FB5D80" w:rsidRDefault="004C50DC" w:rsidP="004C50DC">
      <w:pPr>
        <w:spacing w:before="120" w:after="120"/>
        <w:jc w:val="center"/>
        <w:rPr>
          <w:b/>
          <w:sz w:val="24"/>
          <w:u w:val="single"/>
        </w:rPr>
      </w:pPr>
      <w:bookmarkStart w:id="605" w:name="_Toc423347475"/>
      <w:bookmarkStart w:id="606" w:name="_Toc423348408"/>
      <w:bookmarkStart w:id="607" w:name="_Toc442280653"/>
      <w:bookmarkEnd w:id="603"/>
      <w:r w:rsidRPr="00FB5D80">
        <w:rPr>
          <w:b/>
          <w:sz w:val="24"/>
          <w:u w:val="single"/>
        </w:rPr>
        <w:t>ACTE CONSTITUTIF DU COMITÉ SCIENTIFIQUE HA</w:t>
      </w:r>
      <w:r w:rsidRPr="00FB5D80">
        <w:rPr>
          <w:b/>
          <w:sz w:val="24"/>
          <w:u w:val="single"/>
        </w:rPr>
        <w:t>Ï</w:t>
      </w:r>
      <w:r w:rsidRPr="00FB5D80">
        <w:rPr>
          <w:b/>
          <w:sz w:val="24"/>
          <w:u w:val="single"/>
        </w:rPr>
        <w:t>TIEN</w:t>
      </w:r>
      <w:bookmarkEnd w:id="605"/>
      <w:bookmarkEnd w:id="606"/>
      <w:bookmarkEnd w:id="607"/>
    </w:p>
    <w:p w:rsidR="004C50DC" w:rsidRPr="00E8358C" w:rsidRDefault="004C50DC" w:rsidP="004C50DC">
      <w:pPr>
        <w:spacing w:before="120" w:after="120"/>
        <w:jc w:val="both"/>
      </w:pPr>
    </w:p>
    <w:p w:rsidR="004C50DC" w:rsidRDefault="004C50DC" w:rsidP="004C50DC">
      <w:pPr>
        <w:spacing w:before="120" w:after="120"/>
        <w:jc w:val="both"/>
      </w:pPr>
    </w:p>
    <w:p w:rsidR="004C50DC" w:rsidRDefault="004C50DC" w:rsidP="004C50DC">
      <w:pPr>
        <w:ind w:right="90" w:firstLine="0"/>
        <w:jc w:val="both"/>
        <w:rPr>
          <w:sz w:val="20"/>
        </w:rPr>
      </w:pPr>
      <w:hyperlink w:anchor="tdm" w:history="1">
        <w:r>
          <w:rPr>
            <w:rStyle w:val="Lienhypertexte"/>
            <w:sz w:val="20"/>
          </w:rPr>
          <w:t>Retour à la table des matières</w:t>
        </w:r>
      </w:hyperlink>
    </w:p>
    <w:p w:rsidR="004C50DC" w:rsidRPr="00E8358C" w:rsidRDefault="004C50DC" w:rsidP="004C50DC">
      <w:pPr>
        <w:spacing w:before="120" w:after="120"/>
        <w:jc w:val="both"/>
      </w:pPr>
      <w:r w:rsidRPr="00E8358C">
        <w:t>En vue de répondre à la préoccupation exprimée dans divers se</w:t>
      </w:r>
      <w:r w:rsidRPr="00E8358C">
        <w:t>c</w:t>
      </w:r>
      <w:r w:rsidRPr="00E8358C">
        <w:t>teurs du pays, quant  à la protection du  patrimoine matériel et imm</w:t>
      </w:r>
      <w:r w:rsidRPr="00E8358C">
        <w:t>a</w:t>
      </w:r>
      <w:r w:rsidRPr="00E8358C">
        <w:t>tériel ainsi que des lieux et sites de mémoire, nous, les soussignés, avons convenu et de fait avons décidé de créer un comité interinstit</w:t>
      </w:r>
      <w:r w:rsidRPr="00E8358C">
        <w:t>u</w:t>
      </w:r>
      <w:r w:rsidRPr="00E8358C">
        <w:t>tionnel dénommé « </w:t>
      </w:r>
      <w:r w:rsidRPr="00E8358C">
        <w:rPr>
          <w:b/>
        </w:rPr>
        <w:t>Comité scientifique Haïtien du Projet Route de l’Esclave </w:t>
      </w:r>
      <w:r w:rsidRPr="00E8358C">
        <w:t>». Ce comité a, entre autres, pour objectifs :</w:t>
      </w:r>
    </w:p>
    <w:p w:rsidR="004C50DC" w:rsidRDefault="004C50DC" w:rsidP="004C50DC">
      <w:pPr>
        <w:spacing w:before="120" w:after="120"/>
        <w:jc w:val="both"/>
      </w:pPr>
    </w:p>
    <w:p w:rsidR="004C50DC" w:rsidRPr="00E8358C" w:rsidRDefault="004C50DC" w:rsidP="004C50DC">
      <w:pPr>
        <w:spacing w:before="120" w:after="120"/>
        <w:ind w:left="720" w:hanging="360"/>
        <w:jc w:val="both"/>
      </w:pPr>
      <w:r>
        <w:t>*</w:t>
      </w:r>
      <w:r>
        <w:tab/>
      </w:r>
      <w:r w:rsidRPr="00E8358C">
        <w:t>de mettre sur pied  un partenariat avec des institutions nation</w:t>
      </w:r>
      <w:r w:rsidRPr="00E8358C">
        <w:t>a</w:t>
      </w:r>
      <w:r w:rsidRPr="00E8358C">
        <w:t xml:space="preserve">les et internationales, en particulier avec le Mémorial de Nantes pour l’organisation d’un colloque mondial sur le patrimoine de l’esclavage (Haïti 2014). </w:t>
      </w:r>
    </w:p>
    <w:p w:rsidR="004C50DC" w:rsidRPr="00E8358C" w:rsidRDefault="004C50DC" w:rsidP="004C50DC">
      <w:pPr>
        <w:spacing w:before="120" w:after="120"/>
        <w:ind w:left="720" w:hanging="360"/>
        <w:jc w:val="both"/>
      </w:pPr>
      <w:r>
        <w:t>*</w:t>
      </w:r>
      <w:r>
        <w:tab/>
      </w:r>
      <w:r w:rsidRPr="00E8358C">
        <w:t>De promouvoir en Haïti la création du « Musée de l’Esclavage » dont l’avant-projet a été conçu et défini par le Comité national haïtien de la Route de l’Esclave ;</w:t>
      </w:r>
    </w:p>
    <w:p w:rsidR="004C50DC" w:rsidRPr="00E8358C" w:rsidRDefault="004C50DC" w:rsidP="004C50DC">
      <w:pPr>
        <w:spacing w:before="120" w:after="120"/>
        <w:ind w:left="720" w:hanging="360"/>
        <w:jc w:val="both"/>
      </w:pPr>
      <w:r>
        <w:t>*</w:t>
      </w:r>
      <w:r>
        <w:tab/>
      </w:r>
      <w:r w:rsidRPr="00E8358C">
        <w:t>De participer à promouvoir auprès de la communauté en gén</w:t>
      </w:r>
      <w:r w:rsidRPr="00E8358C">
        <w:t>é</w:t>
      </w:r>
      <w:r w:rsidRPr="00E8358C">
        <w:t>ral, estudiantine et universitaire en particulier, les valeurs cult</w:t>
      </w:r>
      <w:r w:rsidRPr="00E8358C">
        <w:t>u</w:t>
      </w:r>
      <w:r w:rsidRPr="00E8358C">
        <w:t>relles, identitaires et économiques du patrimoine matériel et immatériel ;</w:t>
      </w:r>
    </w:p>
    <w:p w:rsidR="004C50DC" w:rsidRPr="00E8358C" w:rsidRDefault="004C50DC" w:rsidP="004C50DC">
      <w:pPr>
        <w:spacing w:before="120" w:after="120"/>
        <w:ind w:left="720" w:hanging="360"/>
        <w:jc w:val="both"/>
      </w:pPr>
      <w:r>
        <w:t>*</w:t>
      </w:r>
      <w:r>
        <w:tab/>
      </w:r>
      <w:r w:rsidRPr="00E8358C">
        <w:t>De participer à la création et/ou au développement des circuits de mémoire liés à la traite et à l’esclavage ;</w:t>
      </w:r>
    </w:p>
    <w:p w:rsidR="004C50DC" w:rsidRPr="00E8358C" w:rsidRDefault="004C50DC" w:rsidP="004C50DC">
      <w:pPr>
        <w:spacing w:before="120" w:after="120"/>
        <w:ind w:left="720" w:hanging="360"/>
        <w:jc w:val="both"/>
      </w:pPr>
      <w:r>
        <w:t>*</w:t>
      </w:r>
      <w:r>
        <w:tab/>
      </w:r>
      <w:r w:rsidRPr="00E8358C">
        <w:t>De participer à la mise en place d’infrastructures communic</w:t>
      </w:r>
      <w:r w:rsidRPr="00E8358C">
        <w:t>a</w:t>
      </w:r>
      <w:r w:rsidRPr="00E8358C">
        <w:t>tionnelles en vue de l’établissement et du développement de r</w:t>
      </w:r>
      <w:r w:rsidRPr="00E8358C">
        <w:t>é</w:t>
      </w:r>
      <w:r w:rsidRPr="00E8358C">
        <w:t>seaux national, régional et international de sites de mémoires, de musées, d’archives traitant de l’Esclavage et de son abol</w:t>
      </w:r>
      <w:r w:rsidRPr="00E8358C">
        <w:t>i</w:t>
      </w:r>
      <w:r w:rsidRPr="00E8358C">
        <w:t>tion.</w:t>
      </w:r>
    </w:p>
    <w:p w:rsidR="004C50DC" w:rsidRPr="00E8358C" w:rsidRDefault="004C50DC" w:rsidP="004C50DC">
      <w:pPr>
        <w:spacing w:before="120" w:after="120"/>
        <w:jc w:val="right"/>
      </w:pPr>
      <w:r w:rsidRPr="00E8358C">
        <w:t>Fait à Port-au-Prince, le 12 décembre 2012</w:t>
      </w:r>
    </w:p>
    <w:p w:rsidR="004C50DC" w:rsidRDefault="004C50DC" w:rsidP="004C50DC">
      <w:pPr>
        <w:spacing w:before="120" w:after="120"/>
        <w:jc w:val="both"/>
      </w:pPr>
    </w:p>
    <w:p w:rsidR="004C50DC" w:rsidRPr="00E8358C" w:rsidRDefault="004C50DC" w:rsidP="004C50DC">
      <w:pPr>
        <w:spacing w:before="120" w:after="120"/>
        <w:jc w:val="both"/>
      </w:pPr>
      <w:r w:rsidRPr="00E8358C">
        <w:t>Suivent les signatures</w:t>
      </w:r>
    </w:p>
    <w:p w:rsidR="004C50DC" w:rsidRDefault="004C50DC" w:rsidP="004C50DC">
      <w:pPr>
        <w:spacing w:before="120" w:after="120"/>
        <w:jc w:val="both"/>
      </w:pPr>
    </w:p>
    <w:p w:rsidR="004C50DC" w:rsidRPr="00E8358C" w:rsidRDefault="004C50DC" w:rsidP="004C50DC">
      <w:pPr>
        <w:spacing w:before="120" w:after="120"/>
        <w:jc w:val="both"/>
      </w:pPr>
      <w:r>
        <w:t>1.</w:t>
      </w:r>
      <w:r>
        <w:tab/>
      </w:r>
      <w:r w:rsidRPr="00E8358C">
        <w:rPr>
          <w:b/>
        </w:rPr>
        <w:t>Michel Philippe LEREBOURS</w:t>
      </w:r>
      <w:r w:rsidRPr="00E8358C">
        <w:t>, Conservateur du Musée d’art haïtien du Collège Saint-Pierre ;</w:t>
      </w:r>
    </w:p>
    <w:p w:rsidR="004C50DC" w:rsidRPr="00E8358C" w:rsidRDefault="004C50DC" w:rsidP="004C50DC">
      <w:pPr>
        <w:spacing w:before="120" w:after="120"/>
        <w:jc w:val="both"/>
      </w:pPr>
      <w:r>
        <w:t>2.</w:t>
      </w:r>
      <w:r>
        <w:tab/>
      </w:r>
      <w:r w:rsidRPr="00E8358C">
        <w:rPr>
          <w:b/>
        </w:rPr>
        <w:t>Joseph Harold GASPARD</w:t>
      </w:r>
      <w:r w:rsidRPr="00E8358C">
        <w:t>, Président du Comité haïtien du Conseil international des Musées (ICOM-HAÏTI) ;</w:t>
      </w:r>
    </w:p>
    <w:p w:rsidR="004C50DC" w:rsidRPr="00E8358C" w:rsidRDefault="004C50DC" w:rsidP="004C50DC">
      <w:pPr>
        <w:spacing w:before="120" w:after="120"/>
        <w:jc w:val="both"/>
      </w:pPr>
      <w:r>
        <w:t>3.</w:t>
      </w:r>
      <w:r>
        <w:tab/>
      </w:r>
      <w:r w:rsidRPr="00E8358C">
        <w:rPr>
          <w:b/>
        </w:rPr>
        <w:t>Laënnec HURBON</w:t>
      </w:r>
      <w:r w:rsidRPr="00E8358C">
        <w:t>, Président du Comité national haïtien de la Route de l’Esclave (CNHRE) ;</w:t>
      </w:r>
    </w:p>
    <w:p w:rsidR="004C50DC" w:rsidRPr="00E8358C" w:rsidRDefault="004C50DC" w:rsidP="004C50DC">
      <w:pPr>
        <w:spacing w:before="120" w:after="120"/>
        <w:jc w:val="both"/>
      </w:pPr>
      <w:r>
        <w:t>4.</w:t>
      </w:r>
      <w:r>
        <w:tab/>
      </w:r>
      <w:r w:rsidRPr="00E8358C">
        <w:rPr>
          <w:b/>
        </w:rPr>
        <w:t>Michel HECTOR</w:t>
      </w:r>
      <w:r w:rsidRPr="00E8358C">
        <w:t>, Président de la Société haïtienne d’histoire et de géographie ;</w:t>
      </w:r>
    </w:p>
    <w:p w:rsidR="004C50DC" w:rsidRPr="00E8358C" w:rsidRDefault="004C50DC" w:rsidP="004C50DC">
      <w:pPr>
        <w:spacing w:before="120" w:after="120"/>
        <w:jc w:val="both"/>
      </w:pPr>
      <w:r>
        <w:t>5.</w:t>
      </w:r>
      <w:r>
        <w:tab/>
      </w:r>
      <w:r w:rsidRPr="00E8358C">
        <w:rPr>
          <w:b/>
        </w:rPr>
        <w:t>Mireille FOMBRUN MALLEBRANCHE</w:t>
      </w:r>
      <w:r w:rsidRPr="00E8358C">
        <w:t>, Directrice du M</w:t>
      </w:r>
      <w:r w:rsidRPr="00E8358C">
        <w:t>u</w:t>
      </w:r>
      <w:r w:rsidRPr="00E8358C">
        <w:t>sée Ogier Fombrun ;</w:t>
      </w:r>
    </w:p>
    <w:p w:rsidR="004C50DC" w:rsidRPr="00E8358C" w:rsidRDefault="004C50DC" w:rsidP="004C50DC">
      <w:pPr>
        <w:spacing w:before="120" w:after="120"/>
        <w:jc w:val="both"/>
      </w:pPr>
      <w:r>
        <w:t>6.</w:t>
      </w:r>
      <w:r>
        <w:tab/>
      </w:r>
      <w:r w:rsidRPr="00E8358C">
        <w:rPr>
          <w:b/>
        </w:rPr>
        <w:t>Jean Wilfrid BERTRAND</w:t>
      </w:r>
      <w:r w:rsidRPr="00E8358C">
        <w:t>, Président du KAMEM ;</w:t>
      </w:r>
    </w:p>
    <w:p w:rsidR="004C50DC" w:rsidRDefault="004C50DC" w:rsidP="004C50DC">
      <w:pPr>
        <w:spacing w:before="120" w:after="120"/>
        <w:jc w:val="both"/>
      </w:pPr>
      <w:r>
        <w:t>[508]</w:t>
      </w:r>
    </w:p>
    <w:p w:rsidR="004C50DC" w:rsidRPr="00E8358C" w:rsidRDefault="004C50DC" w:rsidP="004C50DC">
      <w:pPr>
        <w:spacing w:before="120" w:after="120"/>
        <w:jc w:val="both"/>
      </w:pPr>
      <w:r>
        <w:t>7.</w:t>
      </w:r>
      <w:r>
        <w:tab/>
      </w:r>
      <w:r w:rsidRPr="00E8358C">
        <w:rPr>
          <w:b/>
        </w:rPr>
        <w:t>Fritz DESHOMMES</w:t>
      </w:r>
      <w:r w:rsidRPr="00E8358C">
        <w:t xml:space="preserve">, Vice-Recteur de l’Université d’État d’Haïti (UEH). </w:t>
      </w:r>
    </w:p>
    <w:p w:rsidR="004C50DC" w:rsidRDefault="004C50DC">
      <w:pPr>
        <w:jc w:val="both"/>
      </w:pPr>
    </w:p>
    <w:p w:rsidR="004C50DC" w:rsidRDefault="004C50DC">
      <w:pPr>
        <w:jc w:val="both"/>
      </w:pPr>
    </w:p>
    <w:p w:rsidR="004C50DC" w:rsidRDefault="004C50DC">
      <w:pPr>
        <w:jc w:val="both"/>
      </w:pPr>
    </w:p>
    <w:p w:rsidR="004C50DC" w:rsidRDefault="004C50DC">
      <w:pPr>
        <w:pStyle w:val="suite"/>
      </w:pPr>
      <w:r>
        <w:t>Fin du texte</w:t>
      </w:r>
    </w:p>
    <w:p w:rsidR="004C50DC" w:rsidRDefault="004C50DC">
      <w:pPr>
        <w:jc w:val="both"/>
      </w:pPr>
    </w:p>
    <w:p w:rsidR="004C50DC" w:rsidRDefault="004C50DC">
      <w:pPr>
        <w:jc w:val="both"/>
      </w:pPr>
    </w:p>
    <w:sectPr w:rsidR="004C50DC" w:rsidSect="004C50DC">
      <w:headerReference w:type="default" r:id="rId213"/>
      <w:pgSz w:w="12240" w:h="15840"/>
      <w:pgMar w:top="1800" w:right="1440" w:bottom="1440" w:left="2160" w:header="720" w:footer="720" w:gutter="72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F1554" w:rsidRDefault="00EF1554">
      <w:r>
        <w:separator/>
      </w:r>
    </w:p>
  </w:endnote>
  <w:endnote w:type="continuationSeparator" w:id="0">
    <w:p w:rsidR="00EF1554" w:rsidRDefault="00EF15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MT">
    <w:altName w:val="Times New Roman"/>
    <w:panose1 w:val="020B0604020202020204"/>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GillSans">
    <w:panose1 w:val="020B0502020104020203"/>
    <w:charset w:val="B1"/>
    <w:family w:val="swiss"/>
    <w:pitch w:val="variable"/>
    <w:sig w:usb0="80000A67" w:usb1="00000000" w:usb2="00000000" w:usb3="00000000" w:csb0="000001F7" w:csb1="00000000"/>
  </w:font>
  <w:font w:name="Arial">
    <w:panose1 w:val="020B0604020202020204"/>
    <w:charset w:val="00"/>
    <w:family w:val="swiss"/>
    <w:pitch w:val="variable"/>
    <w:sig w:usb0="E0002AFF" w:usb1="C0007843" w:usb2="00000009" w:usb3="00000000" w:csb0="000001FF" w:csb1="00000000"/>
  </w:font>
  <w:font w:name="B Times Bold">
    <w:panose1 w:val="020B0604020202020204"/>
    <w:charset w:val="00"/>
    <w:family w:val="auto"/>
    <w:pitch w:val="variable"/>
    <w:sig w:usb0="00000003" w:usb1="00000000" w:usb2="00000000" w:usb3="00000000" w:csb0="00000001" w:csb1="00000000"/>
  </w:font>
  <w:font w:name="Garamond Book">
    <w:altName w:val="Times New Roman"/>
    <w:panose1 w:val="020B0604020202020204"/>
    <w:charset w:val="4D"/>
    <w:family w:val="roman"/>
    <w:notTrueType/>
    <w:pitch w:val="default"/>
    <w:sig w:usb0="0054004B" w:usb1="004D0045" w:usb2="00530020" w:usb3="004E0045" w:csb0="00570021" w:csb1="0052004F"/>
  </w:font>
  <w:font w:name="Garamond">
    <w:panose1 w:val="02020404030301010803"/>
    <w:charset w:val="00"/>
    <w:family w:val="roman"/>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Trebuchet MS">
    <w:panose1 w:val="020B0603020202020204"/>
    <w:charset w:val="00"/>
    <w:family w:val="swiss"/>
    <w:pitch w:val="variable"/>
    <w:sig w:usb0="00000287" w:usb1="00000000" w:usb2="00000000" w:usb3="00000000" w:csb0="0000009F" w:csb1="00000000"/>
  </w:font>
  <w:font w:name="Minion Pro">
    <w:panose1 w:val="02040503050201020203"/>
    <w:charset w:val="00"/>
    <w:family w:val="roman"/>
    <w:pitch w:val="variable"/>
    <w:sig w:usb0="60000287" w:usb1="00000001" w:usb2="00000000" w:usb3="00000000" w:csb0="0000019F" w:csb1="00000000"/>
  </w:font>
  <w:font w:name="Verdana">
    <w:panose1 w:val="020B0604030504040204"/>
    <w:charset w:val="00"/>
    <w:family w:val="swiss"/>
    <w:pitch w:val="variable"/>
    <w:sig w:usb0="A10006FF" w:usb1="4000205B" w:usb2="00000010" w:usb3="00000000" w:csb0="0000019F" w:csb1="00000000"/>
  </w:font>
  <w:font w:name="Courier">
    <w:panose1 w:val="00000000000000000000"/>
    <w:charset w:val="00"/>
    <w:family w:val="auto"/>
    <w:pitch w:val="variable"/>
    <w:sig w:usb0="00000003"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Arial-BoldMT">
    <w:altName w:val="Arial"/>
    <w:panose1 w:val="020B0604020202020204"/>
    <w:charset w:val="4D"/>
    <w:family w:val="swiss"/>
    <w:notTrueType/>
    <w:pitch w:val="default"/>
    <w:sig w:usb0="03000003" w:usb1="00000000" w:usb2="00000000" w:usb3="00000000" w:csb0="00000001" w:csb1="00000000"/>
  </w:font>
  <w:font w:name="Berkeley-Book">
    <w:altName w:val="ＭＳ 明朝"/>
    <w:panose1 w:val="020B0604020202020204"/>
    <w:charset w:val="80"/>
    <w:family w:val="auto"/>
    <w:notTrueType/>
    <w:pitch w:val="default"/>
    <w:sig w:usb0="00000000" w:usb1="08070000" w:usb2="00000010" w:usb3="00000000" w:csb0="00020000" w:csb1="00000000"/>
  </w:font>
  <w:font w:name="Code2000">
    <w:altName w:val="Times New Roman"/>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F1554" w:rsidRDefault="00EF1554">
      <w:pPr>
        <w:ind w:firstLine="0"/>
      </w:pPr>
      <w:r>
        <w:separator/>
      </w:r>
    </w:p>
  </w:footnote>
  <w:footnote w:type="continuationSeparator" w:id="0">
    <w:p w:rsidR="00EF1554" w:rsidRDefault="00EF1554">
      <w:pPr>
        <w:ind w:firstLine="0"/>
      </w:pPr>
      <w:r>
        <w:separator/>
      </w:r>
    </w:p>
  </w:footnote>
  <w:footnote w:id="1">
    <w:p w:rsidR="004C50DC" w:rsidRDefault="004C50DC" w:rsidP="004C50DC">
      <w:pPr>
        <w:pStyle w:val="Notedebasdepage"/>
      </w:pPr>
      <w:r>
        <w:rPr>
          <w:rStyle w:val="Appelnotedebasdep"/>
        </w:rPr>
        <w:footnoteRef/>
      </w:r>
      <w:r>
        <w:t xml:space="preserve"> </w:t>
      </w:r>
      <w:r>
        <w:tab/>
      </w:r>
      <w:r w:rsidRPr="00C92F30">
        <w:t>Une ordonnance du roi Charles X datée du 17 avril 1825 avait reconnu off</w:t>
      </w:r>
      <w:r w:rsidRPr="00C92F30">
        <w:t>i</w:t>
      </w:r>
      <w:r w:rsidRPr="00C92F30">
        <w:t>ciellement l’indépendance de son ancienne colonie ; voir Jean-François Bri</w:t>
      </w:r>
      <w:r w:rsidRPr="00C92F30">
        <w:t>è</w:t>
      </w:r>
      <w:r w:rsidRPr="00C92F30">
        <w:t>re, « La France et la reconnaissance de l’Indépendance haïtienne : le débat sur l'O</w:t>
      </w:r>
      <w:r w:rsidRPr="00C92F30">
        <w:t>r</w:t>
      </w:r>
      <w:r w:rsidRPr="00C92F30">
        <w:t xml:space="preserve">donnance de 1825 », </w:t>
      </w:r>
      <w:r w:rsidRPr="00C92F30">
        <w:rPr>
          <w:i/>
        </w:rPr>
        <w:t>French Colonial History</w:t>
      </w:r>
      <w:r w:rsidRPr="00C92F30">
        <w:t>, volume 5, 2004, p. 125.</w:t>
      </w:r>
    </w:p>
  </w:footnote>
  <w:footnote w:id="2">
    <w:p w:rsidR="004C50DC" w:rsidRPr="00C92F30" w:rsidRDefault="004C50DC" w:rsidP="004C50DC">
      <w:pPr>
        <w:pStyle w:val="Notedebasdepage"/>
        <w:rPr>
          <w:lang w:val="fr-FR"/>
        </w:rPr>
      </w:pPr>
      <w:r w:rsidRPr="002641C5">
        <w:rPr>
          <w:rStyle w:val="Appelnotedebasdep"/>
          <w:lang w:val="fr-FR"/>
        </w:rPr>
        <w:footnoteRef/>
      </w:r>
      <w:r>
        <w:rPr>
          <w:lang w:val="fr-FR"/>
        </w:rPr>
        <w:tab/>
      </w:r>
      <w:r w:rsidRPr="00C92F30">
        <w:rPr>
          <w:lang w:val="fr-FR"/>
        </w:rPr>
        <w:t xml:space="preserve">Leslie François Manigat, « En matière de dédicace », dans </w:t>
      </w:r>
      <w:r w:rsidRPr="00C92F30">
        <w:rPr>
          <w:i/>
          <w:lang w:val="fr-FR"/>
        </w:rPr>
        <w:t>Témoignages sur la vie et l’œuvre du Dr. Jean Price Mars 1876-1956</w:t>
      </w:r>
      <w:r w:rsidRPr="00C92F30">
        <w:rPr>
          <w:lang w:val="fr-FR"/>
        </w:rPr>
        <w:t xml:space="preserve">, Port-au-Prince, Imprimerie de l’État, 1956, p. 150-173 ; voir aussi Dr. Jean Price Mars, </w:t>
      </w:r>
      <w:r w:rsidRPr="00C92F30">
        <w:rPr>
          <w:i/>
          <w:lang w:val="fr-FR"/>
        </w:rPr>
        <w:t>La République d’Haïti et la République Dominicaine. Les aspects divers d’un problème d’histoire, de géographie et d’ethnologie</w:t>
      </w:r>
      <w:r w:rsidRPr="00C92F30">
        <w:rPr>
          <w:lang w:val="fr-FR"/>
        </w:rPr>
        <w:t>, nouvelle édition Tome I, Port-au-Prince, Henri Deschamps, 2007, p. 209.</w:t>
      </w:r>
    </w:p>
  </w:footnote>
  <w:footnote w:id="3">
    <w:p w:rsidR="004C50DC" w:rsidRDefault="004C50DC" w:rsidP="004C50DC">
      <w:pPr>
        <w:pStyle w:val="Notedebasdepage"/>
      </w:pPr>
      <w:r>
        <w:rPr>
          <w:rStyle w:val="Appelnotedebasdep"/>
        </w:rPr>
        <w:footnoteRef/>
      </w:r>
      <w:r>
        <w:t xml:space="preserve"> </w:t>
      </w:r>
      <w:r>
        <w:tab/>
      </w:r>
      <w:r w:rsidRPr="00C92F30">
        <w:rPr>
          <w:lang w:val="fr-FR"/>
        </w:rPr>
        <w:t xml:space="preserve">Sur ce sujet, voir « Aux origines de la misère haïtienne. Un entretien avec l’historien Marcel Dorigny », 4 février 2010, </w:t>
      </w:r>
      <w:hyperlink r:id="rId1" w:history="1">
        <w:r w:rsidRPr="00C92F30">
          <w:rPr>
            <w:rStyle w:val="Lienhypertexte"/>
            <w:lang w:val="fr-FR"/>
          </w:rPr>
          <w:t>http://www.humanite.fr/node/432331</w:t>
        </w:r>
      </w:hyperlink>
      <w:r w:rsidRPr="00C92F30">
        <w:rPr>
          <w:lang w:val="fr-FR"/>
        </w:rPr>
        <w:t xml:space="preserve">, consulté le 4 mai 2015 ; voir aussi </w:t>
      </w:r>
      <w:r w:rsidRPr="00C92F30">
        <w:t xml:space="preserve">Louis-Philippe Dalembert, « Haïti, la dette originelle », 25 mars 2010, </w:t>
      </w:r>
      <w:hyperlink r:id="rId2" w:history="1">
        <w:r w:rsidRPr="00C92F30">
          <w:rPr>
            <w:rStyle w:val="Lienhypertexte"/>
          </w:rPr>
          <w:t>http://www.liberation.fr/planete/2010/03/25/haitila-dette-originelle_617159</w:t>
        </w:r>
      </w:hyperlink>
      <w:r w:rsidRPr="00C92F30">
        <w:t>, consulté le 5 mai 2015.</w:t>
      </w:r>
    </w:p>
  </w:footnote>
  <w:footnote w:id="4">
    <w:p w:rsidR="004C50DC" w:rsidRDefault="004C50DC" w:rsidP="004C50DC">
      <w:pPr>
        <w:pStyle w:val="Notedebasdepage"/>
      </w:pPr>
      <w:r>
        <w:rPr>
          <w:rStyle w:val="Appelnotedebasdep"/>
        </w:rPr>
        <w:footnoteRef/>
      </w:r>
      <w:r>
        <w:t xml:space="preserve"> </w:t>
      </w:r>
      <w:r>
        <w:tab/>
      </w:r>
      <w:r w:rsidRPr="00C92F30">
        <w:t>Voir le discours solennel du président haïtien, Jean-Bertrand Aristide, le 7 avril 2003, qui commémore le bicentenaire de la mort de Toussaint Louvert</w:t>
      </w:r>
      <w:r w:rsidRPr="00C92F30">
        <w:t>u</w:t>
      </w:r>
      <w:r w:rsidRPr="00C92F30">
        <w:t>re au fort de Joux en France. Durant cette commémoration, le slogan « Restitution, r</w:t>
      </w:r>
      <w:r w:rsidRPr="00C92F30">
        <w:t>é</w:t>
      </w:r>
      <w:r w:rsidRPr="00C92F30">
        <w:t>paration » a été pour la première fois évoqué officiellement par le président Ari</w:t>
      </w:r>
      <w:r w:rsidRPr="00C92F30">
        <w:t>s</w:t>
      </w:r>
      <w:r w:rsidRPr="00C92F30">
        <w:t>tide.</w:t>
      </w:r>
    </w:p>
  </w:footnote>
  <w:footnote w:id="5">
    <w:p w:rsidR="004C50DC" w:rsidRPr="00C92F30" w:rsidRDefault="004C50DC" w:rsidP="004C50DC">
      <w:pPr>
        <w:pStyle w:val="Notedebasdepage"/>
      </w:pPr>
      <w:r w:rsidRPr="002641C5">
        <w:rPr>
          <w:rStyle w:val="Appelnotedebasdep"/>
        </w:rPr>
        <w:footnoteRef/>
      </w:r>
      <w:r>
        <w:rPr>
          <w:lang w:val="fr-FR"/>
        </w:rPr>
        <w:tab/>
      </w:r>
      <w:r w:rsidRPr="00C92F30">
        <w:rPr>
          <w:lang w:val="fr-FR"/>
        </w:rPr>
        <w:t>Nous pouvons mentionner, entre autres, l’Association touristique d’Haïti, la Fondation culture création, la FOKAL…</w:t>
      </w:r>
    </w:p>
  </w:footnote>
  <w:footnote w:id="6">
    <w:p w:rsidR="004C50DC" w:rsidRPr="00C92F30" w:rsidRDefault="004C50DC" w:rsidP="004C50DC">
      <w:pPr>
        <w:pStyle w:val="Notedebasdepage"/>
      </w:pPr>
      <w:r w:rsidRPr="002641C5">
        <w:rPr>
          <w:rStyle w:val="Appelnotedebasdep"/>
        </w:rPr>
        <w:footnoteRef/>
      </w:r>
      <w:r>
        <w:rPr>
          <w:rStyle w:val="Accentuation"/>
        </w:rPr>
        <w:tab/>
      </w:r>
      <w:r w:rsidRPr="00C92F30">
        <w:rPr>
          <w:rStyle w:val="Accentuation"/>
        </w:rPr>
        <w:t>Revue internationale des sciences sociales</w:t>
      </w:r>
      <w:r w:rsidRPr="00C92F30">
        <w:t>, « Le projet la route de l’esclave de l’UNESCO »,2/2006, n° 188, p</w:t>
      </w:r>
      <w:r>
        <w:t>p</w:t>
      </w:r>
      <w:r w:rsidRPr="00C92F30">
        <w:t>. 205-209, en ligne</w:t>
      </w:r>
      <w:r w:rsidRPr="00C92F30">
        <w:rPr>
          <w:rStyle w:val="apple-converted-space"/>
        </w:rPr>
        <w:t xml:space="preserve">, </w:t>
      </w:r>
      <w:r w:rsidRPr="00C92F30">
        <w:t>www.cairn.info/revue-internationale-des-sciences-sociales-2006-2-page-205.htm,</w:t>
      </w:r>
      <w:r w:rsidRPr="00C92F30">
        <w:rPr>
          <w:rStyle w:val="apple-converted-space"/>
        </w:rPr>
        <w:t> consulté le 21 avril 2015.</w:t>
      </w:r>
    </w:p>
  </w:footnote>
  <w:footnote w:id="7">
    <w:p w:rsidR="004C50DC" w:rsidRPr="00C92F30" w:rsidRDefault="004C50DC" w:rsidP="004C50DC">
      <w:pPr>
        <w:pStyle w:val="Notedebasdepage"/>
      </w:pPr>
      <w:r w:rsidRPr="002641C5">
        <w:rPr>
          <w:rStyle w:val="Appelnotedebasdep"/>
        </w:rPr>
        <w:footnoteRef/>
      </w:r>
      <w:r>
        <w:tab/>
      </w:r>
      <w:r w:rsidRPr="00C92F30">
        <w:t>Voir Françoise Vergès, « Introduction », dans</w:t>
      </w:r>
      <w:r w:rsidRPr="00C92F30">
        <w:rPr>
          <w:lang w:eastAsia="en-CA"/>
        </w:rPr>
        <w:t xml:space="preserve"> Françoise Vergès (dir.), </w:t>
      </w:r>
      <w:r w:rsidRPr="00C92F30">
        <w:rPr>
          <w:i/>
          <w:lang w:eastAsia="en-CA"/>
        </w:rPr>
        <w:t>Exp</w:t>
      </w:r>
      <w:r w:rsidRPr="00C92F30">
        <w:rPr>
          <w:i/>
          <w:lang w:eastAsia="en-CA"/>
        </w:rPr>
        <w:t>o</w:t>
      </w:r>
      <w:r w:rsidRPr="00C92F30">
        <w:rPr>
          <w:i/>
          <w:lang w:eastAsia="en-CA"/>
        </w:rPr>
        <w:t>ser l’esclavage. Méthodologies et pratiques</w:t>
      </w:r>
      <w:r w:rsidRPr="00C92F30">
        <w:rPr>
          <w:lang w:eastAsia="en-CA"/>
        </w:rPr>
        <w:t xml:space="preserve"> (actes du colloque international en hommage à Édouard Glissant, 11, 12 et 13 mai 2011 au musée du Quai Bra</w:t>
      </w:r>
      <w:r w:rsidRPr="00C92F30">
        <w:rPr>
          <w:lang w:eastAsia="en-CA"/>
        </w:rPr>
        <w:t>n</w:t>
      </w:r>
      <w:r w:rsidRPr="00C92F30">
        <w:rPr>
          <w:lang w:eastAsia="en-CA"/>
        </w:rPr>
        <w:t>ly), Paris, L’Harmattan, 2013, p. 9.</w:t>
      </w:r>
    </w:p>
  </w:footnote>
  <w:footnote w:id="8">
    <w:p w:rsidR="004C50DC" w:rsidRPr="00C92F30" w:rsidRDefault="004C50DC" w:rsidP="004C50DC">
      <w:pPr>
        <w:pStyle w:val="Notedebasdepage"/>
      </w:pPr>
      <w:r w:rsidRPr="002641C5">
        <w:rPr>
          <w:rStyle w:val="Appelnotedebasdep"/>
        </w:rPr>
        <w:footnoteRef/>
      </w:r>
      <w:r>
        <w:rPr>
          <w:rStyle w:val="text"/>
        </w:rPr>
        <w:tab/>
      </w:r>
      <w:r w:rsidRPr="00C92F30">
        <w:rPr>
          <w:rStyle w:val="text"/>
        </w:rPr>
        <w:t>Joël Candau,</w:t>
      </w:r>
      <w:r w:rsidRPr="00C92F30">
        <w:rPr>
          <w:rStyle w:val="apple-converted-space"/>
        </w:rPr>
        <w:t> </w:t>
      </w:r>
      <w:r w:rsidRPr="00C92F30">
        <w:rPr>
          <w:rStyle w:val="Accentuation"/>
        </w:rPr>
        <w:t xml:space="preserve">Anthropologie de la mémoire, </w:t>
      </w:r>
      <w:r w:rsidRPr="00C92F30">
        <w:t xml:space="preserve">Paris, Armand Colin, 2005, p. 114. </w:t>
      </w:r>
    </w:p>
  </w:footnote>
  <w:footnote w:id="9">
    <w:p w:rsidR="004C50DC" w:rsidRPr="00C92F30" w:rsidRDefault="004C50DC" w:rsidP="004C50DC">
      <w:pPr>
        <w:pStyle w:val="Notedebasdepage"/>
      </w:pPr>
      <w:r w:rsidRPr="002641C5">
        <w:rPr>
          <w:rStyle w:val="Appelnotedebasdep"/>
        </w:rPr>
        <w:footnoteRef/>
      </w:r>
      <w:r>
        <w:rPr>
          <w:rStyle w:val="text"/>
        </w:rPr>
        <w:tab/>
      </w:r>
      <w:r w:rsidRPr="002641C5">
        <w:rPr>
          <w:rStyle w:val="text"/>
          <w:i/>
        </w:rPr>
        <w:t>Ibid</w:t>
      </w:r>
      <w:r w:rsidRPr="00C92F30">
        <w:t>., p. 13.</w:t>
      </w:r>
    </w:p>
  </w:footnote>
  <w:footnote w:id="10">
    <w:p w:rsidR="004C50DC" w:rsidRPr="00C92F30" w:rsidRDefault="004C50DC" w:rsidP="004C50DC">
      <w:pPr>
        <w:pStyle w:val="Notedebasdepage"/>
      </w:pPr>
      <w:r w:rsidRPr="002641C5">
        <w:rPr>
          <w:rStyle w:val="Appelnotedebasdep"/>
        </w:rPr>
        <w:footnoteRef/>
      </w:r>
      <w:r>
        <w:tab/>
      </w:r>
      <w:r w:rsidRPr="00C92F30">
        <w:t>Dominique Poulot, « Le sens du patrimoine, hier et aujourd’hui : note crit</w:t>
      </w:r>
      <w:r w:rsidRPr="00C92F30">
        <w:t>i</w:t>
      </w:r>
      <w:r w:rsidRPr="00C92F30">
        <w:t xml:space="preserve">que », </w:t>
      </w:r>
      <w:r w:rsidRPr="00C92F30">
        <w:rPr>
          <w:i/>
        </w:rPr>
        <w:t>Annales ESC</w:t>
      </w:r>
      <w:r w:rsidRPr="00C92F30">
        <w:t>, n</w:t>
      </w:r>
      <w:r w:rsidRPr="00C92F30">
        <w:rPr>
          <w:vertAlign w:val="superscript"/>
        </w:rPr>
        <w:t>o</w:t>
      </w:r>
      <w:r w:rsidRPr="00C92F30">
        <w:t> 6, 1993, p. 1612.</w:t>
      </w:r>
    </w:p>
  </w:footnote>
  <w:footnote w:id="11">
    <w:p w:rsidR="004C50DC" w:rsidRPr="00C92F30" w:rsidRDefault="004C50DC" w:rsidP="004C50DC">
      <w:pPr>
        <w:pStyle w:val="Notedebasdepage"/>
      </w:pPr>
      <w:r w:rsidRPr="002641C5">
        <w:rPr>
          <w:rStyle w:val="Appelnotedebasdep"/>
        </w:rPr>
        <w:footnoteRef/>
      </w:r>
      <w:r>
        <w:tab/>
      </w:r>
      <w:r w:rsidRPr="00C92F30">
        <w:t xml:space="preserve">Laurier Turgeon, </w:t>
      </w:r>
      <w:r w:rsidRPr="00C92F30">
        <w:rPr>
          <w:i/>
        </w:rPr>
        <w:t>Patrimoines métissés. Contextes coloniaux et postcoloniaux</w:t>
      </w:r>
      <w:r w:rsidRPr="00C92F30">
        <w:t>, Paris, Maison des sciences de l’homme, Québec, Presses de l’Université L</w:t>
      </w:r>
      <w:r w:rsidRPr="00C92F30">
        <w:t>a</w:t>
      </w:r>
      <w:r w:rsidRPr="00C92F30">
        <w:t xml:space="preserve">val, 2003, p. 18. </w:t>
      </w:r>
    </w:p>
  </w:footnote>
  <w:footnote w:id="12">
    <w:p w:rsidR="004C50DC" w:rsidRPr="00C92F30" w:rsidRDefault="004C50DC" w:rsidP="004C50DC">
      <w:pPr>
        <w:pStyle w:val="Notedebasdepage"/>
      </w:pPr>
      <w:r w:rsidRPr="002641C5">
        <w:rPr>
          <w:rStyle w:val="Appelnotedebasdep"/>
        </w:rPr>
        <w:footnoteRef/>
      </w:r>
      <w:r>
        <w:tab/>
      </w:r>
      <w:r w:rsidRPr="00C92F30">
        <w:t xml:space="preserve">À ce propos, voir Christine Chivallon, </w:t>
      </w:r>
      <w:r w:rsidRPr="002641C5">
        <w:t>L’esclavage, du souvenir à la mémoire. Contribution à une anthropologie de la Caraïbe</w:t>
      </w:r>
      <w:r w:rsidRPr="00C92F30">
        <w:t>, Paris, Karthala, 2012.</w:t>
      </w:r>
    </w:p>
  </w:footnote>
  <w:footnote w:id="13">
    <w:p w:rsidR="004C50DC" w:rsidRPr="00C92F30" w:rsidRDefault="004C50DC" w:rsidP="004C50DC">
      <w:pPr>
        <w:pStyle w:val="Notedebasdepage"/>
      </w:pPr>
      <w:r w:rsidRPr="002641C5">
        <w:rPr>
          <w:rStyle w:val="Appelnotedebasdep"/>
        </w:rPr>
        <w:footnoteRef/>
      </w:r>
      <w:r>
        <w:tab/>
      </w:r>
      <w:r w:rsidRPr="00C92F30">
        <w:t xml:space="preserve">Dominique Poulot, </w:t>
      </w:r>
      <w:r w:rsidRPr="002641C5">
        <w:t>Une histoire du patrimoine en Occident, XVIII</w:t>
      </w:r>
      <w:r w:rsidRPr="002641C5">
        <w:rPr>
          <w:vertAlign w:val="superscript"/>
        </w:rPr>
        <w:t>e</w:t>
      </w:r>
      <w:r w:rsidRPr="002641C5">
        <w:t>-XXI</w:t>
      </w:r>
      <w:r w:rsidRPr="002641C5">
        <w:rPr>
          <w:vertAlign w:val="superscript"/>
        </w:rPr>
        <w:t>e</w:t>
      </w:r>
      <w:r w:rsidRPr="002641C5">
        <w:t xml:space="preserve"> si</w:t>
      </w:r>
      <w:r w:rsidRPr="002641C5">
        <w:t>è</w:t>
      </w:r>
      <w:r w:rsidRPr="002641C5">
        <w:t>cle. Du monument aux valeurs</w:t>
      </w:r>
      <w:r w:rsidRPr="00C92F30">
        <w:t>, Paris, Presses Universitaires de France, 2006, p. 4.</w:t>
      </w:r>
    </w:p>
  </w:footnote>
  <w:footnote w:id="14">
    <w:p w:rsidR="004C50DC" w:rsidRPr="00C92F30" w:rsidRDefault="004C50DC" w:rsidP="004C50DC">
      <w:pPr>
        <w:pStyle w:val="Notedebasdepage"/>
      </w:pPr>
      <w:r w:rsidRPr="002641C5">
        <w:rPr>
          <w:rStyle w:val="Appelnotedebasdep"/>
        </w:rPr>
        <w:footnoteRef/>
      </w:r>
      <w:r>
        <w:tab/>
      </w:r>
      <w:r w:rsidRPr="00C92F30">
        <w:t xml:space="preserve">Jürgen Habermas, </w:t>
      </w:r>
      <w:r w:rsidRPr="002641C5">
        <w:t>Idéalisations et communication. Agir communicationnel et usage de la raison</w:t>
      </w:r>
      <w:r w:rsidRPr="00C92F30">
        <w:t>, Paris, Fayard, 2006, p. 61.</w:t>
      </w:r>
    </w:p>
  </w:footnote>
  <w:footnote w:id="15">
    <w:p w:rsidR="004C50DC" w:rsidRPr="00C92F30" w:rsidRDefault="004C50DC" w:rsidP="004C50DC">
      <w:pPr>
        <w:pStyle w:val="Notedebasdepage"/>
      </w:pPr>
      <w:r w:rsidRPr="002641C5">
        <w:rPr>
          <w:rStyle w:val="Appelnotedebasdep"/>
          <w:lang w:val="fr-FR"/>
        </w:rPr>
        <w:footnoteRef/>
      </w:r>
      <w:r>
        <w:rPr>
          <w:lang w:val="fr-FR"/>
        </w:rPr>
        <w:tab/>
      </w:r>
      <w:r w:rsidRPr="00C92F30">
        <w:rPr>
          <w:lang w:val="fr-FR"/>
        </w:rPr>
        <w:t>Voir Carlo Avierl Célius, « D’un nationalisme héroïque. Haïti et son pa</w:t>
      </w:r>
      <w:r w:rsidRPr="00C92F30">
        <w:rPr>
          <w:lang w:val="fr-FR"/>
        </w:rPr>
        <w:t>n</w:t>
      </w:r>
      <w:r w:rsidRPr="00C92F30">
        <w:rPr>
          <w:lang w:val="fr-FR"/>
        </w:rPr>
        <w:t>théon national », conférence donnée  à l’Université Laval, 11 avril 2011, en l</w:t>
      </w:r>
      <w:r w:rsidRPr="00C92F30">
        <w:rPr>
          <w:lang w:val="fr-FR"/>
        </w:rPr>
        <w:t>i</w:t>
      </w:r>
      <w:r w:rsidRPr="00C92F30">
        <w:rPr>
          <w:lang w:val="fr-FR"/>
        </w:rPr>
        <w:t>gne,https://vimeo.com/22572070, consulté le 13 février 2014.</w:t>
      </w:r>
    </w:p>
  </w:footnote>
  <w:footnote w:id="16">
    <w:p w:rsidR="004C50DC" w:rsidRPr="00C92F30" w:rsidRDefault="004C50DC" w:rsidP="004C50DC">
      <w:pPr>
        <w:pStyle w:val="Notedebasdepage"/>
      </w:pPr>
      <w:r w:rsidRPr="002641C5">
        <w:rPr>
          <w:rStyle w:val="Appelnotedebasdep"/>
        </w:rPr>
        <w:footnoteRef/>
      </w:r>
      <w:r>
        <w:tab/>
      </w:r>
      <w:r w:rsidRPr="00C92F30">
        <w:t xml:space="preserve">Les acteurs sont ici les communautés locales, les acteurs étatiques, l’UNESCO, les élites économiques et intellectuelles, les populations rurales et des zones défavorisées, etc. </w:t>
      </w:r>
    </w:p>
  </w:footnote>
  <w:footnote w:id="17">
    <w:p w:rsidR="004C50DC" w:rsidRPr="00C92F30" w:rsidRDefault="004C50DC" w:rsidP="004C50DC">
      <w:pPr>
        <w:pStyle w:val="Notedebasdepage"/>
      </w:pPr>
      <w:r w:rsidRPr="002641C5">
        <w:rPr>
          <w:rStyle w:val="Appelnotedebasdep"/>
        </w:rPr>
        <w:footnoteRef/>
      </w:r>
      <w:r>
        <w:tab/>
      </w:r>
      <w:r w:rsidRPr="00C92F30">
        <w:t xml:space="preserve">Dans son ouvrage, </w:t>
      </w:r>
      <w:r w:rsidRPr="00C92F30">
        <w:rPr>
          <w:i/>
        </w:rPr>
        <w:t xml:space="preserve">Gouverneurs de la rosée </w:t>
      </w:r>
      <w:r w:rsidRPr="00C92F30">
        <w:t>(Port-au-Prince, Imprimerie de l’État, 1944)</w:t>
      </w:r>
      <w:r w:rsidRPr="00C92F30">
        <w:rPr>
          <w:i/>
        </w:rPr>
        <w:t xml:space="preserve">, </w:t>
      </w:r>
      <w:r w:rsidRPr="00C92F30">
        <w:t>Jacques Roumain a soutenu cette idée qu’il appliquait à travers les consultations de Manuel auprès des paysans pour cultiver les terres et trouver l’eau au bénéfice de la communauté.</w:t>
      </w:r>
    </w:p>
  </w:footnote>
  <w:footnote w:id="18">
    <w:p w:rsidR="004C50DC" w:rsidRPr="00C92F30" w:rsidRDefault="004C50DC" w:rsidP="004C50DC">
      <w:pPr>
        <w:pStyle w:val="Notedebasdepage"/>
        <w:rPr>
          <w:lang w:val="en-US"/>
        </w:rPr>
      </w:pPr>
      <w:r w:rsidRPr="002C1EB7">
        <w:rPr>
          <w:rStyle w:val="Appelnotedebasdep"/>
        </w:rPr>
        <w:footnoteRef/>
      </w:r>
      <w:r>
        <w:rPr>
          <w:lang w:val="en-US"/>
        </w:rPr>
        <w:tab/>
      </w:r>
      <w:r w:rsidRPr="00C92F30">
        <w:rPr>
          <w:lang w:val="en-US"/>
        </w:rPr>
        <w:t>Ira P. Lowenthal,</w:t>
      </w:r>
      <w:r w:rsidRPr="00C92F30">
        <w:rPr>
          <w:rStyle w:val="apple-converted-space"/>
          <w:lang w:val="en-US"/>
        </w:rPr>
        <w:t xml:space="preserve"> « Haiti: Behind Mountains, More Mountains », </w:t>
      </w:r>
      <w:r w:rsidRPr="00C92F30">
        <w:rPr>
          <w:rStyle w:val="Accentuation"/>
          <w:lang w:val="en-US"/>
        </w:rPr>
        <w:t>Reviews in Anthropology</w:t>
      </w:r>
      <w:r w:rsidRPr="00C92F30">
        <w:rPr>
          <w:lang w:val="en-US"/>
        </w:rPr>
        <w:t>, vol. 3, n</w:t>
      </w:r>
      <w:r w:rsidRPr="00C92F30">
        <w:rPr>
          <w:vertAlign w:val="superscript"/>
          <w:lang w:val="en-US"/>
        </w:rPr>
        <w:t>o</w:t>
      </w:r>
      <w:r w:rsidRPr="00C92F30">
        <w:rPr>
          <w:lang w:val="en-US"/>
        </w:rPr>
        <w:t> 6, 1976, p</w:t>
      </w:r>
      <w:r>
        <w:rPr>
          <w:lang w:val="en-US"/>
        </w:rPr>
        <w:t>p</w:t>
      </w:r>
      <w:r w:rsidRPr="00C92F30">
        <w:rPr>
          <w:lang w:val="en-US"/>
        </w:rPr>
        <w:t>. 656-669.</w:t>
      </w:r>
    </w:p>
  </w:footnote>
  <w:footnote w:id="19">
    <w:p w:rsidR="004C50DC" w:rsidRPr="00C92F30" w:rsidRDefault="004C50DC" w:rsidP="004C50DC">
      <w:pPr>
        <w:pStyle w:val="Notedebasdepage"/>
      </w:pPr>
      <w:r w:rsidRPr="002C1EB7">
        <w:rPr>
          <w:rStyle w:val="Appelnotedebasdep"/>
        </w:rPr>
        <w:footnoteRef/>
      </w:r>
      <w:r>
        <w:tab/>
      </w:r>
      <w:r w:rsidRPr="00C92F30">
        <w:t xml:space="preserve">Jean Price-Mars, « Essai sur la littérature et les arts haïtiens de 1900 à 1957 », dans </w:t>
      </w:r>
      <w:hyperlink r:id="rId3" w:history="1">
        <w:r w:rsidRPr="002C1EB7">
          <w:rPr>
            <w:rStyle w:val="Lienhypertexte"/>
            <w:i/>
          </w:rPr>
          <w:t>De Saint-Domingue à Haïti. Essai sur la Culture, les Arts et la Littérat</w:t>
        </w:r>
        <w:r w:rsidRPr="002C1EB7">
          <w:rPr>
            <w:rStyle w:val="Lienhypertexte"/>
            <w:i/>
          </w:rPr>
          <w:t>u</w:t>
        </w:r>
        <w:r w:rsidRPr="002C1EB7">
          <w:rPr>
            <w:rStyle w:val="Lienhypertexte"/>
            <w:i/>
          </w:rPr>
          <w:t>re</w:t>
        </w:r>
      </w:hyperlink>
      <w:r w:rsidRPr="00C92F30">
        <w:t>, Paris, Présence Africaine, 1959, p. 98.</w:t>
      </w:r>
    </w:p>
  </w:footnote>
  <w:footnote w:id="20">
    <w:p w:rsidR="004C50DC" w:rsidRPr="00C92F30" w:rsidRDefault="004C50DC" w:rsidP="004C50DC">
      <w:pPr>
        <w:pStyle w:val="Notedebasdepage"/>
        <w:rPr>
          <w:lang w:val="fr-FR"/>
        </w:rPr>
      </w:pPr>
      <w:r w:rsidRPr="002C1EB7">
        <w:rPr>
          <w:rStyle w:val="Appelnotedebasdep"/>
          <w:lang w:val="fr-FR"/>
        </w:rPr>
        <w:footnoteRef/>
      </w:r>
      <w:r>
        <w:rPr>
          <w:lang w:val="fr-FR"/>
        </w:rPr>
        <w:tab/>
      </w:r>
      <w:r w:rsidRPr="00C92F30">
        <w:rPr>
          <w:lang w:val="fr-FR"/>
        </w:rPr>
        <w:t xml:space="preserve">Jean-Étienne Victor, « Fondement juridique de l’instabilité en Haïti », dans Alain Yacou (dir.), </w:t>
      </w:r>
      <w:r w:rsidRPr="00C92F30">
        <w:rPr>
          <w:i/>
          <w:lang w:val="fr-FR"/>
        </w:rPr>
        <w:t>La Caraïbe au tournant de deux siècles</w:t>
      </w:r>
      <w:r w:rsidRPr="00C92F30">
        <w:rPr>
          <w:lang w:val="fr-FR"/>
        </w:rPr>
        <w:t xml:space="preserve">, Paris, Karthala, 2004. p. 169 ; voir aussi Eddy Mésidor, </w:t>
      </w:r>
      <w:r w:rsidRPr="00C92F30">
        <w:rPr>
          <w:i/>
          <w:lang w:val="fr-FR"/>
        </w:rPr>
        <w:t>Il était une fois Haïti…</w:t>
      </w:r>
      <w:r w:rsidRPr="00C92F30">
        <w:rPr>
          <w:lang w:val="fr-FR"/>
        </w:rPr>
        <w:t>, Freeport (NY), Fordi 9, 2007, p. 13.</w:t>
      </w:r>
    </w:p>
  </w:footnote>
  <w:footnote w:id="21">
    <w:p w:rsidR="004C50DC" w:rsidRPr="00C92F30" w:rsidRDefault="004C50DC" w:rsidP="004C50DC">
      <w:pPr>
        <w:pStyle w:val="Notedebasdepage"/>
        <w:rPr>
          <w:lang w:val="fr-FR"/>
        </w:rPr>
      </w:pPr>
      <w:r w:rsidRPr="002C1EB7">
        <w:rPr>
          <w:rStyle w:val="Appelnotedebasdep"/>
          <w:lang w:val="fr-FR"/>
        </w:rPr>
        <w:footnoteRef/>
      </w:r>
      <w:r>
        <w:rPr>
          <w:lang w:val="fr-FR"/>
        </w:rPr>
        <w:tab/>
      </w:r>
      <w:r w:rsidRPr="00C92F30">
        <w:rPr>
          <w:lang w:val="fr-FR"/>
        </w:rPr>
        <w:t>« Ce que voulaient les futurs mulâtres […], c’était une assimilation sans re</w:t>
      </w:r>
      <w:r w:rsidRPr="00C92F30">
        <w:rPr>
          <w:lang w:val="fr-FR"/>
        </w:rPr>
        <w:t>s</w:t>
      </w:r>
      <w:r w:rsidRPr="00C92F30">
        <w:rPr>
          <w:lang w:val="fr-FR"/>
        </w:rPr>
        <w:t>triction dans le monde des Blancs. Ceci revient à dire qu’ils étaient les de</w:t>
      </w:r>
      <w:r w:rsidRPr="00C92F30">
        <w:rPr>
          <w:lang w:val="fr-FR"/>
        </w:rPr>
        <w:t>r</w:t>
      </w:r>
      <w:r w:rsidRPr="00C92F30">
        <w:rPr>
          <w:lang w:val="fr-FR"/>
        </w:rPr>
        <w:t xml:space="preserve">niers à souhaiter la suppression de l’esclavage et du système des plantations dans lequel ils réussissaient fort bien, et qui constituait le moteur même de leur ascension sociale » ; </w:t>
      </w:r>
      <w:r w:rsidRPr="00C92F30">
        <w:t xml:space="preserve">Michel Oriol, </w:t>
      </w:r>
      <w:r w:rsidRPr="00C92F30">
        <w:rPr>
          <w:i/>
        </w:rPr>
        <w:t>Images de la Révolution de Saint-Domingue</w:t>
      </w:r>
      <w:r w:rsidRPr="00C92F30">
        <w:t>, Port-au-Prince, Henri Deschamps, 1992, p. 184.</w:t>
      </w:r>
    </w:p>
  </w:footnote>
  <w:footnote w:id="22">
    <w:p w:rsidR="004C50DC" w:rsidRPr="00C92F30" w:rsidRDefault="004C50DC" w:rsidP="004C50DC">
      <w:pPr>
        <w:pStyle w:val="Notedebasdepage"/>
        <w:rPr>
          <w:lang w:val="fr-FR"/>
        </w:rPr>
      </w:pPr>
      <w:r w:rsidRPr="00C92F30">
        <w:rPr>
          <w:rStyle w:val="Appelnotedebasdep"/>
          <w:sz w:val="24"/>
          <w:lang w:val="fr-FR"/>
        </w:rPr>
        <w:footnoteRef/>
      </w:r>
      <w:r>
        <w:rPr>
          <w:lang w:val="fr-FR"/>
        </w:rPr>
        <w:tab/>
      </w:r>
      <w:r w:rsidRPr="00C92F30">
        <w:rPr>
          <w:lang w:val="fr-FR"/>
        </w:rPr>
        <w:t xml:space="preserve">Voir Francine Saillant et Alexandrine Boudreault-Fournier (dir.), </w:t>
      </w:r>
      <w:r w:rsidRPr="00C92F30">
        <w:rPr>
          <w:i/>
          <w:lang w:val="fr-FR"/>
        </w:rPr>
        <w:t>Afrodesce</w:t>
      </w:r>
      <w:r w:rsidRPr="00C92F30">
        <w:rPr>
          <w:i/>
          <w:lang w:val="fr-FR"/>
        </w:rPr>
        <w:t>n</w:t>
      </w:r>
      <w:r w:rsidRPr="00C92F30">
        <w:rPr>
          <w:i/>
          <w:lang w:val="fr-FR"/>
        </w:rPr>
        <w:t>dances, cultures et citoyenneté</w:t>
      </w:r>
      <w:r w:rsidRPr="00C92F30">
        <w:rPr>
          <w:lang w:val="fr-FR"/>
        </w:rPr>
        <w:t>, Québec, Presses de l’Université Laval, 2012, p. 2 ; et en particulier Francine Saillant, « Art, citoyenneté et réparations de l’esclavage. Pratiques et perspectives de deux artistes engagés à Rio de Jane</w:t>
      </w:r>
      <w:r w:rsidRPr="00C92F30">
        <w:rPr>
          <w:lang w:val="fr-FR"/>
        </w:rPr>
        <w:t>i</w:t>
      </w:r>
      <w:r w:rsidRPr="00C92F30">
        <w:rPr>
          <w:lang w:val="fr-FR"/>
        </w:rPr>
        <w:t xml:space="preserve">ro », dans ibid., </w:t>
      </w:r>
      <w:r>
        <w:rPr>
          <w:lang w:val="fr-FR"/>
        </w:rPr>
        <w:t>p</w:t>
      </w:r>
      <w:r w:rsidRPr="00C92F30">
        <w:rPr>
          <w:lang w:val="fr-FR"/>
        </w:rPr>
        <w:t>p. 89-110.</w:t>
      </w:r>
    </w:p>
  </w:footnote>
  <w:footnote w:id="23">
    <w:p w:rsidR="004C50DC" w:rsidRPr="00C92F30" w:rsidRDefault="004C50DC" w:rsidP="004C50DC">
      <w:pPr>
        <w:pStyle w:val="Notedebasdepage"/>
      </w:pPr>
      <w:r w:rsidRPr="00C92F30">
        <w:rPr>
          <w:rStyle w:val="Appelnotedebasdep"/>
          <w:sz w:val="24"/>
        </w:rPr>
        <w:footnoteRef/>
      </w:r>
      <w:r>
        <w:tab/>
      </w:r>
      <w:r w:rsidRPr="00C92F30">
        <w:t>Par exemple, Justin-Chrysostome Dorsainvil fait ressortir que la crainte des tortures qu’on infligeait aux esclaves leur ôtait l’envie de se révolter ; les e</w:t>
      </w:r>
      <w:r w:rsidRPr="00C92F30">
        <w:t>s</w:t>
      </w:r>
      <w:r w:rsidRPr="00C92F30">
        <w:t>claves attendaient alors un leader pour les galvaniser et les conduire à révo</w:t>
      </w:r>
      <w:r w:rsidRPr="00C92F30">
        <w:t>l</w:t>
      </w:r>
      <w:r w:rsidRPr="00C92F30">
        <w:t>te au moment opportun. Boukman paraissait être ce leader en qui s’incarnait l’unité des esclaves. Dorsainvil a écrit : « Avant 1789, les esclaves de Saint-Domingue, par les révoltes armées et par le poison, avaient démontré aux c</w:t>
      </w:r>
      <w:r w:rsidRPr="00C92F30">
        <w:t>o</w:t>
      </w:r>
      <w:r w:rsidRPr="00C92F30">
        <w:t>lons les moins clairvoyants que, seule, la force brutale les maintenait dans leur ignoble et misérable condition. Pour rester dans la vérité, il faut noter cepe</w:t>
      </w:r>
      <w:r w:rsidRPr="00C92F30">
        <w:t>n</w:t>
      </w:r>
      <w:r w:rsidRPr="00C92F30">
        <w:t>dant que, chefs des révoltés et distributeurs de poison mis à part, la masse des esclaves souffrait en silence et ne pensait que rarement au droit de tous les hommes à la liberté. En 1789, la mentalité de l’esclave changea. Les mots, l</w:t>
      </w:r>
      <w:r w:rsidRPr="00C92F30">
        <w:t>i</w:t>
      </w:r>
      <w:r w:rsidRPr="00C92F30">
        <w:t>berté, égalité, fraternité, droits de l’Homme, sonnèrent souvent à ses orei</w:t>
      </w:r>
      <w:r w:rsidRPr="00C92F30">
        <w:t>l</w:t>
      </w:r>
      <w:r w:rsidRPr="00C92F30">
        <w:t xml:space="preserve">les » ; Justin-Chrysostome Dorsainvil, </w:t>
      </w:r>
      <w:r w:rsidRPr="00C92F30">
        <w:rPr>
          <w:i/>
        </w:rPr>
        <w:t>Manuel d’Histoire d’Haïti</w:t>
      </w:r>
      <w:r w:rsidRPr="00C92F30">
        <w:t>, Port-au-Prince, Procure des Frères de l’Instruction chrétienne, 1934, p</w:t>
      </w:r>
      <w:r>
        <w:t>p</w:t>
      </w:r>
      <w:r w:rsidRPr="00C92F30">
        <w:t xml:space="preserve">. 76-77. </w:t>
      </w:r>
    </w:p>
  </w:footnote>
  <w:footnote w:id="24">
    <w:p w:rsidR="004C50DC" w:rsidRPr="00C92F30" w:rsidRDefault="004C50DC" w:rsidP="004C50DC">
      <w:pPr>
        <w:pStyle w:val="Notedebasdepage"/>
      </w:pPr>
      <w:r w:rsidRPr="00C92F30">
        <w:rPr>
          <w:rStyle w:val="Appelnotedebasdep"/>
          <w:sz w:val="24"/>
        </w:rPr>
        <w:footnoteRef/>
      </w:r>
      <w:r>
        <w:tab/>
      </w:r>
      <w:r w:rsidRPr="00C92F30">
        <w:t xml:space="preserve">À ce sujet voir Jhon Picard Byron, « Le nationalisme haïtien et la mémoire de l’esclavage », dans Vincent Auzas et Bogumil Jewsiewicki, </w:t>
      </w:r>
      <w:r w:rsidRPr="00C92F30">
        <w:rPr>
          <w:i/>
        </w:rPr>
        <w:t>Traumatisme co</w:t>
      </w:r>
      <w:r w:rsidRPr="00C92F30">
        <w:rPr>
          <w:i/>
        </w:rPr>
        <w:t>l</w:t>
      </w:r>
      <w:r w:rsidRPr="00C92F30">
        <w:rPr>
          <w:i/>
        </w:rPr>
        <w:t>lectif pour patrimoine. Regard sur un mouvement transnational</w:t>
      </w:r>
      <w:r w:rsidRPr="00C92F30">
        <w:t>, Québec, Presses de l’Université de Laval, 2008, p</w:t>
      </w:r>
      <w:r>
        <w:t>p</w:t>
      </w:r>
      <w:r w:rsidRPr="00C92F30">
        <w:t>. 187-197.</w:t>
      </w:r>
    </w:p>
  </w:footnote>
  <w:footnote w:id="25">
    <w:p w:rsidR="004C50DC" w:rsidRPr="00C92F30" w:rsidRDefault="004C50DC" w:rsidP="004C50DC">
      <w:pPr>
        <w:pStyle w:val="Notedebasdepage"/>
      </w:pPr>
      <w:r w:rsidRPr="002C1EB7">
        <w:rPr>
          <w:rStyle w:val="Appelnotedebasdep"/>
        </w:rPr>
        <w:footnoteRef/>
      </w:r>
      <w:r>
        <w:tab/>
      </w:r>
      <w:r w:rsidRPr="00C92F30">
        <w:t xml:space="preserve">Voir André Marcel d’Ans, </w:t>
      </w:r>
      <w:r w:rsidRPr="00C92F30">
        <w:rPr>
          <w:i/>
        </w:rPr>
        <w:t>Haïti. Paysage et société</w:t>
      </w:r>
      <w:r w:rsidRPr="00C92F30">
        <w:t xml:space="preserve">, Paris, Karthala, 1987 ; Gérard Barthélémy, « Paradoxes de la mémoire paysanne », </w:t>
      </w:r>
      <w:r w:rsidRPr="00C92F30">
        <w:rPr>
          <w:i/>
        </w:rPr>
        <w:t>Chemins crit</w:t>
      </w:r>
      <w:r w:rsidRPr="00C92F30">
        <w:rPr>
          <w:i/>
        </w:rPr>
        <w:t>i</w:t>
      </w:r>
      <w:r w:rsidRPr="00C92F30">
        <w:rPr>
          <w:i/>
        </w:rPr>
        <w:t>ques</w:t>
      </w:r>
      <w:r w:rsidRPr="00C92F30">
        <w:t>, vol. 1, n</w:t>
      </w:r>
      <w:r w:rsidRPr="00C92F30">
        <w:rPr>
          <w:vertAlign w:val="superscript"/>
        </w:rPr>
        <w:t>o</w:t>
      </w:r>
      <w:r w:rsidRPr="00C92F30">
        <w:t xml:space="preserve"> 4, 1990, p. 71-87. Le </w:t>
      </w:r>
      <w:r w:rsidRPr="00C92F30">
        <w:rPr>
          <w:i/>
        </w:rPr>
        <w:t>nationalisme héroïque</w:t>
      </w:r>
      <w:r w:rsidRPr="00C92F30">
        <w:t xml:space="preserve"> évoqué par Ca</w:t>
      </w:r>
      <w:r w:rsidRPr="00C92F30">
        <w:t>r</w:t>
      </w:r>
      <w:r w:rsidRPr="00C92F30">
        <w:t>lo A. Célius (2003-2004) s’impose dans les discours officiels et dans les co</w:t>
      </w:r>
      <w:r w:rsidRPr="00C92F30">
        <w:t>m</w:t>
      </w:r>
      <w:r w:rsidRPr="00C92F30">
        <w:t>mém</w:t>
      </w:r>
      <w:r w:rsidRPr="00C92F30">
        <w:t>o</w:t>
      </w:r>
      <w:r w:rsidRPr="00C92F30">
        <w:t>rations : jour de l’Indépendance nationale (1</w:t>
      </w:r>
      <w:r w:rsidRPr="00C92F30">
        <w:rPr>
          <w:vertAlign w:val="superscript"/>
        </w:rPr>
        <w:t>er</w:t>
      </w:r>
      <w:r w:rsidRPr="00C92F30">
        <w:t xml:space="preserve"> janvier), Fête du drapeau (18 mai), Insurrection des esclaves (22-23 août), bataille de Vertières (18 n</w:t>
      </w:r>
      <w:r w:rsidRPr="00C92F30">
        <w:t>o</w:t>
      </w:r>
      <w:r w:rsidRPr="00C92F30">
        <w:t>ve</w:t>
      </w:r>
      <w:r w:rsidRPr="00C92F30">
        <w:t>m</w:t>
      </w:r>
      <w:r w:rsidRPr="00C92F30">
        <w:t>bre).</w:t>
      </w:r>
    </w:p>
  </w:footnote>
  <w:footnote w:id="26">
    <w:p w:rsidR="004C50DC" w:rsidRPr="00C92F30" w:rsidRDefault="004C50DC" w:rsidP="004C50DC">
      <w:pPr>
        <w:pStyle w:val="Notedebasdepage"/>
      </w:pPr>
      <w:r w:rsidRPr="002C1EB7">
        <w:rPr>
          <w:rStyle w:val="Appelnotedebasdep"/>
        </w:rPr>
        <w:footnoteRef/>
      </w:r>
      <w:r>
        <w:tab/>
      </w:r>
      <w:r w:rsidRPr="00C92F30">
        <w:t xml:space="preserve">Gérard Barthélémy, « Réflexions sur deux mémoires inconciliables : celle du maître et celle de l’esclave. Le cas d’Haïti », </w:t>
      </w:r>
      <w:r w:rsidRPr="00C92F30">
        <w:rPr>
          <w:i/>
        </w:rPr>
        <w:t>Cahiers d’Études africaines</w:t>
      </w:r>
      <w:r w:rsidRPr="00C92F30">
        <w:t>, vol. XLIV (n</w:t>
      </w:r>
      <w:r w:rsidRPr="00C92F30">
        <w:rPr>
          <w:vertAlign w:val="superscript"/>
        </w:rPr>
        <w:t>os</w:t>
      </w:r>
      <w:r w:rsidRPr="00C92F30">
        <w:t>173-174), 2004, p. 130 ; voir également, du même auteur, « Les p</w:t>
      </w:r>
      <w:r w:rsidRPr="00C92F30">
        <w:t>a</w:t>
      </w:r>
      <w:r w:rsidRPr="00C92F30">
        <w:t xml:space="preserve">radoxes de la mémoire paysanne », </w:t>
      </w:r>
      <w:r w:rsidRPr="00C92F30">
        <w:rPr>
          <w:i/>
        </w:rPr>
        <w:t>Chemins critiques</w:t>
      </w:r>
      <w:r w:rsidRPr="00C92F30">
        <w:t>, vol. 1, n</w:t>
      </w:r>
      <w:r w:rsidRPr="00C92F30">
        <w:rPr>
          <w:vertAlign w:val="superscript"/>
        </w:rPr>
        <w:t>o</w:t>
      </w:r>
      <w:r w:rsidRPr="00C92F30">
        <w:t> 4, 1990, p. 71-87, qui présente une mémoire de l’esclavage du paysan haïtien caractérisée par « un oubli qui a l’air d’une décision », « un refus de co</w:t>
      </w:r>
      <w:r w:rsidRPr="00C92F30">
        <w:t>m</w:t>
      </w:r>
      <w:r w:rsidRPr="00C92F30">
        <w:t>prendre », « un oubli-refus d’une situation », donc « un refus de parler ».</w:t>
      </w:r>
    </w:p>
  </w:footnote>
  <w:footnote w:id="27">
    <w:p w:rsidR="004C50DC" w:rsidRPr="00C92F30" w:rsidRDefault="004C50DC" w:rsidP="004C50DC">
      <w:pPr>
        <w:pStyle w:val="Notedebasdepage"/>
      </w:pPr>
      <w:r w:rsidRPr="002C1EB7">
        <w:rPr>
          <w:rStyle w:val="Appelnotedebasdep"/>
        </w:rPr>
        <w:footnoteRef/>
      </w:r>
      <w:r>
        <w:tab/>
      </w:r>
      <w:r w:rsidRPr="00C92F30">
        <w:t xml:space="preserve">Marc Ferro, </w:t>
      </w:r>
      <w:r w:rsidRPr="00C92F30">
        <w:rPr>
          <w:i/>
        </w:rPr>
        <w:t>L’histoire sous surveillance</w:t>
      </w:r>
      <w:r w:rsidRPr="00C92F30">
        <w:t>, Paris, Calmann-Lévy, 1985, p. 7. </w:t>
      </w:r>
    </w:p>
  </w:footnote>
  <w:footnote w:id="28">
    <w:p w:rsidR="004C50DC" w:rsidRPr="00C92F30" w:rsidRDefault="004C50DC" w:rsidP="004C50DC">
      <w:pPr>
        <w:pStyle w:val="Notedebasdepage"/>
        <w:rPr>
          <w:lang w:val="fr-FR"/>
        </w:rPr>
      </w:pPr>
      <w:r w:rsidRPr="002C1EB7">
        <w:rPr>
          <w:rStyle w:val="Appelnotedebasdep"/>
          <w:lang w:val="fr-FR"/>
        </w:rPr>
        <w:footnoteRef/>
      </w:r>
      <w:r>
        <w:rPr>
          <w:iCs/>
          <w:lang w:val="fr-FR"/>
        </w:rPr>
        <w:tab/>
      </w:r>
      <w:r w:rsidRPr="00C92F30">
        <w:rPr>
          <w:iCs/>
          <w:lang w:val="fr-FR"/>
        </w:rPr>
        <w:t xml:space="preserve">Dominique de Villepin, </w:t>
      </w:r>
      <w:r w:rsidRPr="00C92F30">
        <w:rPr>
          <w:lang w:val="fr-FR"/>
        </w:rPr>
        <w:t xml:space="preserve">« Avant-propos », dans  Édouard Glissant, </w:t>
      </w:r>
      <w:r w:rsidRPr="00C92F30">
        <w:rPr>
          <w:i/>
          <w:lang w:val="fr-FR"/>
        </w:rPr>
        <w:t>M</w:t>
      </w:r>
      <w:r w:rsidRPr="00C92F30">
        <w:rPr>
          <w:i/>
          <w:lang w:val="fr-FR"/>
        </w:rPr>
        <w:t>é</w:t>
      </w:r>
      <w:r w:rsidRPr="00C92F30">
        <w:rPr>
          <w:i/>
          <w:lang w:val="fr-FR"/>
        </w:rPr>
        <w:t>moires des esclavages. La fondation d’un centre national pour la mémoire des escl</w:t>
      </w:r>
      <w:r w:rsidRPr="00C92F30">
        <w:rPr>
          <w:i/>
          <w:lang w:val="fr-FR"/>
        </w:rPr>
        <w:t>a</w:t>
      </w:r>
      <w:r w:rsidRPr="00C92F30">
        <w:rPr>
          <w:i/>
          <w:lang w:val="fr-FR"/>
        </w:rPr>
        <w:t>v</w:t>
      </w:r>
      <w:r w:rsidRPr="00C92F30">
        <w:rPr>
          <w:i/>
          <w:lang w:val="fr-FR"/>
        </w:rPr>
        <w:t>a</w:t>
      </w:r>
      <w:r w:rsidRPr="00C92F30">
        <w:rPr>
          <w:i/>
          <w:lang w:val="fr-FR"/>
        </w:rPr>
        <w:t>ges et de leurs abolitions</w:t>
      </w:r>
      <w:r w:rsidRPr="00C92F30">
        <w:rPr>
          <w:lang w:val="fr-FR"/>
        </w:rPr>
        <w:t xml:space="preserve">, Paris, Gallimard, La Documentation française,  2007, </w:t>
      </w:r>
      <w:r w:rsidRPr="00C92F30">
        <w:rPr>
          <w:iCs/>
          <w:lang w:val="fr-FR"/>
        </w:rPr>
        <w:t>p</w:t>
      </w:r>
      <w:r>
        <w:rPr>
          <w:iCs/>
          <w:lang w:val="fr-FR"/>
        </w:rPr>
        <w:t>p</w:t>
      </w:r>
      <w:r w:rsidRPr="00C92F30">
        <w:rPr>
          <w:iCs/>
          <w:lang w:val="fr-FR"/>
        </w:rPr>
        <w:t>. 12-13</w:t>
      </w:r>
      <w:r w:rsidRPr="00C92F30">
        <w:rPr>
          <w:lang w:val="fr-FR"/>
        </w:rPr>
        <w:t>.</w:t>
      </w:r>
    </w:p>
  </w:footnote>
  <w:footnote w:id="29">
    <w:p w:rsidR="004C50DC" w:rsidRPr="00C92F30" w:rsidRDefault="004C50DC" w:rsidP="004C50DC">
      <w:pPr>
        <w:pStyle w:val="Notedebasdepage"/>
        <w:rPr>
          <w:lang w:val="fr-FR"/>
        </w:rPr>
      </w:pPr>
      <w:r w:rsidRPr="002C1EB7">
        <w:rPr>
          <w:rStyle w:val="Appelnotedebasdep"/>
          <w:lang w:val="fr-FR"/>
        </w:rPr>
        <w:footnoteRef/>
      </w:r>
      <w:r>
        <w:rPr>
          <w:rFonts w:eastAsia="Calibri"/>
          <w:lang w:val="fr-FR"/>
        </w:rPr>
        <w:tab/>
      </w:r>
      <w:r w:rsidRPr="00C92F30">
        <w:rPr>
          <w:rFonts w:eastAsia="Calibri"/>
          <w:lang w:val="fr-FR"/>
        </w:rPr>
        <w:t>L’Institut virtuel des Hautes Études sur les esclavages et les traites (I</w:t>
      </w:r>
      <w:r w:rsidRPr="00C92F30">
        <w:rPr>
          <w:rFonts w:eastAsia="Calibri"/>
          <w:lang w:val="fr-FR"/>
        </w:rPr>
        <w:t>V</w:t>
      </w:r>
      <w:r w:rsidRPr="00C92F30">
        <w:rPr>
          <w:rFonts w:eastAsia="Calibri"/>
          <w:lang w:val="fr-FR"/>
        </w:rPr>
        <w:t>HEET) en Haïti</w:t>
      </w:r>
      <w:r w:rsidRPr="00C92F30">
        <w:rPr>
          <w:lang w:val="fr-FR"/>
        </w:rPr>
        <w:t xml:space="preserve"> a donné des bourses à des étudiants de l’Université d’État d’Haïti tr</w:t>
      </w:r>
      <w:r w:rsidRPr="00C92F30">
        <w:rPr>
          <w:lang w:val="fr-FR"/>
        </w:rPr>
        <w:t>a</w:t>
      </w:r>
      <w:r w:rsidRPr="00C92F30">
        <w:rPr>
          <w:lang w:val="fr-FR"/>
        </w:rPr>
        <w:t>vaillant sur cette thématique à travers le programme de Maîtrise interdiscipl</w:t>
      </w:r>
      <w:r w:rsidRPr="00C92F30">
        <w:rPr>
          <w:lang w:val="fr-FR"/>
        </w:rPr>
        <w:t>i</w:t>
      </w:r>
      <w:r w:rsidRPr="00C92F30">
        <w:rPr>
          <w:lang w:val="fr-FR"/>
        </w:rPr>
        <w:t>naire en sciences sociales et humaines (MISHH) depuis 2008. De nouvelles publications ont également vu le jour :celles portant sur les démarches du c</w:t>
      </w:r>
      <w:r w:rsidRPr="00C92F30">
        <w:rPr>
          <w:lang w:val="fr-FR"/>
        </w:rPr>
        <w:t>o</w:t>
      </w:r>
      <w:r w:rsidRPr="00C92F30">
        <w:rPr>
          <w:lang w:val="fr-FR"/>
        </w:rPr>
        <w:t>mité n</w:t>
      </w:r>
      <w:r w:rsidRPr="00C92F30">
        <w:rPr>
          <w:lang w:val="fr-FR"/>
        </w:rPr>
        <w:t>a</w:t>
      </w:r>
      <w:r w:rsidRPr="00C92F30">
        <w:rPr>
          <w:lang w:val="fr-FR"/>
        </w:rPr>
        <w:t xml:space="preserve">tional de la </w:t>
      </w:r>
      <w:r w:rsidRPr="00C92F30">
        <w:rPr>
          <w:i/>
          <w:lang w:val="fr-FR"/>
        </w:rPr>
        <w:t>Route de l’esclave</w:t>
      </w:r>
      <w:r w:rsidRPr="00C92F30">
        <w:rPr>
          <w:lang w:val="fr-FR"/>
        </w:rPr>
        <w:t xml:space="preserve"> de l’UNESCO, des monographies sur les habit</w:t>
      </w:r>
      <w:r w:rsidRPr="00C92F30">
        <w:rPr>
          <w:lang w:val="fr-FR"/>
        </w:rPr>
        <w:t>a</w:t>
      </w:r>
      <w:r w:rsidRPr="00C92F30">
        <w:rPr>
          <w:lang w:val="fr-FR"/>
        </w:rPr>
        <w:t xml:space="preserve">tions et les fortifications (comme la revue de la Société haïtienne d’histoire et de géographie, la revue </w:t>
      </w:r>
      <w:r w:rsidRPr="00C92F30">
        <w:rPr>
          <w:i/>
          <w:lang w:val="fr-FR"/>
        </w:rPr>
        <w:t>Conjonction</w:t>
      </w:r>
      <w:r w:rsidRPr="00C92F30">
        <w:rPr>
          <w:lang w:val="fr-FR"/>
        </w:rPr>
        <w:t>,</w:t>
      </w:r>
      <w:r w:rsidRPr="00C92F30">
        <w:rPr>
          <w:i/>
          <w:lang w:val="fr-FR"/>
        </w:rPr>
        <w:t xml:space="preserve"> Haïti 1804-2004</w:t>
      </w:r>
      <w:r w:rsidRPr="00C92F30">
        <w:rPr>
          <w:lang w:val="fr-FR"/>
        </w:rPr>
        <w:t>, la revue franco-haïtienne de l’Institut français d’Haïti, n</w:t>
      </w:r>
      <w:r w:rsidRPr="00C92F30">
        <w:rPr>
          <w:vertAlign w:val="superscript"/>
          <w:lang w:val="fr-FR"/>
        </w:rPr>
        <w:t>o</w:t>
      </w:r>
      <w:r w:rsidRPr="00C92F30">
        <w:rPr>
          <w:lang w:val="fr-FR"/>
        </w:rPr>
        <w:t xml:space="preserve"> 211, 2006 – tout ce numéro étant consacré au bicentenaire de l’Indépendance en 2004), et des romans in</w:t>
      </w:r>
      <w:r w:rsidRPr="00C92F30">
        <w:rPr>
          <w:lang w:val="fr-FR"/>
        </w:rPr>
        <w:t>s</w:t>
      </w:r>
      <w:r w:rsidRPr="00C92F30">
        <w:rPr>
          <w:lang w:val="fr-FR"/>
        </w:rPr>
        <w:t xml:space="preserve">pirés de l’histoire coloniale esclavagiste présentant </w:t>
      </w:r>
      <w:r w:rsidRPr="00C92F30">
        <w:t>les esclaves comme des individus avec leurs passions, leurs faiblesses, leur détermination et leur d</w:t>
      </w:r>
      <w:r w:rsidRPr="00C92F30">
        <w:t>é</w:t>
      </w:r>
      <w:r w:rsidRPr="00C92F30">
        <w:t xml:space="preserve">tresse </w:t>
      </w:r>
      <w:r w:rsidRPr="00C92F30">
        <w:rPr>
          <w:lang w:val="fr-FR"/>
        </w:rPr>
        <w:t xml:space="preserve">(Rosalie l’infâme, d’Évelyne Trouillot, 2003, et </w:t>
      </w:r>
      <w:r w:rsidRPr="00C92F30">
        <w:rPr>
          <w:i/>
          <w:lang w:val="fr-FR"/>
        </w:rPr>
        <w:t>La Négresse de Saint-Domingue</w:t>
      </w:r>
      <w:r w:rsidRPr="00C92F30">
        <w:rPr>
          <w:lang w:val="fr-FR"/>
        </w:rPr>
        <w:t xml:space="preserve"> de Beaudelaine Pierre, 2011).</w:t>
      </w:r>
    </w:p>
  </w:footnote>
  <w:footnote w:id="30">
    <w:p w:rsidR="004C50DC" w:rsidRPr="00C92F30" w:rsidRDefault="004C50DC" w:rsidP="004C50DC">
      <w:pPr>
        <w:pStyle w:val="Notedebasdepage"/>
      </w:pPr>
      <w:r w:rsidRPr="002C1EB7">
        <w:rPr>
          <w:rStyle w:val="Appelnotedebasdep"/>
        </w:rPr>
        <w:footnoteRef/>
      </w:r>
      <w:r>
        <w:tab/>
      </w:r>
      <w:r w:rsidRPr="00C92F30">
        <w:t>Joël Candau emploie le terme « trace » pour expliquer cette présence perp</w:t>
      </w:r>
      <w:r w:rsidRPr="00C92F30">
        <w:t>é</w:t>
      </w:r>
      <w:r w:rsidRPr="00C92F30">
        <w:t>tue</w:t>
      </w:r>
      <w:r w:rsidRPr="00C92F30">
        <w:t>l</w:t>
      </w:r>
      <w:r w:rsidRPr="00C92F30">
        <w:t>le du passé en tant que fondement essentiel de la mémoire dans le travail de l’anthropologue. Ainsi, il ajoute que « l’anthropologue est toujours confro</w:t>
      </w:r>
      <w:r w:rsidRPr="00C92F30">
        <w:t>n</w:t>
      </w:r>
      <w:r w:rsidRPr="00C92F30">
        <w:t xml:space="preserve">té à la trace, à la fois transparente et opaque, signe ambigu d’une perte à double titre. En premier lieu, l’incomplétude en regard de ce qui a fait trace – témoin malgré elle […], « trace de la perte » […], elle en signifie l’absence-, elle est également la preuve que tout n’est pas perdu : à partir de la trace, on espère recouvrer un peu de ce qui est s’est enfui » ; Joël Candau, </w:t>
      </w:r>
      <w:r w:rsidRPr="00C92F30">
        <w:rPr>
          <w:i/>
        </w:rPr>
        <w:t>Anthropol</w:t>
      </w:r>
      <w:r w:rsidRPr="00C92F30">
        <w:rPr>
          <w:i/>
        </w:rPr>
        <w:t>o</w:t>
      </w:r>
      <w:r w:rsidRPr="00C92F30">
        <w:rPr>
          <w:i/>
        </w:rPr>
        <w:t>gie de la mémoire</w:t>
      </w:r>
      <w:r w:rsidRPr="00C92F30">
        <w:t>, op. cit., p. 113-114.</w:t>
      </w:r>
    </w:p>
  </w:footnote>
  <w:footnote w:id="31">
    <w:p w:rsidR="004C50DC" w:rsidRPr="00C92F30" w:rsidRDefault="004C50DC" w:rsidP="004C50DC">
      <w:pPr>
        <w:pStyle w:val="Notedebasdepage"/>
        <w:rPr>
          <w:lang w:val="fr-FR"/>
        </w:rPr>
      </w:pPr>
      <w:r w:rsidRPr="002C1EB7">
        <w:rPr>
          <w:rStyle w:val="Appelnotedebasdep"/>
          <w:lang w:val="fr-FR"/>
        </w:rPr>
        <w:footnoteRef/>
      </w:r>
      <w:r>
        <w:rPr>
          <w:lang w:val="fr-FR"/>
        </w:rPr>
        <w:tab/>
      </w:r>
      <w:r w:rsidRPr="00C92F30">
        <w:rPr>
          <w:lang w:val="fr-FR"/>
        </w:rPr>
        <w:t xml:space="preserve">La Slavonie, région de l’actuelle Croatie, passa au temps d’Auguste sous la domination romaine en tant que partie de la province de la Pannonie. </w:t>
      </w:r>
    </w:p>
  </w:footnote>
  <w:footnote w:id="32">
    <w:p w:rsidR="004C50DC" w:rsidRDefault="004C50DC" w:rsidP="004C50DC">
      <w:pPr>
        <w:pStyle w:val="Notedebasdepage"/>
      </w:pPr>
      <w:r>
        <w:rPr>
          <w:rStyle w:val="Appelnotedebasdep"/>
        </w:rPr>
        <w:footnoteRef/>
      </w:r>
      <w:r>
        <w:t xml:space="preserve"> </w:t>
      </w:r>
      <w:r>
        <w:tab/>
      </w:r>
      <w:r w:rsidRPr="00C92F30">
        <w:rPr>
          <w:lang w:val="fr-FR"/>
        </w:rPr>
        <w:t xml:space="preserve">Claude Meillassoux, </w:t>
      </w:r>
      <w:r w:rsidRPr="00C92F30">
        <w:rPr>
          <w:i/>
          <w:lang w:val="fr-FR"/>
        </w:rPr>
        <w:t>Anthropologie de l’esclavage</w:t>
      </w:r>
      <w:r w:rsidRPr="00C92F30">
        <w:rPr>
          <w:lang w:val="fr-FR"/>
        </w:rPr>
        <w:t xml:space="preserve">. </w:t>
      </w:r>
      <w:r w:rsidRPr="00C92F30">
        <w:rPr>
          <w:i/>
          <w:lang w:val="fr-FR"/>
        </w:rPr>
        <w:t>Le ventre de fer et d’argent</w:t>
      </w:r>
      <w:r w:rsidRPr="00C92F30">
        <w:rPr>
          <w:lang w:val="fr-FR"/>
        </w:rPr>
        <w:t>, Paris, Presses Universitaires de France, 1986, p. 73.</w:t>
      </w:r>
    </w:p>
  </w:footnote>
  <w:footnote w:id="33">
    <w:p w:rsidR="004C50DC" w:rsidRDefault="004C50DC" w:rsidP="004C50DC">
      <w:pPr>
        <w:pStyle w:val="Notedebasdepage"/>
      </w:pPr>
      <w:r>
        <w:rPr>
          <w:rStyle w:val="Appelnotedebasdep"/>
        </w:rPr>
        <w:footnoteRef/>
      </w:r>
      <w:r>
        <w:t xml:space="preserve"> </w:t>
      </w:r>
      <w:r>
        <w:tab/>
      </w:r>
      <w:r w:rsidRPr="00C92F30">
        <w:rPr>
          <w:lang w:val="fr-FR"/>
        </w:rPr>
        <w:t>Frédéric Régent cité par Joseph Savès, « Esclavage. La traite, un crime contre l’humanité ? », en l</w:t>
      </w:r>
      <w:r w:rsidRPr="00C92F30">
        <w:rPr>
          <w:lang w:val="fr-FR"/>
        </w:rPr>
        <w:t>i</w:t>
      </w:r>
      <w:r w:rsidRPr="00C92F30">
        <w:rPr>
          <w:lang w:val="fr-FR"/>
        </w:rPr>
        <w:t>gne,</w:t>
      </w:r>
      <w:r>
        <w:rPr>
          <w:lang w:val="fr-FR"/>
        </w:rPr>
        <w:br/>
      </w:r>
      <w:hyperlink r:id="rId4" w:history="1">
        <w:r w:rsidRPr="00C92F30">
          <w:rPr>
            <w:rStyle w:val="Lienhypertexte"/>
            <w:lang w:val="fr-FR"/>
          </w:rPr>
          <w:t>http://www.herodote.net/La_traite_un_crime_contre_l_humanite_-article-17.php</w:t>
        </w:r>
      </w:hyperlink>
      <w:r w:rsidRPr="00C92F30">
        <w:rPr>
          <w:lang w:val="fr-FR"/>
        </w:rPr>
        <w:t xml:space="preserve">, consulté le 13 octobre 2014. </w:t>
      </w:r>
    </w:p>
  </w:footnote>
  <w:footnote w:id="34">
    <w:p w:rsidR="004C50DC" w:rsidRPr="00C92F30" w:rsidRDefault="004C50DC" w:rsidP="004C50DC">
      <w:pPr>
        <w:pStyle w:val="Notedebasdepage"/>
      </w:pPr>
      <w:r w:rsidRPr="002C1EB7">
        <w:rPr>
          <w:rStyle w:val="Appelnotedebasdep"/>
        </w:rPr>
        <w:footnoteRef/>
      </w:r>
      <w:r>
        <w:rPr>
          <w:lang w:eastAsia="fr-FR"/>
        </w:rPr>
        <w:tab/>
      </w:r>
      <w:r w:rsidRPr="00C92F30">
        <w:rPr>
          <w:lang w:eastAsia="fr-FR"/>
        </w:rPr>
        <w:t xml:space="preserve">Marcel Dorigny et Bernard Gainot, </w:t>
      </w:r>
      <w:r w:rsidRPr="00C92F30">
        <w:rPr>
          <w:i/>
          <w:lang w:eastAsia="fr-FR"/>
        </w:rPr>
        <w:t>Atlas des esclavages de l’Antiquité à nos jours</w:t>
      </w:r>
      <w:r w:rsidRPr="00C92F30">
        <w:rPr>
          <w:lang w:eastAsia="fr-FR"/>
        </w:rPr>
        <w:t>, Paris, Autrement, coll. Atlas/Mémoires, 2013, p. 40.</w:t>
      </w:r>
    </w:p>
  </w:footnote>
  <w:footnote w:id="35">
    <w:p w:rsidR="004C50DC" w:rsidRPr="00C92F30" w:rsidRDefault="004C50DC" w:rsidP="004C50DC">
      <w:pPr>
        <w:pStyle w:val="Notedebasdepage"/>
      </w:pPr>
      <w:r w:rsidRPr="002C1EB7">
        <w:rPr>
          <w:rStyle w:val="Appelnotedebasdep"/>
        </w:rPr>
        <w:footnoteRef/>
      </w:r>
      <w:r>
        <w:tab/>
      </w:r>
      <w:r w:rsidRPr="00C92F30">
        <w:t xml:space="preserve">Peter Garsney, dans son ouvrage </w:t>
      </w:r>
      <w:r w:rsidRPr="00C92F30">
        <w:rPr>
          <w:i/>
        </w:rPr>
        <w:t xml:space="preserve">Conceptions de l’esclavage. D’Aristote à saint Augustin, </w:t>
      </w:r>
      <w:r w:rsidRPr="00C92F30">
        <w:br/>
        <w:t>Les Belles Lettres – Histoire, 2004, différencie une société esclavagiste d’une société possédant des esclaves. Selon Garsney, le point crucial n’est pas le nombre d’esclaves, mais le fait qu’ils jouent un rôle vital dans la pr</w:t>
      </w:r>
      <w:r w:rsidRPr="00C92F30">
        <w:t>o</w:t>
      </w:r>
      <w:r w:rsidRPr="00C92F30">
        <w:t xml:space="preserve">duction. À ce sujet, voir aussi </w:t>
      </w:r>
      <w:r w:rsidRPr="00C92F30">
        <w:rPr>
          <w:lang w:eastAsia="fr-FR"/>
        </w:rPr>
        <w:t xml:space="preserve">Dorigny et Gainot, </w:t>
      </w:r>
      <w:r w:rsidRPr="00C92F30">
        <w:rPr>
          <w:i/>
          <w:lang w:eastAsia="fr-FR"/>
        </w:rPr>
        <w:t>Atlas des esclavages…</w:t>
      </w:r>
      <w:r w:rsidRPr="00C92F30">
        <w:rPr>
          <w:lang w:eastAsia="fr-FR"/>
        </w:rPr>
        <w:t>, op. cit., p. 7.</w:t>
      </w:r>
    </w:p>
  </w:footnote>
  <w:footnote w:id="36">
    <w:p w:rsidR="004C50DC" w:rsidRPr="00C92F30" w:rsidRDefault="004C50DC" w:rsidP="004C50DC">
      <w:pPr>
        <w:pStyle w:val="Notedebasdepage"/>
      </w:pPr>
      <w:r w:rsidRPr="002C1EB7">
        <w:rPr>
          <w:rStyle w:val="Appelnotedebasdep"/>
        </w:rPr>
        <w:footnoteRef/>
      </w:r>
      <w:r>
        <w:tab/>
      </w:r>
      <w:r w:rsidRPr="00C92F30">
        <w:t>Nous renvoyons à l’</w:t>
      </w:r>
      <w:r w:rsidRPr="00C92F30">
        <w:rPr>
          <w:lang w:eastAsia="fr-FR"/>
        </w:rPr>
        <w:t xml:space="preserve">identification faite par </w:t>
      </w:r>
      <w:r w:rsidRPr="00C92F30">
        <w:t xml:space="preserve">Moses I. Finley, dans </w:t>
      </w:r>
      <w:r w:rsidRPr="00C92F30">
        <w:rPr>
          <w:i/>
        </w:rPr>
        <w:t>Esclav</w:t>
      </w:r>
      <w:r w:rsidRPr="00C92F30">
        <w:rPr>
          <w:i/>
        </w:rPr>
        <w:t>a</w:t>
      </w:r>
      <w:r w:rsidRPr="00C92F30">
        <w:rPr>
          <w:i/>
        </w:rPr>
        <w:t>ge antique et idéologie moderne</w:t>
      </w:r>
      <w:r w:rsidRPr="00C92F30">
        <w:t>, Paris, Éditions de Minuit, 1981,</w:t>
      </w:r>
      <w:r w:rsidRPr="00C92F30">
        <w:rPr>
          <w:lang w:eastAsia="fr-FR"/>
        </w:rPr>
        <w:t xml:space="preserve"> cité par D</w:t>
      </w:r>
      <w:r w:rsidRPr="00C92F30">
        <w:rPr>
          <w:lang w:eastAsia="fr-FR"/>
        </w:rPr>
        <w:t>o</w:t>
      </w:r>
      <w:r w:rsidRPr="00C92F30">
        <w:rPr>
          <w:lang w:eastAsia="fr-FR"/>
        </w:rPr>
        <w:t xml:space="preserve">rigny et Gainot, </w:t>
      </w:r>
      <w:r w:rsidRPr="00C92F30">
        <w:rPr>
          <w:i/>
          <w:lang w:eastAsia="fr-FR"/>
        </w:rPr>
        <w:t>Atlas des esclavages…</w:t>
      </w:r>
      <w:r w:rsidRPr="00C92F30">
        <w:rPr>
          <w:lang w:eastAsia="fr-FR"/>
        </w:rPr>
        <w:t xml:space="preserve">, op. cit., p. 7. </w:t>
      </w:r>
    </w:p>
  </w:footnote>
  <w:footnote w:id="37">
    <w:p w:rsidR="004C50DC" w:rsidRPr="00C92F30" w:rsidRDefault="004C50DC" w:rsidP="004C50DC">
      <w:pPr>
        <w:pStyle w:val="Notedebasdepage"/>
        <w:rPr>
          <w:lang w:val="en-US"/>
        </w:rPr>
      </w:pPr>
      <w:r w:rsidRPr="002C1EB7">
        <w:rPr>
          <w:rStyle w:val="Appelnotedebasdep"/>
        </w:rPr>
        <w:footnoteRef/>
      </w:r>
      <w:r>
        <w:rPr>
          <w:lang w:val="en-US" w:eastAsia="fr-FR"/>
        </w:rPr>
        <w:tab/>
      </w:r>
      <w:r w:rsidRPr="00C92F30">
        <w:rPr>
          <w:lang w:val="en-US" w:eastAsia="fr-FR"/>
        </w:rPr>
        <w:t>Dorigny et Gainot, op. cit., p. 7.</w:t>
      </w:r>
    </w:p>
  </w:footnote>
  <w:footnote w:id="38">
    <w:p w:rsidR="004C50DC" w:rsidRPr="00C92F30" w:rsidRDefault="004C50DC" w:rsidP="004C50DC">
      <w:pPr>
        <w:pStyle w:val="Notedebasdepage"/>
        <w:rPr>
          <w:lang w:val="en-US"/>
        </w:rPr>
      </w:pPr>
      <w:r w:rsidRPr="002C1EB7">
        <w:rPr>
          <w:rStyle w:val="Appelnotedebasdep"/>
        </w:rPr>
        <w:footnoteRef/>
      </w:r>
      <w:r>
        <w:rPr>
          <w:lang w:val="en-US" w:eastAsia="fr-FR"/>
        </w:rPr>
        <w:tab/>
      </w:r>
      <w:r w:rsidRPr="002C1EB7">
        <w:rPr>
          <w:i/>
          <w:lang w:val="en-US" w:eastAsia="fr-FR"/>
        </w:rPr>
        <w:t>Ibid</w:t>
      </w:r>
      <w:r w:rsidRPr="00C92F30">
        <w:rPr>
          <w:lang w:val="en-US" w:eastAsia="fr-FR"/>
        </w:rPr>
        <w:t>. p. 23</w:t>
      </w:r>
      <w:r w:rsidRPr="00C92F30">
        <w:rPr>
          <w:lang w:val="en-US"/>
        </w:rPr>
        <w:t>.</w:t>
      </w:r>
    </w:p>
  </w:footnote>
  <w:footnote w:id="39">
    <w:p w:rsidR="004C50DC" w:rsidRDefault="004C50DC" w:rsidP="004C50DC">
      <w:pPr>
        <w:pStyle w:val="Notedebasdepage"/>
      </w:pPr>
      <w:r>
        <w:rPr>
          <w:rStyle w:val="Appelnotedebasdep"/>
        </w:rPr>
        <w:footnoteRef/>
      </w:r>
      <w:r>
        <w:t xml:space="preserve"> </w:t>
      </w:r>
      <w:r>
        <w:tab/>
      </w:r>
      <w:r w:rsidRPr="00C92F30">
        <w:rPr>
          <w:lang w:val="fr-FR"/>
        </w:rPr>
        <w:t>Il faut préciser qu’il n’existe pas en Haïti de loi réglementant et encourageant une colonisation interne ou la continuité de l’esclavage sur le territoire nati</w:t>
      </w:r>
      <w:r w:rsidRPr="00C92F30">
        <w:rPr>
          <w:lang w:val="fr-FR"/>
        </w:rPr>
        <w:t>o</w:t>
      </w:r>
      <w:r w:rsidRPr="00C92F30">
        <w:rPr>
          <w:lang w:val="fr-FR"/>
        </w:rPr>
        <w:t xml:space="preserve">nal. Toutefois, par le passé, certains gouvernements ont négocié le départ de centaines de milliers d’Haïtiens, ceux-ci allant travailler dans les </w:t>
      </w:r>
      <w:r w:rsidRPr="00C92F30">
        <w:rPr>
          <w:i/>
          <w:lang w:val="fr-FR"/>
        </w:rPr>
        <w:t xml:space="preserve">bateys </w:t>
      </w:r>
      <w:r w:rsidRPr="00C92F30">
        <w:rPr>
          <w:lang w:val="fr-FR"/>
        </w:rPr>
        <w:t>(pla</w:t>
      </w:r>
      <w:r w:rsidRPr="00C92F30">
        <w:rPr>
          <w:lang w:val="fr-FR"/>
        </w:rPr>
        <w:t>n</w:t>
      </w:r>
      <w:r w:rsidRPr="00C92F30">
        <w:rPr>
          <w:lang w:val="fr-FR"/>
        </w:rPr>
        <w:t xml:space="preserve">tations de canne à sucre) en République Dominicaine, dans des conditions qui rappellent le passé colonial esclavagiste. Nous pouvons citer les vagues d’émigration sous la présidence de François Duvalier dans les années 1960 et poursuivies par son fils Jean-Claude Duvalier jusqu’en 1986. Leslie Jean-Robert Péan rappelle que « depuis la chute du régime des Duvalier le 7 février 1986 avec l’enterrement symbolique de l’embauchage contre paiement à l’ancien régime dictatorial… les autorités dominicaines encourageaient l’immigration clandestine sur le territoire dominicain de travailleurs haïtiens, à chaque fois que cela était nécessaire » ; </w:t>
      </w:r>
      <w:r w:rsidRPr="00C92F30">
        <w:rPr>
          <w:iCs/>
          <w:lang w:val="fr-FR"/>
        </w:rPr>
        <w:t>Leslie Péan</w:t>
      </w:r>
      <w:r w:rsidRPr="00C92F30">
        <w:rPr>
          <w:i/>
          <w:iCs/>
          <w:lang w:val="fr-FR"/>
        </w:rPr>
        <w:t xml:space="preserve">, </w:t>
      </w:r>
      <w:r w:rsidRPr="00C92F30">
        <w:rPr>
          <w:iCs/>
          <w:lang w:val="fr-FR"/>
        </w:rPr>
        <w:t>«</w:t>
      </w:r>
      <w:r w:rsidRPr="00C92F30">
        <w:rPr>
          <w:i/>
          <w:iCs/>
          <w:lang w:val="fr-FR"/>
        </w:rPr>
        <w:t> </w:t>
      </w:r>
      <w:r w:rsidRPr="00C92F30">
        <w:rPr>
          <w:lang w:val="fr-FR"/>
        </w:rPr>
        <w:t>Haïti-République D</w:t>
      </w:r>
      <w:r w:rsidRPr="00C92F30">
        <w:rPr>
          <w:lang w:val="fr-FR"/>
        </w:rPr>
        <w:t>o</w:t>
      </w:r>
      <w:r w:rsidRPr="00C92F30">
        <w:rPr>
          <w:lang w:val="fr-FR"/>
        </w:rPr>
        <w:t xml:space="preserve">minicaine. Une responsabilité partagée dans le crime (1 de 3) », en ligne, </w:t>
      </w:r>
      <w:hyperlink r:id="rId5" w:anchor=".UwU53PldW8A" w:history="1">
        <w:r w:rsidRPr="00C92F30">
          <w:rPr>
            <w:rStyle w:val="Lienhypertexte"/>
            <w:lang w:val="fr-FR"/>
          </w:rPr>
          <w:t>http://www.alterpresse.org/spip.php?article15298#</w:t>
        </w:r>
      </w:hyperlink>
      <w:r w:rsidRPr="00C92F30">
        <w:rPr>
          <w:lang w:val="fr-FR"/>
        </w:rPr>
        <w:t>, consulté le 18 février 2014.</w:t>
      </w:r>
    </w:p>
  </w:footnote>
  <w:footnote w:id="40">
    <w:p w:rsidR="004C50DC" w:rsidRPr="00C92F30" w:rsidRDefault="004C50DC" w:rsidP="004C50DC">
      <w:pPr>
        <w:pStyle w:val="Notedebasdepage"/>
      </w:pPr>
      <w:r w:rsidRPr="002C1EB7">
        <w:rPr>
          <w:rStyle w:val="Appelnotedebasdep"/>
        </w:rPr>
        <w:footnoteRef/>
      </w:r>
      <w:r>
        <w:tab/>
      </w:r>
      <w:r w:rsidRPr="00C92F30">
        <w:t xml:space="preserve">Ici, Christiane Taubira fait référence aux Antillais de Guyane française ; voir </w:t>
      </w:r>
      <w:r w:rsidRPr="00C92F30">
        <w:rPr>
          <w:bCs/>
        </w:rPr>
        <w:t>« Esclavage, quelle place dans la mémoire collective ? », débat avec Christi</w:t>
      </w:r>
      <w:r w:rsidRPr="00C92F30">
        <w:rPr>
          <w:bCs/>
        </w:rPr>
        <w:t>a</w:t>
      </w:r>
      <w:r w:rsidRPr="00C92F30">
        <w:rPr>
          <w:bCs/>
        </w:rPr>
        <w:t>ne Taubira, députée de Guyane</w:t>
      </w:r>
      <w:r w:rsidRPr="00C92F30">
        <w:t>, en ligne,</w:t>
      </w:r>
      <w:r>
        <w:br/>
      </w:r>
      <w:r w:rsidRPr="00C92F30">
        <w:t>http://www.lemonde.fr/imprimer/chat/2005/05/06/646783.html, consulté le 23 juillet 2012. Les propos de Christiane Taubira peuvent être aussi applic</w:t>
      </w:r>
      <w:r w:rsidRPr="00C92F30">
        <w:t>a</w:t>
      </w:r>
      <w:r w:rsidRPr="00C92F30">
        <w:t xml:space="preserve">bles aux Haïtiens. </w:t>
      </w:r>
    </w:p>
  </w:footnote>
  <w:footnote w:id="41">
    <w:p w:rsidR="004C50DC" w:rsidRPr="00C92F30" w:rsidRDefault="004C50DC" w:rsidP="004C50DC">
      <w:pPr>
        <w:pStyle w:val="Notedebasdepage"/>
        <w:rPr>
          <w:lang w:val="fr-FR"/>
        </w:rPr>
      </w:pPr>
      <w:r w:rsidRPr="002C1EB7">
        <w:rPr>
          <w:rStyle w:val="Appelnotedebasdep"/>
          <w:lang w:val="fr-FR"/>
        </w:rPr>
        <w:footnoteRef/>
      </w:r>
      <w:r>
        <w:rPr>
          <w:lang w:val="fr-FR"/>
        </w:rPr>
        <w:tab/>
      </w:r>
      <w:r w:rsidRPr="002C1EB7">
        <w:rPr>
          <w:lang w:val="fr-FR"/>
        </w:rPr>
        <w:t>Ibid</w:t>
      </w:r>
      <w:r w:rsidRPr="00C92F30">
        <w:t>.</w:t>
      </w:r>
    </w:p>
  </w:footnote>
  <w:footnote w:id="42">
    <w:p w:rsidR="004C50DC" w:rsidRPr="00C92F30" w:rsidRDefault="004C50DC" w:rsidP="004C50DC">
      <w:pPr>
        <w:pStyle w:val="Notedebasdepage"/>
      </w:pPr>
      <w:r w:rsidRPr="002C1EB7">
        <w:rPr>
          <w:rStyle w:val="Appelnotedebasdep"/>
        </w:rPr>
        <w:footnoteRef/>
      </w:r>
      <w:r>
        <w:tab/>
      </w:r>
      <w:r w:rsidRPr="00C92F30">
        <w:t>François Xavier Fauvell-Aymar, La mémoire aux enchères. L’idéologie afr</w:t>
      </w:r>
      <w:r w:rsidRPr="00C92F30">
        <w:t>o</w:t>
      </w:r>
      <w:r w:rsidRPr="00C92F30">
        <w:t xml:space="preserve">centriste à l’assaut de l’histoire, Paris, Verdier, 2009, p. 54. </w:t>
      </w:r>
    </w:p>
  </w:footnote>
  <w:footnote w:id="43">
    <w:p w:rsidR="004C50DC" w:rsidRPr="00C92F30" w:rsidRDefault="004C50DC" w:rsidP="004C50DC">
      <w:pPr>
        <w:pStyle w:val="Notedebasdepage"/>
      </w:pPr>
      <w:r w:rsidRPr="002C1EB7">
        <w:rPr>
          <w:rStyle w:val="Appelnotedebasdep"/>
        </w:rPr>
        <w:footnoteRef/>
      </w:r>
      <w:r>
        <w:tab/>
      </w:r>
      <w:r w:rsidRPr="00C92F30">
        <w:t>Tzvetan</w:t>
      </w:r>
      <w:r w:rsidRPr="00C92F30">
        <w:rPr>
          <w:rFonts w:eastAsia="Calibri"/>
        </w:rPr>
        <w:t xml:space="preserve"> Todorov, </w:t>
      </w:r>
      <w:r w:rsidRPr="00C92F30">
        <w:rPr>
          <w:i/>
        </w:rPr>
        <w:t>Les abus de la mémoire</w:t>
      </w:r>
      <w:r w:rsidRPr="00C92F30">
        <w:t xml:space="preserve">, Paris, Arléa, </w:t>
      </w:r>
      <w:r w:rsidRPr="00C92F30">
        <w:rPr>
          <w:rFonts w:eastAsia="Calibri"/>
        </w:rPr>
        <w:t>2004, p. 52.</w:t>
      </w:r>
    </w:p>
  </w:footnote>
  <w:footnote w:id="44">
    <w:p w:rsidR="004C50DC" w:rsidRPr="00C92F30" w:rsidRDefault="004C50DC" w:rsidP="004C50DC">
      <w:pPr>
        <w:pStyle w:val="Notedebasdepage"/>
        <w:rPr>
          <w:lang w:val="en-US"/>
        </w:rPr>
      </w:pPr>
      <w:r w:rsidRPr="002C1EB7">
        <w:rPr>
          <w:rStyle w:val="Appelnotedebasdep"/>
        </w:rPr>
        <w:footnoteRef/>
      </w:r>
      <w:r>
        <w:rPr>
          <w:rFonts w:eastAsia="Calibri"/>
        </w:rPr>
        <w:tab/>
      </w:r>
      <w:r w:rsidRPr="00C92F30">
        <w:rPr>
          <w:rFonts w:eastAsia="Calibri"/>
        </w:rPr>
        <w:t xml:space="preserve">Paul Antze et Michael Lambek, </w:t>
      </w:r>
      <w:r w:rsidRPr="00C92F30">
        <w:rPr>
          <w:i/>
        </w:rPr>
        <w:t xml:space="preserve">Tense Past. </w:t>
      </w:r>
      <w:r w:rsidRPr="00C92F30">
        <w:rPr>
          <w:i/>
          <w:lang w:val="en-US"/>
        </w:rPr>
        <w:t>Cultural Essays in Trauma and Memory</w:t>
      </w:r>
      <w:r w:rsidRPr="00C92F30">
        <w:rPr>
          <w:lang w:val="en-US"/>
        </w:rPr>
        <w:t xml:space="preserve">, New York et Londres, Routledge, </w:t>
      </w:r>
      <w:r w:rsidRPr="00C92F30">
        <w:rPr>
          <w:rFonts w:eastAsia="Calibri"/>
          <w:lang w:val="en-US"/>
        </w:rPr>
        <w:t>1996, p. 5.</w:t>
      </w:r>
    </w:p>
  </w:footnote>
  <w:footnote w:id="45">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 xml:space="preserve">Joël Candau, </w:t>
      </w:r>
      <w:r w:rsidRPr="002C1EB7">
        <w:rPr>
          <w:i/>
        </w:rPr>
        <w:t>Anthropologie de la mémoire</w:t>
      </w:r>
      <w:r w:rsidRPr="00C92F30">
        <w:t>, op. cit., p. 115.</w:t>
      </w:r>
    </w:p>
  </w:footnote>
  <w:footnote w:id="46">
    <w:p w:rsidR="004C50DC" w:rsidRPr="00C92F30" w:rsidRDefault="004C50DC" w:rsidP="004C50DC">
      <w:pPr>
        <w:pStyle w:val="Notedebasdepage"/>
        <w:rPr>
          <w:lang w:val="en-US"/>
        </w:rPr>
      </w:pPr>
      <w:r w:rsidRPr="002C1EB7">
        <w:rPr>
          <w:rStyle w:val="Appelnotedebasdep"/>
        </w:rPr>
        <w:footnoteRef/>
      </w:r>
      <w:r>
        <w:rPr>
          <w:lang w:val="en-US"/>
        </w:rPr>
        <w:tab/>
      </w:r>
      <w:r w:rsidRPr="00C92F30">
        <w:rPr>
          <w:lang w:val="en-US"/>
        </w:rPr>
        <w:t xml:space="preserve">Tzvetan Todorov, </w:t>
      </w:r>
      <w:r w:rsidRPr="002C1EB7">
        <w:rPr>
          <w:i/>
          <w:lang w:val="en-US"/>
        </w:rPr>
        <w:t>op. cit</w:t>
      </w:r>
      <w:r w:rsidRPr="00C92F30">
        <w:rPr>
          <w:lang w:val="en-US"/>
        </w:rPr>
        <w:t>., p. 112.</w:t>
      </w:r>
    </w:p>
  </w:footnote>
  <w:footnote w:id="47">
    <w:p w:rsidR="004C50DC" w:rsidRPr="00C92F30" w:rsidRDefault="004C50DC" w:rsidP="004C50DC">
      <w:pPr>
        <w:pStyle w:val="Notedebasdepage"/>
      </w:pPr>
      <w:r w:rsidRPr="002C1EB7">
        <w:rPr>
          <w:rStyle w:val="Appelnotedebasdep"/>
        </w:rPr>
        <w:footnoteRef/>
      </w:r>
      <w:r>
        <w:tab/>
      </w:r>
      <w:r w:rsidRPr="00C92F30">
        <w:t xml:space="preserve">Jacques le Goff, </w:t>
      </w:r>
      <w:r w:rsidRPr="00C92F30">
        <w:rPr>
          <w:i/>
        </w:rPr>
        <w:t>Histoire et mémoire</w:t>
      </w:r>
      <w:r w:rsidRPr="00C92F30">
        <w:t>, Paris, Gallimard, 1988, p. 177.</w:t>
      </w:r>
    </w:p>
  </w:footnote>
  <w:footnote w:id="48">
    <w:p w:rsidR="004C50DC" w:rsidRPr="00C92F30" w:rsidRDefault="004C50DC" w:rsidP="004C50DC">
      <w:pPr>
        <w:pStyle w:val="Notedebasdepage"/>
      </w:pPr>
      <w:r w:rsidRPr="002C1EB7">
        <w:rPr>
          <w:rStyle w:val="Appelnotedebasdep"/>
        </w:rPr>
        <w:footnoteRef/>
      </w:r>
      <w:r>
        <w:tab/>
      </w:r>
      <w:r w:rsidRPr="00C92F30">
        <w:t>Voir Jean Bazin et Albin Bensa, « Les objets et la chose : des objets à la ch</w:t>
      </w:r>
      <w:r w:rsidRPr="00C92F30">
        <w:t>o</w:t>
      </w:r>
      <w:r w:rsidRPr="00C92F30">
        <w:t xml:space="preserve">se », </w:t>
      </w:r>
      <w:r w:rsidRPr="00C92F30">
        <w:rPr>
          <w:i/>
        </w:rPr>
        <w:t>Genèse</w:t>
      </w:r>
      <w:r w:rsidRPr="00C92F30">
        <w:t xml:space="preserve">, vol. 17, 1994, </w:t>
      </w:r>
      <w:r>
        <w:t>p</w:t>
      </w:r>
      <w:r w:rsidRPr="00C92F30">
        <w:t>p. 4-7.</w:t>
      </w:r>
    </w:p>
  </w:footnote>
  <w:footnote w:id="49">
    <w:p w:rsidR="004C50DC" w:rsidRDefault="004C50DC">
      <w:pPr>
        <w:pStyle w:val="Notedebasdepage"/>
      </w:pPr>
      <w:r>
        <w:rPr>
          <w:rStyle w:val="Appelnotedebasdep"/>
        </w:rPr>
        <w:footnoteRef/>
      </w:r>
      <w:r>
        <w:t xml:space="preserve"> </w:t>
      </w:r>
      <w:r>
        <w:tab/>
      </w:r>
      <w:r w:rsidRPr="00C92F30">
        <w:rPr>
          <w:rFonts w:eastAsia="Calibri"/>
          <w:lang w:val="fr-FR" w:eastAsia="fr-FR"/>
        </w:rPr>
        <w:t xml:space="preserve">Paul Ricœur, </w:t>
      </w:r>
      <w:r w:rsidRPr="00C92F30">
        <w:rPr>
          <w:rFonts w:eastAsia="Calibri"/>
          <w:i/>
          <w:lang w:val="fr-FR" w:eastAsia="fr-FR"/>
        </w:rPr>
        <w:t>La mémoire, l’histoire, l’oubli</w:t>
      </w:r>
      <w:r w:rsidRPr="00C92F30">
        <w:rPr>
          <w:rFonts w:eastAsia="Calibri"/>
          <w:lang w:val="fr-FR" w:eastAsia="fr-FR"/>
        </w:rPr>
        <w:t>, op. cit., p. 89.</w:t>
      </w:r>
    </w:p>
  </w:footnote>
  <w:footnote w:id="50">
    <w:p w:rsidR="004C50DC" w:rsidRDefault="004C50DC">
      <w:pPr>
        <w:pStyle w:val="Notedebasdepage"/>
      </w:pPr>
      <w:r>
        <w:rPr>
          <w:rStyle w:val="Appelnotedebasdep"/>
        </w:rPr>
        <w:footnoteRef/>
      </w:r>
      <w:r>
        <w:t xml:space="preserve"> </w:t>
      </w:r>
      <w:r>
        <w:tab/>
      </w:r>
      <w:r w:rsidRPr="00C92F30">
        <w:rPr>
          <w:lang w:val="fr-FR"/>
        </w:rPr>
        <w:t xml:space="preserve">Sigmund Freud, « Deuil et mélancolie », dans </w:t>
      </w:r>
      <w:r w:rsidRPr="00C92F30">
        <w:rPr>
          <w:i/>
          <w:lang w:val="fr-FR"/>
        </w:rPr>
        <w:t>Métapsychologie</w:t>
      </w:r>
      <w:r w:rsidRPr="00C92F30">
        <w:rPr>
          <w:lang w:val="fr-FR"/>
        </w:rPr>
        <w:t>, Paris, Gall</w:t>
      </w:r>
      <w:r w:rsidRPr="00C92F30">
        <w:rPr>
          <w:lang w:val="fr-FR"/>
        </w:rPr>
        <w:t>i</w:t>
      </w:r>
      <w:r w:rsidRPr="00C92F30">
        <w:rPr>
          <w:lang w:val="fr-FR"/>
        </w:rPr>
        <w:t>mard, 1995, p. 146.</w:t>
      </w:r>
    </w:p>
  </w:footnote>
  <w:footnote w:id="51">
    <w:p w:rsidR="004C50DC" w:rsidRPr="00C92F30" w:rsidRDefault="004C50DC" w:rsidP="004C50DC">
      <w:pPr>
        <w:pStyle w:val="Notedebasdepage"/>
        <w:rPr>
          <w:lang w:val="fr-FR" w:eastAsia="fr-FR"/>
        </w:rPr>
      </w:pPr>
      <w:r w:rsidRPr="002C1EB7">
        <w:rPr>
          <w:rStyle w:val="Appelnotedebasdep"/>
          <w:lang w:val="fr-FR"/>
        </w:rPr>
        <w:footnoteRef/>
      </w:r>
      <w:r>
        <w:rPr>
          <w:lang w:val="fr-FR" w:eastAsia="fr-FR"/>
        </w:rPr>
        <w:tab/>
      </w:r>
      <w:r w:rsidRPr="00C92F30">
        <w:rPr>
          <w:lang w:val="fr-FR" w:eastAsia="fr-FR"/>
        </w:rPr>
        <w:t>Noémie Vallet, L’occupation de la mémoire. Le souvenir délirant de la France occupée dans « La place de l’étoile » de Patrick Modiano et « La comp</w:t>
      </w:r>
      <w:r w:rsidRPr="00C92F30">
        <w:rPr>
          <w:lang w:val="fr-FR" w:eastAsia="fr-FR"/>
        </w:rPr>
        <w:t>a</w:t>
      </w:r>
      <w:r w:rsidRPr="00C92F30">
        <w:rPr>
          <w:lang w:val="fr-FR" w:eastAsia="fr-FR"/>
        </w:rPr>
        <w:t>gnie des spectres » de Lydie Salvayre, Mémoire présenté comme exigence partie</w:t>
      </w:r>
      <w:r w:rsidRPr="00C92F30">
        <w:rPr>
          <w:lang w:val="fr-FR" w:eastAsia="fr-FR"/>
        </w:rPr>
        <w:t>l</w:t>
      </w:r>
      <w:r w:rsidRPr="00C92F30">
        <w:rPr>
          <w:lang w:val="fr-FR" w:eastAsia="fr-FR"/>
        </w:rPr>
        <w:t>le de la maîtrise en études littéraires, Université du Québec à Montréal, mars 2009, p. 28.</w:t>
      </w:r>
    </w:p>
  </w:footnote>
  <w:footnote w:id="52">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 xml:space="preserve">Maurice Halbwachs, </w:t>
      </w:r>
      <w:hyperlink r:id="rId6" w:history="1">
        <w:r w:rsidRPr="002C1EB7">
          <w:rPr>
            <w:rStyle w:val="Lienhypertexte"/>
            <w:rFonts w:eastAsia="Calibri"/>
            <w:i/>
          </w:rPr>
          <w:t>La mémoire collective</w:t>
        </w:r>
      </w:hyperlink>
      <w:r w:rsidRPr="00C92F30">
        <w:rPr>
          <w:rFonts w:eastAsia="Calibri"/>
        </w:rPr>
        <w:t>, Paris, Albin Michel, 1997, p. 131.</w:t>
      </w:r>
    </w:p>
  </w:footnote>
  <w:footnote w:id="53">
    <w:p w:rsidR="004C50DC" w:rsidRPr="00C92F30" w:rsidRDefault="004C50DC" w:rsidP="004C50DC">
      <w:pPr>
        <w:pStyle w:val="Notedebasdepage"/>
      </w:pPr>
      <w:r w:rsidRPr="002C1EB7">
        <w:rPr>
          <w:rStyle w:val="Appelnotedebasdep"/>
        </w:rPr>
        <w:footnoteRef/>
      </w:r>
      <w:r>
        <w:tab/>
      </w:r>
      <w:r w:rsidRPr="00C92F30">
        <w:t>Dimitri Bechacq, « Les parcours du marronnage dans l’histoire haïtienne. E</w:t>
      </w:r>
      <w:r w:rsidRPr="00C92F30">
        <w:t>n</w:t>
      </w:r>
      <w:r w:rsidRPr="00C92F30">
        <w:t xml:space="preserve">tre instrumentalisation politique et réinterprétation sociale », dans </w:t>
      </w:r>
      <w:r w:rsidRPr="00C92F30">
        <w:rPr>
          <w:i/>
        </w:rPr>
        <w:t>Ethnol</w:t>
      </w:r>
      <w:r w:rsidRPr="00C92F30">
        <w:rPr>
          <w:i/>
        </w:rPr>
        <w:t>o</w:t>
      </w:r>
      <w:r w:rsidRPr="00C92F30">
        <w:rPr>
          <w:i/>
        </w:rPr>
        <w:t xml:space="preserve">gies, </w:t>
      </w:r>
      <w:r w:rsidRPr="00C92F30">
        <w:t>numéro thématique</w:t>
      </w:r>
      <w:r w:rsidRPr="00C92F30">
        <w:rPr>
          <w:i/>
        </w:rPr>
        <w:t xml:space="preserve"> Haïti face au passé, </w:t>
      </w:r>
      <w:r w:rsidRPr="00C92F30">
        <w:t>vol. 28, n</w:t>
      </w:r>
      <w:r w:rsidRPr="00C92F30">
        <w:rPr>
          <w:vertAlign w:val="superscript"/>
        </w:rPr>
        <w:t>o</w:t>
      </w:r>
      <w:r w:rsidRPr="00C92F30">
        <w:t xml:space="preserve"> 1, 2006, p. 210. </w:t>
      </w:r>
    </w:p>
  </w:footnote>
  <w:footnote w:id="54">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 xml:space="preserve">Laurier Turgeon, </w:t>
      </w:r>
      <w:r w:rsidRPr="00C92F30">
        <w:t xml:space="preserve">« La mémoire de la culture matérielle et la culture matérielle de la mémoire », dans Octave Debary et Laurier Turgeon (dir.), </w:t>
      </w:r>
      <w:r w:rsidRPr="00C92F30">
        <w:rPr>
          <w:i/>
          <w:iCs/>
        </w:rPr>
        <w:t>Objets et m</w:t>
      </w:r>
      <w:r w:rsidRPr="00C92F30">
        <w:rPr>
          <w:i/>
          <w:iCs/>
        </w:rPr>
        <w:t>é</w:t>
      </w:r>
      <w:r w:rsidRPr="00C92F30">
        <w:rPr>
          <w:i/>
          <w:iCs/>
        </w:rPr>
        <w:t>moires,</w:t>
      </w:r>
      <w:r w:rsidRPr="00C92F30">
        <w:t xml:space="preserve"> Paris, Maison des sciences de l’homme et Presses de l’Université L</w:t>
      </w:r>
      <w:r w:rsidRPr="00C92F30">
        <w:t>a</w:t>
      </w:r>
      <w:r w:rsidRPr="00C92F30">
        <w:t>val</w:t>
      </w:r>
      <w:r w:rsidRPr="00C92F30">
        <w:rPr>
          <w:rFonts w:eastAsia="Calibri"/>
        </w:rPr>
        <w:t>, 2007, p. 26.</w:t>
      </w:r>
    </w:p>
  </w:footnote>
  <w:footnote w:id="55">
    <w:p w:rsidR="004C50DC" w:rsidRPr="00C92F30" w:rsidRDefault="004C50DC" w:rsidP="004C50DC">
      <w:pPr>
        <w:pStyle w:val="Notedebasdepage"/>
      </w:pPr>
      <w:r w:rsidRPr="002C1EB7">
        <w:rPr>
          <w:rStyle w:val="Appelnotedebasdep"/>
        </w:rPr>
        <w:footnoteRef/>
      </w:r>
      <w:r>
        <w:rPr>
          <w:rFonts w:eastAsia="Calibri"/>
          <w:iCs/>
        </w:rPr>
        <w:tab/>
      </w:r>
      <w:r w:rsidRPr="00C92F30">
        <w:rPr>
          <w:rFonts w:eastAsia="Calibri"/>
          <w:iCs/>
        </w:rPr>
        <w:t xml:space="preserve">Voir Laurier Turgeon, </w:t>
      </w:r>
      <w:r w:rsidRPr="00C92F30">
        <w:t xml:space="preserve">« La culture matérielle : du témoignage à la mémoire », dans Isidore Ndaywel è Nziem et Elisabeth Mudimbe-Boyi (dir.), </w:t>
      </w:r>
      <w:r w:rsidRPr="00C92F30">
        <w:rPr>
          <w:i/>
        </w:rPr>
        <w:t>Images, mémoires et savoirs. Une histoire en partage avec Bogumil Koss Jewsiewi</w:t>
      </w:r>
      <w:r w:rsidRPr="00C92F30">
        <w:rPr>
          <w:i/>
        </w:rPr>
        <w:t>c</w:t>
      </w:r>
      <w:r w:rsidRPr="00C92F30">
        <w:rPr>
          <w:i/>
        </w:rPr>
        <w:t>ki,</w:t>
      </w:r>
      <w:r w:rsidRPr="00C92F30">
        <w:t xml:space="preserve"> Paris, Karthala, </w:t>
      </w:r>
      <w:r w:rsidRPr="00C92F30">
        <w:rPr>
          <w:rFonts w:eastAsia="Calibri"/>
          <w:iCs/>
        </w:rPr>
        <w:t xml:space="preserve">2009, p. 333-354 ; voir aussi Laurier Turgeon (dir.), </w:t>
      </w:r>
      <w:r w:rsidRPr="00C92F30">
        <w:rPr>
          <w:i/>
        </w:rPr>
        <w:t>L’esprit du lieu. Entre le patrimoine matériel et immatériel</w:t>
      </w:r>
      <w:r w:rsidRPr="00C92F30">
        <w:t>, Québec, Presses de l’Université Laval, 2009, p. liii.</w:t>
      </w:r>
    </w:p>
  </w:footnote>
  <w:footnote w:id="56">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 xml:space="preserve">Christine Chivallon,  </w:t>
      </w:r>
      <w:r w:rsidRPr="00C92F30">
        <w:t xml:space="preserve">« Mémoires antillaises de l’esclavage », </w:t>
      </w:r>
      <w:r w:rsidRPr="00C92F30">
        <w:rPr>
          <w:i/>
        </w:rPr>
        <w:t>Ethnologie fra</w:t>
      </w:r>
      <w:r w:rsidRPr="00C92F30">
        <w:rPr>
          <w:i/>
        </w:rPr>
        <w:t>n</w:t>
      </w:r>
      <w:r w:rsidRPr="00C92F30">
        <w:rPr>
          <w:i/>
        </w:rPr>
        <w:t>çaise</w:t>
      </w:r>
      <w:r w:rsidRPr="00C92F30">
        <w:t>, n</w:t>
      </w:r>
      <w:r w:rsidRPr="00C92F30">
        <w:rPr>
          <w:vertAlign w:val="superscript"/>
        </w:rPr>
        <w:t>o</w:t>
      </w:r>
      <w:r w:rsidRPr="00C92F30">
        <w:t> 4,</w:t>
      </w:r>
      <w:r w:rsidRPr="00C92F30">
        <w:rPr>
          <w:rFonts w:eastAsia="Calibri"/>
        </w:rPr>
        <w:t>2002, p. 602.</w:t>
      </w:r>
    </w:p>
  </w:footnote>
  <w:footnote w:id="57">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Maurice Halbwachs,</w:t>
      </w:r>
      <w:r w:rsidRPr="00C92F30">
        <w:t xml:space="preserve"> </w:t>
      </w:r>
      <w:hyperlink r:id="rId7" w:history="1">
        <w:r w:rsidRPr="002C1EB7">
          <w:rPr>
            <w:rStyle w:val="Lienhypertexte"/>
            <w:i/>
          </w:rPr>
          <w:t>Les cadres sociaux de la mémoire</w:t>
        </w:r>
      </w:hyperlink>
      <w:r w:rsidRPr="00C92F30">
        <w:t xml:space="preserve">, Paris, Albin Michel, 1994, p. </w:t>
      </w:r>
      <w:r w:rsidRPr="00C92F30">
        <w:rPr>
          <w:rFonts w:eastAsia="Calibri"/>
        </w:rPr>
        <w:t>21.</w:t>
      </w:r>
    </w:p>
  </w:footnote>
  <w:footnote w:id="58">
    <w:p w:rsidR="004C50DC" w:rsidRPr="00C92F30" w:rsidRDefault="004C50DC" w:rsidP="004C50DC">
      <w:pPr>
        <w:pStyle w:val="Notedebasdepage"/>
      </w:pPr>
      <w:r w:rsidRPr="002C1EB7">
        <w:rPr>
          <w:rStyle w:val="Appelnotedebasdep"/>
        </w:rPr>
        <w:footnoteRef/>
      </w:r>
      <w:r>
        <w:tab/>
      </w:r>
      <w:r w:rsidRPr="00C92F30">
        <w:t xml:space="preserve">Pierre Nora (dir.), </w:t>
      </w:r>
      <w:r w:rsidRPr="00C92F30">
        <w:rPr>
          <w:i/>
        </w:rPr>
        <w:t>Les lieux de mémoire</w:t>
      </w:r>
      <w:r w:rsidRPr="00C92F30">
        <w:t>, Paris, Gallimard, (1984, 1987, 1992), cité par Laurier Turgeon, op. cit., 2007, p. 26.</w:t>
      </w:r>
    </w:p>
  </w:footnote>
  <w:footnote w:id="59">
    <w:p w:rsidR="004C50DC" w:rsidRPr="00C92F30" w:rsidRDefault="004C50DC" w:rsidP="004C50DC">
      <w:pPr>
        <w:pStyle w:val="Notedebasdepage"/>
      </w:pPr>
      <w:r w:rsidRPr="002C1EB7">
        <w:rPr>
          <w:rStyle w:val="Appelnotedebasdep"/>
        </w:rPr>
        <w:footnoteRef/>
      </w:r>
      <w:r>
        <w:tab/>
      </w:r>
      <w:r w:rsidRPr="00C92F30">
        <w:t xml:space="preserve">Il faut renvoyer à Laurent Lepaludier, </w:t>
      </w:r>
      <w:r w:rsidRPr="00C92F30">
        <w:rPr>
          <w:i/>
        </w:rPr>
        <w:t>L’objet et le récit de fiction</w:t>
      </w:r>
      <w:r w:rsidRPr="00C92F30">
        <w:t>, Rennes, Pre</w:t>
      </w:r>
      <w:r w:rsidRPr="00C92F30">
        <w:t>s</w:t>
      </w:r>
      <w:r w:rsidRPr="00C92F30">
        <w:t xml:space="preserve">ses de l’Université de Rennes, 2004, p. 118. </w:t>
      </w:r>
    </w:p>
  </w:footnote>
  <w:footnote w:id="60">
    <w:p w:rsidR="004C50DC" w:rsidRPr="00C92F30" w:rsidRDefault="004C50DC" w:rsidP="004C50DC">
      <w:pPr>
        <w:pStyle w:val="Notedebasdepage"/>
      </w:pPr>
      <w:r w:rsidRPr="002C1EB7">
        <w:rPr>
          <w:rStyle w:val="Appelnotedebasdep"/>
        </w:rPr>
        <w:footnoteRef/>
      </w:r>
      <w:r>
        <w:tab/>
      </w:r>
      <w:r w:rsidRPr="00C92F30">
        <w:t>Pierre Nora cité par Laurier Turgeon, op. cit., 2007, p</w:t>
      </w:r>
      <w:r>
        <w:t>p</w:t>
      </w:r>
      <w:r w:rsidRPr="00C92F30">
        <w:t>. 26-27.</w:t>
      </w:r>
    </w:p>
  </w:footnote>
  <w:footnote w:id="61">
    <w:p w:rsidR="004C50DC" w:rsidRPr="00C92F30" w:rsidRDefault="004C50DC" w:rsidP="004C50DC">
      <w:pPr>
        <w:pStyle w:val="Notedebasdepage"/>
      </w:pPr>
      <w:r w:rsidRPr="002C1EB7">
        <w:rPr>
          <w:rStyle w:val="Appelnotedebasdep"/>
        </w:rPr>
        <w:footnoteRef/>
      </w:r>
      <w:r>
        <w:tab/>
      </w:r>
      <w:r w:rsidRPr="00C92F30">
        <w:t xml:space="preserve">Bogumil Jewsiewicki Koss cité par Doulayé Konaté, </w:t>
      </w:r>
      <w:r w:rsidRPr="00C92F30">
        <w:rPr>
          <w:rFonts w:eastAsia="Calibri"/>
          <w:bCs/>
          <w:i/>
        </w:rPr>
        <w:t>Relire les lieux de m</w:t>
      </w:r>
      <w:r w:rsidRPr="00C92F30">
        <w:rPr>
          <w:rFonts w:eastAsia="Calibri"/>
          <w:bCs/>
          <w:i/>
        </w:rPr>
        <w:t>é</w:t>
      </w:r>
      <w:r w:rsidRPr="00C92F30">
        <w:rPr>
          <w:rFonts w:eastAsia="Calibri"/>
          <w:bCs/>
          <w:i/>
        </w:rPr>
        <w:t>moire à la lumière de la construction nationale au Mali,</w:t>
      </w:r>
      <w:r w:rsidRPr="00C92F30">
        <w:rPr>
          <w:rFonts w:eastAsia="Calibri"/>
          <w:bCs/>
        </w:rPr>
        <w:t xml:space="preserve"> vidéo, CD-Rom, </w:t>
      </w:r>
      <w:r w:rsidRPr="00C92F30">
        <w:rPr>
          <w:rFonts w:eastAsia="Calibri"/>
        </w:rPr>
        <w:t>Agence universitaire de la Francophonie, Chaire de recherche du Canada en histoire comp</w:t>
      </w:r>
      <w:r w:rsidRPr="00C92F30">
        <w:rPr>
          <w:rFonts w:eastAsia="Calibri"/>
        </w:rPr>
        <w:t>a</w:t>
      </w:r>
      <w:r w:rsidRPr="00C92F30">
        <w:rPr>
          <w:rFonts w:eastAsia="Calibri"/>
        </w:rPr>
        <w:t>rée de la mémoire, CÉLAT, Québec, 2006.</w:t>
      </w:r>
    </w:p>
  </w:footnote>
  <w:footnote w:id="62">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Doulayé Konaté, ibid.</w:t>
      </w:r>
    </w:p>
  </w:footnote>
  <w:footnote w:id="63">
    <w:p w:rsidR="004C50DC" w:rsidRDefault="004C50DC" w:rsidP="004C50DC">
      <w:pPr>
        <w:pStyle w:val="Notedebasdepage"/>
      </w:pPr>
      <w:r w:rsidRPr="002C1EB7">
        <w:rPr>
          <w:rStyle w:val="Appelnotedebasdep"/>
        </w:rPr>
        <w:footnoteRef/>
      </w:r>
      <w:r>
        <w:t xml:space="preserve"> </w:t>
      </w:r>
      <w:r>
        <w:tab/>
      </w:r>
      <w:r w:rsidRPr="00C92F30">
        <w:rPr>
          <w:lang w:val="fr-FR"/>
        </w:rPr>
        <w:t>Bogumil Jewsiewicki, « L’actualité de la mémoire et l’émergence du t</w:t>
      </w:r>
      <w:r w:rsidRPr="00C92F30">
        <w:rPr>
          <w:lang w:val="fr-FR"/>
        </w:rPr>
        <w:t>é</w:t>
      </w:r>
      <w:r w:rsidRPr="00C92F30">
        <w:rPr>
          <w:lang w:val="fr-FR"/>
        </w:rPr>
        <w:t xml:space="preserve">moin », Séminaire virtuel </w:t>
      </w:r>
      <w:r w:rsidRPr="00C92F30">
        <w:rPr>
          <w:i/>
          <w:iCs/>
          <w:lang w:val="fr-FR"/>
        </w:rPr>
        <w:t xml:space="preserve">Mémoire historiques d’ici et d’ailleurs, </w:t>
      </w:r>
      <w:r w:rsidRPr="00C92F30">
        <w:rPr>
          <w:lang w:val="fr-FR"/>
        </w:rPr>
        <w:t>Paris, Ma</w:t>
      </w:r>
      <w:r w:rsidRPr="00C92F30">
        <w:rPr>
          <w:lang w:val="fr-FR"/>
        </w:rPr>
        <w:t>i</w:t>
      </w:r>
      <w:r w:rsidRPr="00C92F30">
        <w:rPr>
          <w:lang w:val="fr-FR"/>
        </w:rPr>
        <w:t>son Suger (MSH), AUF, EHESS et Chaire du Canada en histoire comparée de la mémoire, 10 décembre 2003, conférence sur support numérique, en ligne, http://www.anamnesis.fl.ulaval.ca/andromeda, consulté le 18 janvier 2013.</w:t>
      </w:r>
    </w:p>
  </w:footnote>
  <w:footnote w:id="64">
    <w:p w:rsidR="004C50DC" w:rsidRDefault="004C50DC" w:rsidP="004C50DC">
      <w:pPr>
        <w:pStyle w:val="Notedebasdepage"/>
      </w:pPr>
      <w:r>
        <w:rPr>
          <w:rStyle w:val="Appelnotedebasdep"/>
        </w:rPr>
        <w:footnoteRef/>
      </w:r>
      <w:r>
        <w:t xml:space="preserve"> </w:t>
      </w:r>
      <w:r>
        <w:tab/>
      </w:r>
      <w:r w:rsidRPr="00C92F30">
        <w:rPr>
          <w:lang w:eastAsia="en-CA"/>
        </w:rPr>
        <w:t>Vincent Veschambre, « Le processus de patrimonialisation : revalorisation, a</w:t>
      </w:r>
      <w:r w:rsidRPr="00C92F30">
        <w:rPr>
          <w:lang w:eastAsia="en-CA"/>
        </w:rPr>
        <w:t>p</w:t>
      </w:r>
      <w:r w:rsidRPr="00C92F30">
        <w:rPr>
          <w:lang w:eastAsia="en-CA"/>
        </w:rPr>
        <w:t>propriation et marquage de l’espace », 2007, http://cafe-geo.net/wp-content/uploads/processus-patrimonialisation.pdf., consulté le 2 juillet 2012.</w:t>
      </w:r>
    </w:p>
  </w:footnote>
  <w:footnote w:id="65">
    <w:p w:rsidR="004C50DC" w:rsidRDefault="004C50DC" w:rsidP="004C50DC">
      <w:pPr>
        <w:pStyle w:val="Notedebasdepage"/>
      </w:pPr>
      <w:r>
        <w:rPr>
          <w:rStyle w:val="Appelnotedebasdep"/>
        </w:rPr>
        <w:footnoteRef/>
      </w:r>
      <w:r>
        <w:t xml:space="preserve"> </w:t>
      </w:r>
      <w:r>
        <w:tab/>
      </w:r>
      <w:r w:rsidRPr="00C92F30">
        <w:rPr>
          <w:lang w:val="fr-FR"/>
        </w:rPr>
        <w:t xml:space="preserve">Voir André Charbonneau et Laurier Turgeon (dir.), </w:t>
      </w:r>
      <w:r w:rsidRPr="00C92F30">
        <w:rPr>
          <w:i/>
          <w:lang w:val="fr-FR"/>
        </w:rPr>
        <w:t>Patrimoines et identités en Amérique française</w:t>
      </w:r>
      <w:r w:rsidRPr="00C92F30">
        <w:rPr>
          <w:lang w:val="fr-FR"/>
        </w:rPr>
        <w:t>, Québec, Presses de l’Université Laval, 2010, p. 1.</w:t>
      </w:r>
    </w:p>
  </w:footnote>
  <w:footnote w:id="66">
    <w:p w:rsidR="004C50DC" w:rsidRDefault="004C50DC" w:rsidP="004C50DC">
      <w:pPr>
        <w:pStyle w:val="Notedebasdepage"/>
      </w:pPr>
      <w:r>
        <w:rPr>
          <w:rStyle w:val="Appelnotedebasdep"/>
        </w:rPr>
        <w:footnoteRef/>
      </w:r>
      <w:r>
        <w:t xml:space="preserve"> </w:t>
      </w:r>
      <w:r>
        <w:tab/>
      </w:r>
      <w:r w:rsidRPr="002C1EB7">
        <w:rPr>
          <w:i/>
          <w:lang w:val="fr-FR"/>
        </w:rPr>
        <w:t>Ibid</w:t>
      </w:r>
      <w:r w:rsidRPr="00C92F30">
        <w:rPr>
          <w:lang w:val="fr-FR"/>
        </w:rPr>
        <w:t>., p. 2.</w:t>
      </w:r>
    </w:p>
  </w:footnote>
  <w:footnote w:id="67">
    <w:p w:rsidR="004C50DC" w:rsidRDefault="004C50DC" w:rsidP="004C50DC">
      <w:pPr>
        <w:pStyle w:val="Notedebasdepage"/>
      </w:pPr>
      <w:r>
        <w:rPr>
          <w:rStyle w:val="Appelnotedebasdep"/>
        </w:rPr>
        <w:footnoteRef/>
      </w:r>
      <w:r>
        <w:t xml:space="preserve"> </w:t>
      </w:r>
      <w:r>
        <w:tab/>
      </w:r>
      <w:r w:rsidRPr="00C92F30">
        <w:rPr>
          <w:lang w:val="fr-FR"/>
        </w:rPr>
        <w:t>Voir Bogumil Jewsiewicki Koss, « Patrimonialiser les mémoires pour acco</w:t>
      </w:r>
      <w:r w:rsidRPr="00C92F30">
        <w:rPr>
          <w:lang w:val="fr-FR"/>
        </w:rPr>
        <w:t>r</w:t>
      </w:r>
      <w:r w:rsidRPr="00C92F30">
        <w:rPr>
          <w:lang w:val="fr-FR"/>
        </w:rPr>
        <w:t xml:space="preserve">der à la souffrance la reconnaissance qu’elle mérite », dans Vincent Auzas et Bogumil Jewsiewicki (dir.), </w:t>
      </w:r>
      <w:r w:rsidRPr="00C92F30">
        <w:rPr>
          <w:i/>
          <w:lang w:val="fr-FR"/>
        </w:rPr>
        <w:t>Traumatisme collectif pour patrimoine…</w:t>
      </w:r>
      <w:r w:rsidRPr="00C92F30">
        <w:rPr>
          <w:lang w:val="fr-FR"/>
        </w:rPr>
        <w:t>, op. cit., p</w:t>
      </w:r>
      <w:r>
        <w:rPr>
          <w:lang w:val="fr-FR"/>
        </w:rPr>
        <w:t>p</w:t>
      </w:r>
      <w:r w:rsidRPr="00C92F30">
        <w:rPr>
          <w:lang w:val="fr-FR"/>
        </w:rPr>
        <w:t>. 3-12.</w:t>
      </w:r>
    </w:p>
  </w:footnote>
  <w:footnote w:id="68">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Dominique Poulot, « Patrimoine et histoire de l’art », dans Jean-Claude N</w:t>
      </w:r>
      <w:r w:rsidRPr="00C92F30">
        <w:rPr>
          <w:rFonts w:eastAsia="Calibri"/>
        </w:rPr>
        <w:t>e</w:t>
      </w:r>
      <w:r w:rsidRPr="00C92F30">
        <w:rPr>
          <w:rFonts w:eastAsia="Calibri"/>
        </w:rPr>
        <w:t xml:space="preserve">mery, Michel Rautenberg et Fabrice Thuriot, </w:t>
      </w:r>
      <w:r w:rsidRPr="00C92F30">
        <w:rPr>
          <w:rFonts w:eastAsia="Calibri"/>
          <w:i/>
          <w:iCs/>
        </w:rPr>
        <w:t>Stratégies identitaires de conserv</w:t>
      </w:r>
      <w:r w:rsidRPr="00C92F30">
        <w:rPr>
          <w:rFonts w:eastAsia="Calibri"/>
          <w:i/>
          <w:iCs/>
        </w:rPr>
        <w:t>a</w:t>
      </w:r>
      <w:r w:rsidRPr="00C92F30">
        <w:rPr>
          <w:rFonts w:eastAsia="Calibri"/>
          <w:i/>
          <w:iCs/>
        </w:rPr>
        <w:t>tion et de valorisation du patrimoine</w:t>
      </w:r>
      <w:r w:rsidRPr="00C92F30">
        <w:rPr>
          <w:rFonts w:eastAsia="Calibri"/>
        </w:rPr>
        <w:t>, Paris, l’Harmattan, 2008, p. 19.</w:t>
      </w:r>
    </w:p>
  </w:footnote>
  <w:footnote w:id="69">
    <w:p w:rsidR="004C50DC" w:rsidRPr="00C92F30" w:rsidRDefault="004C50DC" w:rsidP="004C50DC">
      <w:pPr>
        <w:pStyle w:val="Notedebasdepage"/>
      </w:pPr>
      <w:r w:rsidRPr="002C1EB7">
        <w:rPr>
          <w:rStyle w:val="Appelnotedebasdep"/>
        </w:rPr>
        <w:footnoteRef/>
      </w:r>
      <w:r>
        <w:rPr>
          <w:rFonts w:eastAsia="Calibri"/>
        </w:rPr>
        <w:tab/>
      </w:r>
      <w:r w:rsidRPr="00C92F30">
        <w:rPr>
          <w:rFonts w:eastAsia="Calibri"/>
        </w:rPr>
        <w:t xml:space="preserve">Dominique Poulot, </w:t>
      </w:r>
      <w:r w:rsidRPr="002C1EB7">
        <w:t>Une histoire du patrimoine en Occident, XVIII</w:t>
      </w:r>
      <w:r w:rsidRPr="002C1EB7">
        <w:rPr>
          <w:vertAlign w:val="superscript"/>
        </w:rPr>
        <w:t>e</w:t>
      </w:r>
      <w:r w:rsidRPr="002C1EB7">
        <w:t>-XXI</w:t>
      </w:r>
      <w:r w:rsidRPr="002C1EB7">
        <w:rPr>
          <w:vertAlign w:val="superscript"/>
        </w:rPr>
        <w:t>e</w:t>
      </w:r>
      <w:r w:rsidRPr="002C1EB7">
        <w:t xml:space="preserve"> si</w:t>
      </w:r>
      <w:r w:rsidRPr="002C1EB7">
        <w:t>è</w:t>
      </w:r>
      <w:r w:rsidRPr="002C1EB7">
        <w:t>cle. Du monument aux valeurs</w:t>
      </w:r>
      <w:r w:rsidRPr="00C92F30">
        <w:t>, Paris, Presses universitaires de France,</w:t>
      </w:r>
      <w:r w:rsidRPr="00C92F30">
        <w:rPr>
          <w:rFonts w:eastAsia="Calibri"/>
        </w:rPr>
        <w:t xml:space="preserve"> 2006, p. 3. </w:t>
      </w:r>
    </w:p>
  </w:footnote>
  <w:footnote w:id="70">
    <w:p w:rsidR="004C50DC" w:rsidRPr="00C92F30" w:rsidRDefault="004C50DC" w:rsidP="004C50DC">
      <w:pPr>
        <w:pStyle w:val="Notedebasdepage"/>
      </w:pPr>
      <w:r w:rsidRPr="002C1EB7">
        <w:rPr>
          <w:rStyle w:val="Appelnotedebasdep"/>
        </w:rPr>
        <w:footnoteRef/>
      </w:r>
      <w:r>
        <w:tab/>
      </w:r>
      <w:r w:rsidRPr="00C92F30">
        <w:t xml:space="preserve">À ce sujet, voir </w:t>
      </w:r>
      <w:r w:rsidRPr="00C92F30">
        <w:rPr>
          <w:rFonts w:eastAsia="Calibri"/>
        </w:rPr>
        <w:t xml:space="preserve">Marie-Blanche Fourcade (dir.), </w:t>
      </w:r>
      <w:r w:rsidRPr="00C92F30">
        <w:rPr>
          <w:i/>
        </w:rPr>
        <w:t>Patrimoine et patrimonialis</w:t>
      </w:r>
      <w:r w:rsidRPr="00C92F30">
        <w:rPr>
          <w:i/>
        </w:rPr>
        <w:t>a</w:t>
      </w:r>
      <w:r w:rsidRPr="00C92F30">
        <w:rPr>
          <w:i/>
        </w:rPr>
        <w:t xml:space="preserve">tion. Entre le matériel et l’immatériel, </w:t>
      </w:r>
      <w:r w:rsidRPr="00C92F30">
        <w:t>Québec, Presses de l’Université L</w:t>
      </w:r>
      <w:r w:rsidRPr="00C92F30">
        <w:t>a</w:t>
      </w:r>
      <w:r w:rsidRPr="00C92F30">
        <w:t>val</w:t>
      </w:r>
      <w:r w:rsidRPr="00C92F30">
        <w:rPr>
          <w:rFonts w:eastAsia="Calibri"/>
        </w:rPr>
        <w:t>, 2007, p. xvii.</w:t>
      </w:r>
    </w:p>
  </w:footnote>
  <w:footnote w:id="71">
    <w:p w:rsidR="004C50DC" w:rsidRPr="00C92F30" w:rsidRDefault="004C50DC" w:rsidP="004C50DC">
      <w:pPr>
        <w:pStyle w:val="Notedebasdepage"/>
      </w:pPr>
      <w:r w:rsidRPr="002C1EB7">
        <w:rPr>
          <w:rStyle w:val="Appelnotedebasdep"/>
        </w:rPr>
        <w:footnoteRef/>
      </w:r>
      <w:r>
        <w:tab/>
      </w:r>
      <w:r w:rsidRPr="00C92F30">
        <w:t xml:space="preserve">Voir </w:t>
      </w:r>
      <w:r w:rsidRPr="00C92F30">
        <w:rPr>
          <w:rFonts w:eastAsia="Calibri"/>
        </w:rPr>
        <w:t xml:space="preserve">Lucie K. Morisset, </w:t>
      </w:r>
      <w:r w:rsidRPr="00C92F30">
        <w:rPr>
          <w:i/>
        </w:rPr>
        <w:t>Des régimes d’authenticité. Essai sur la mémoire p</w:t>
      </w:r>
      <w:r w:rsidRPr="00C92F30">
        <w:rPr>
          <w:i/>
        </w:rPr>
        <w:t>a</w:t>
      </w:r>
      <w:r w:rsidRPr="00C92F30">
        <w:rPr>
          <w:i/>
        </w:rPr>
        <w:t>trimoniale</w:t>
      </w:r>
      <w:r w:rsidRPr="00C92F30">
        <w:t>, Québec, Presses de l’Université du Québec,</w:t>
      </w:r>
      <w:r w:rsidRPr="00C92F30">
        <w:rPr>
          <w:rFonts w:eastAsia="Calibri"/>
        </w:rPr>
        <w:t xml:space="preserve"> 2009, p. 11.</w:t>
      </w:r>
    </w:p>
  </w:footnote>
  <w:footnote w:id="72">
    <w:p w:rsidR="004C50DC" w:rsidRDefault="004C50DC" w:rsidP="004C50DC">
      <w:pPr>
        <w:pStyle w:val="Notedebasdepage"/>
      </w:pPr>
      <w:r>
        <w:rPr>
          <w:rStyle w:val="Appelnotedebasdep"/>
        </w:rPr>
        <w:footnoteRef/>
      </w:r>
      <w:r>
        <w:t xml:space="preserve"> </w:t>
      </w:r>
      <w:r>
        <w:tab/>
      </w:r>
      <w:r w:rsidRPr="00C92F30">
        <w:rPr>
          <w:lang w:val="fr-FR"/>
        </w:rPr>
        <w:t>Emmanuel Amougou (dir.), La question patrimoniale. De la « patrimonialisation » à l’examen des situations concrètes, Paris, L’Harmattan, 2004, p. 25, cité par Marie-Blanche Fourcade (dir), Patrimoine et patrimonialis</w:t>
      </w:r>
      <w:r w:rsidRPr="00C92F30">
        <w:rPr>
          <w:lang w:val="fr-FR"/>
        </w:rPr>
        <w:t>a</w:t>
      </w:r>
      <w:r w:rsidRPr="00C92F30">
        <w:rPr>
          <w:lang w:val="fr-FR"/>
        </w:rPr>
        <w:t>tion…, op. cit., p. xvii.</w:t>
      </w:r>
    </w:p>
  </w:footnote>
  <w:footnote w:id="73">
    <w:p w:rsidR="004C50DC" w:rsidRDefault="004C50DC" w:rsidP="004C50DC">
      <w:pPr>
        <w:pStyle w:val="Notedebasdepage"/>
      </w:pPr>
      <w:r>
        <w:rPr>
          <w:rStyle w:val="Appelnotedebasdep"/>
        </w:rPr>
        <w:footnoteRef/>
      </w:r>
      <w:r>
        <w:t xml:space="preserve"> </w:t>
      </w:r>
      <w:r>
        <w:tab/>
      </w:r>
      <w:r w:rsidRPr="00C92F30">
        <w:rPr>
          <w:lang w:val="fr-FR" w:eastAsia="en-CA"/>
        </w:rPr>
        <w:t>Henri Rousso estime que « la patrimonialisation consiste à rendre présente, et plus encore, compréhensible au contemporain, des traces, physiques ou imm</w:t>
      </w:r>
      <w:r w:rsidRPr="00C92F30">
        <w:rPr>
          <w:lang w:val="fr-FR" w:eastAsia="en-CA"/>
        </w:rPr>
        <w:t>a</w:t>
      </w:r>
      <w:r w:rsidRPr="00C92F30">
        <w:rPr>
          <w:lang w:val="fr-FR" w:eastAsia="en-CA"/>
        </w:rPr>
        <w:t>térielles, de ce qui reste du passé. Il s’agit donc de leur conférer une intellig</w:t>
      </w:r>
      <w:r w:rsidRPr="00C92F30">
        <w:rPr>
          <w:lang w:val="fr-FR" w:eastAsia="en-CA"/>
        </w:rPr>
        <w:t>i</w:t>
      </w:r>
      <w:r w:rsidRPr="00C92F30">
        <w:rPr>
          <w:lang w:val="fr-FR" w:eastAsia="en-CA"/>
        </w:rPr>
        <w:t>bilité. Mais faut-il leur donner un sens actuel, une idée souvent récusée par le classici</w:t>
      </w:r>
      <w:r w:rsidRPr="00C92F30">
        <w:rPr>
          <w:lang w:val="fr-FR" w:eastAsia="en-CA"/>
        </w:rPr>
        <w:t>s</w:t>
      </w:r>
      <w:r w:rsidRPr="00C92F30">
        <w:rPr>
          <w:lang w:val="fr-FR" w:eastAsia="en-CA"/>
        </w:rPr>
        <w:t>me, ou faut-il leur “redonner” le sens contemporain de leur création ? Mais co</w:t>
      </w:r>
      <w:r w:rsidRPr="00C92F30">
        <w:rPr>
          <w:lang w:val="fr-FR" w:eastAsia="en-CA"/>
        </w:rPr>
        <w:t>m</w:t>
      </w:r>
      <w:r w:rsidRPr="00C92F30">
        <w:rPr>
          <w:lang w:val="fr-FR" w:eastAsia="en-CA"/>
        </w:rPr>
        <w:t>ment reconstituer alors cet autre univers mental sinon technique ? Faut-il leur donner un sens statique, fixé pour toujours, ou un sens dynam</w:t>
      </w:r>
      <w:r w:rsidRPr="00C92F30">
        <w:rPr>
          <w:lang w:val="fr-FR" w:eastAsia="en-CA"/>
        </w:rPr>
        <w:t>i</w:t>
      </w:r>
      <w:r w:rsidRPr="00C92F30">
        <w:rPr>
          <w:lang w:val="fr-FR" w:eastAsia="en-CA"/>
        </w:rPr>
        <w:t>que ? Et co</w:t>
      </w:r>
      <w:r w:rsidRPr="00C92F30">
        <w:rPr>
          <w:lang w:val="fr-FR" w:eastAsia="en-CA"/>
        </w:rPr>
        <w:t>m</w:t>
      </w:r>
      <w:r w:rsidRPr="00C92F30">
        <w:rPr>
          <w:lang w:val="fr-FR" w:eastAsia="en-CA"/>
        </w:rPr>
        <w:t xml:space="preserve">ment ? » Voir Henri Rousso, </w:t>
      </w:r>
      <w:r w:rsidRPr="00C92F30">
        <w:rPr>
          <w:i/>
          <w:iCs/>
          <w:lang w:val="fr-FR" w:eastAsia="en-CA"/>
        </w:rPr>
        <w:t>Actes des entretiens du patrimoine. L’émergence et l’évolution de la notion de patrimoine au cours du XX</w:t>
      </w:r>
      <w:r w:rsidRPr="00C92F30">
        <w:rPr>
          <w:i/>
          <w:iCs/>
          <w:vertAlign w:val="superscript"/>
          <w:lang w:val="fr-FR" w:eastAsia="en-CA"/>
        </w:rPr>
        <w:t>e</w:t>
      </w:r>
      <w:r w:rsidRPr="00C92F30">
        <w:rPr>
          <w:i/>
          <w:iCs/>
          <w:lang w:val="fr-FR" w:eastAsia="en-CA"/>
        </w:rPr>
        <w:t xml:space="preserve"> siècle en France, </w:t>
      </w:r>
      <w:r w:rsidRPr="00C92F30">
        <w:rPr>
          <w:lang w:val="fr-FR" w:eastAsia="en-CA"/>
        </w:rPr>
        <w:t>Paris, Fayard, 2004, p. 16.</w:t>
      </w:r>
    </w:p>
  </w:footnote>
  <w:footnote w:id="74">
    <w:p w:rsidR="004C50DC" w:rsidRDefault="004C50DC" w:rsidP="004C50DC">
      <w:pPr>
        <w:pStyle w:val="Notedebasdepage"/>
      </w:pPr>
      <w:r>
        <w:rPr>
          <w:rStyle w:val="Appelnotedebasdep"/>
        </w:rPr>
        <w:footnoteRef/>
      </w:r>
      <w:r>
        <w:t xml:space="preserve"> </w:t>
      </w:r>
      <w:r>
        <w:tab/>
      </w:r>
      <w:r w:rsidRPr="00C92F30">
        <w:rPr>
          <w:lang w:val="fr-FR"/>
        </w:rPr>
        <w:t xml:space="preserve">Laurier Turgeon, « Préface », dans Marie-Blanche Fourcade (dir.), </w:t>
      </w:r>
      <w:r w:rsidRPr="00C92F30">
        <w:rPr>
          <w:i/>
          <w:lang w:val="fr-FR"/>
        </w:rPr>
        <w:t>Patr</w:t>
      </w:r>
      <w:r w:rsidRPr="00C92F30">
        <w:rPr>
          <w:i/>
          <w:lang w:val="fr-FR"/>
        </w:rPr>
        <w:t>i</w:t>
      </w:r>
      <w:r w:rsidRPr="00C92F30">
        <w:rPr>
          <w:i/>
          <w:lang w:val="fr-FR"/>
        </w:rPr>
        <w:t>moine et patrimonialisation</w:t>
      </w:r>
      <w:r w:rsidRPr="00C92F30">
        <w:rPr>
          <w:lang w:val="fr-FR"/>
        </w:rPr>
        <w:t xml:space="preserve">..., </w:t>
      </w:r>
      <w:r w:rsidRPr="00C92F30">
        <w:rPr>
          <w:i/>
          <w:lang w:val="fr-FR"/>
        </w:rPr>
        <w:t>op. cit</w:t>
      </w:r>
      <w:r w:rsidRPr="00C92F30">
        <w:rPr>
          <w:lang w:val="fr-FR"/>
        </w:rPr>
        <w:t>., p. xiii.</w:t>
      </w:r>
    </w:p>
  </w:footnote>
  <w:footnote w:id="75">
    <w:p w:rsidR="004C50DC" w:rsidRPr="00C92F30" w:rsidRDefault="004C50DC" w:rsidP="004C50DC">
      <w:pPr>
        <w:pStyle w:val="Notedebasdepage"/>
      </w:pPr>
      <w:r w:rsidRPr="002C1EB7">
        <w:rPr>
          <w:rStyle w:val="Appelnotedebasdep"/>
        </w:rPr>
        <w:footnoteRef/>
      </w:r>
      <w:r>
        <w:rPr>
          <w:lang w:eastAsia="en-CA"/>
        </w:rPr>
        <w:tab/>
      </w:r>
      <w:r w:rsidRPr="00C92F30">
        <w:rPr>
          <w:lang w:eastAsia="en-CA"/>
        </w:rPr>
        <w:t xml:space="preserve">Maria Gravari-Barbas et Vincent Veschambre, </w:t>
      </w:r>
      <w:r w:rsidRPr="00C92F30">
        <w:t xml:space="preserve">« Patrimoine : derrière l’idée de consensus, des enjeux d’appropriation de l’espace et des conflits », dans Patrice Melé, Corinne Larrue et Muriel Rosemberg (dir.), </w:t>
      </w:r>
      <w:r w:rsidRPr="00C92F30">
        <w:rPr>
          <w:i/>
        </w:rPr>
        <w:t>Conflits et territo</w:t>
      </w:r>
      <w:r w:rsidRPr="00C92F30">
        <w:rPr>
          <w:i/>
        </w:rPr>
        <w:t>i</w:t>
      </w:r>
      <w:r w:rsidRPr="00C92F30">
        <w:rPr>
          <w:i/>
        </w:rPr>
        <w:t xml:space="preserve">res, </w:t>
      </w:r>
      <w:r w:rsidRPr="00C92F30">
        <w:t xml:space="preserve">Tours, Presses universitaires François Rabelais, collection Perspectives Villes et Territoires, </w:t>
      </w:r>
      <w:r w:rsidRPr="00C92F30">
        <w:rPr>
          <w:lang w:eastAsia="en-CA"/>
        </w:rPr>
        <w:t>2003, p</w:t>
      </w:r>
      <w:r>
        <w:rPr>
          <w:lang w:eastAsia="en-CA"/>
        </w:rPr>
        <w:t>p</w:t>
      </w:r>
      <w:r w:rsidRPr="00C92F30">
        <w:rPr>
          <w:lang w:eastAsia="en-CA"/>
        </w:rPr>
        <w:t xml:space="preserve">. 67-82. </w:t>
      </w:r>
    </w:p>
  </w:footnote>
  <w:footnote w:id="76">
    <w:p w:rsidR="004C50DC" w:rsidRPr="00C92F30" w:rsidRDefault="004C50DC" w:rsidP="004C50DC">
      <w:pPr>
        <w:pStyle w:val="Notedebasdepage"/>
      </w:pPr>
      <w:r w:rsidRPr="002C1EB7">
        <w:rPr>
          <w:rStyle w:val="Appelnotedebasdep"/>
        </w:rPr>
        <w:footnoteRef/>
      </w:r>
      <w:r>
        <w:tab/>
      </w:r>
      <w:r w:rsidRPr="00C92F30">
        <w:t>Fabrice Ripoll et Vincent Veschambre, « Face à l’hégémonie du territoire : él</w:t>
      </w:r>
      <w:r w:rsidRPr="00C92F30">
        <w:t>é</w:t>
      </w:r>
      <w:r w:rsidRPr="00C92F30">
        <w:t xml:space="preserve">ments pour une réflexion critique », dans Yves Jean et Christian Calenge (dir.), </w:t>
      </w:r>
      <w:r w:rsidRPr="00C92F30">
        <w:rPr>
          <w:i/>
        </w:rPr>
        <w:t>Lire les territoires</w:t>
      </w:r>
      <w:r w:rsidRPr="00C92F30">
        <w:t>, Tours, Presses universitaires François Rabelais, co</w:t>
      </w:r>
      <w:r w:rsidRPr="00C92F30">
        <w:t>l</w:t>
      </w:r>
      <w:r w:rsidRPr="00C92F30">
        <w:t>lection Perspectives Villes et Territoires, 2002, p</w:t>
      </w:r>
      <w:r>
        <w:t>p</w:t>
      </w:r>
      <w:r w:rsidRPr="00C92F30">
        <w:t>. 261-288.</w:t>
      </w:r>
    </w:p>
  </w:footnote>
  <w:footnote w:id="77">
    <w:p w:rsidR="004C50DC" w:rsidRPr="00C92F30" w:rsidRDefault="004C50DC" w:rsidP="004C50DC">
      <w:pPr>
        <w:pStyle w:val="Notedebasdepage"/>
      </w:pPr>
      <w:r w:rsidRPr="002C1EB7">
        <w:rPr>
          <w:rStyle w:val="Appelnotedebasdep"/>
        </w:rPr>
        <w:footnoteRef/>
      </w:r>
      <w:r>
        <w:tab/>
      </w:r>
      <w:r w:rsidRPr="00C92F30">
        <w:t>Dominique Poulot, op. cit., p. 17.</w:t>
      </w:r>
    </w:p>
  </w:footnote>
  <w:footnote w:id="78">
    <w:p w:rsidR="004C50DC" w:rsidRPr="00C92F30" w:rsidRDefault="004C50DC" w:rsidP="004C50DC">
      <w:pPr>
        <w:pStyle w:val="Notedebasdepage"/>
      </w:pPr>
      <w:r w:rsidRPr="002C1EB7">
        <w:rPr>
          <w:rStyle w:val="Appelnotedebasdep"/>
        </w:rPr>
        <w:footnoteRef/>
      </w:r>
      <w:r>
        <w:rPr>
          <w:lang w:eastAsia="en-CA"/>
        </w:rPr>
        <w:tab/>
      </w:r>
      <w:r w:rsidRPr="00C92F30">
        <w:rPr>
          <w:lang w:eastAsia="en-CA"/>
        </w:rPr>
        <w:t>Vincent Veschambre, « Le processus de patrimonialisation : revalorisation, a</w:t>
      </w:r>
      <w:r w:rsidRPr="00C92F30">
        <w:rPr>
          <w:lang w:eastAsia="en-CA"/>
        </w:rPr>
        <w:t>p</w:t>
      </w:r>
      <w:r w:rsidRPr="00C92F30">
        <w:rPr>
          <w:lang w:eastAsia="en-CA"/>
        </w:rPr>
        <w:t>propriation et marquage de l’espace », en ligne, http://www.cafe-geo.net/article.php3?id_article=1180, consulté le 3 juillet 2012.</w:t>
      </w:r>
    </w:p>
  </w:footnote>
  <w:footnote w:id="79">
    <w:p w:rsidR="004C50DC" w:rsidRPr="00C92F30" w:rsidRDefault="004C50DC" w:rsidP="004C50DC">
      <w:pPr>
        <w:pStyle w:val="Notedebasdepage"/>
      </w:pPr>
      <w:r w:rsidRPr="002C1EB7">
        <w:rPr>
          <w:rStyle w:val="Appelnotedebasdep"/>
        </w:rPr>
        <w:footnoteRef/>
      </w:r>
      <w:r>
        <w:rPr>
          <w:lang w:eastAsia="en-CA"/>
        </w:rPr>
        <w:tab/>
      </w:r>
      <w:r w:rsidRPr="00C92F30">
        <w:rPr>
          <w:lang w:eastAsia="en-CA"/>
        </w:rPr>
        <w:t xml:space="preserve">Michel Maffesoli, </w:t>
      </w:r>
      <w:r w:rsidRPr="00C92F30">
        <w:rPr>
          <w:i/>
          <w:lang w:eastAsia="en-CA"/>
        </w:rPr>
        <w:t>Matrimonium. Petit traité d’écosophie</w:t>
      </w:r>
      <w:r w:rsidRPr="00C92F30">
        <w:rPr>
          <w:lang w:eastAsia="en-CA"/>
        </w:rPr>
        <w:t>, Paris, CNRS, 2010, p. 33.</w:t>
      </w:r>
    </w:p>
  </w:footnote>
  <w:footnote w:id="80">
    <w:p w:rsidR="004C50DC" w:rsidRPr="00C92F30" w:rsidRDefault="004C50DC" w:rsidP="004C50DC">
      <w:pPr>
        <w:pStyle w:val="Notedebasdepage"/>
      </w:pPr>
      <w:r w:rsidRPr="002C1EB7">
        <w:rPr>
          <w:rStyle w:val="Appelnotedebasdep"/>
        </w:rPr>
        <w:footnoteRef/>
      </w:r>
      <w:r>
        <w:tab/>
      </w:r>
      <w:r w:rsidRPr="00C92F30">
        <w:t xml:space="preserve">Dominique Poulot, op. cit., p. 16. </w:t>
      </w:r>
    </w:p>
  </w:footnote>
  <w:footnote w:id="81">
    <w:p w:rsidR="004C50DC" w:rsidRPr="00C92F30" w:rsidRDefault="004C50DC" w:rsidP="004C50DC">
      <w:pPr>
        <w:pStyle w:val="Notedebasdepage"/>
      </w:pPr>
      <w:r w:rsidRPr="002C1EB7">
        <w:rPr>
          <w:rStyle w:val="Appelnotedebasdep"/>
        </w:rPr>
        <w:footnoteRef/>
      </w:r>
      <w:r>
        <w:tab/>
      </w:r>
      <w:r w:rsidRPr="00C92F30">
        <w:t>Henry Rousso, « Patrimoine et histoire du temps présent », dans Auzas et Je</w:t>
      </w:r>
      <w:r w:rsidRPr="00C92F30">
        <w:t>w</w:t>
      </w:r>
      <w:r w:rsidRPr="00C92F30">
        <w:t xml:space="preserve">siewicki (dir.), </w:t>
      </w:r>
      <w:r w:rsidRPr="00C92F30">
        <w:rPr>
          <w:i/>
        </w:rPr>
        <w:t>Traumatisme collectif pour patrimoine</w:t>
      </w:r>
      <w:r w:rsidRPr="00C92F30">
        <w:t>..., op. cit., p</w:t>
      </w:r>
      <w:r>
        <w:t>p</w:t>
      </w:r>
      <w:r w:rsidRPr="00C92F30">
        <w:t>. 18-19.</w:t>
      </w:r>
    </w:p>
  </w:footnote>
  <w:footnote w:id="82">
    <w:p w:rsidR="004C50DC" w:rsidRPr="00C92F30" w:rsidRDefault="004C50DC" w:rsidP="004C50DC">
      <w:pPr>
        <w:pStyle w:val="Notedebasdepage"/>
      </w:pPr>
      <w:r w:rsidRPr="002C1EB7">
        <w:rPr>
          <w:rStyle w:val="Appelnotedebasdep"/>
        </w:rPr>
        <w:footnoteRef/>
      </w:r>
      <w:r>
        <w:tab/>
      </w:r>
      <w:r w:rsidRPr="00C92F30">
        <w:t>Pierre Nora estime qu’il est temps de passer d’une production monumentale par le haut, en référence à l’identité nationale et aux élites, à une construction patrimoniale par le bas, avec des références identitaires multiples ; Pierre N</w:t>
      </w:r>
      <w:r w:rsidRPr="00C92F30">
        <w:t>o</w:t>
      </w:r>
      <w:r w:rsidRPr="00C92F30">
        <w:t xml:space="preserve">ra, « L’ère de la commémoration », dans Pierre Nora (dir.), </w:t>
      </w:r>
      <w:r w:rsidRPr="00C92F30">
        <w:rPr>
          <w:i/>
        </w:rPr>
        <w:t>Les lieux de m</w:t>
      </w:r>
      <w:r w:rsidRPr="00C92F30">
        <w:rPr>
          <w:i/>
        </w:rPr>
        <w:t>é</w:t>
      </w:r>
      <w:r w:rsidRPr="00C92F30">
        <w:rPr>
          <w:i/>
        </w:rPr>
        <w:t>moire</w:t>
      </w:r>
      <w:r w:rsidRPr="00C92F30">
        <w:t>, Tome 3, Paris, Gallimard, 1992, p</w:t>
      </w:r>
      <w:r>
        <w:t>p</w:t>
      </w:r>
      <w:r w:rsidRPr="00C92F30">
        <w:t>. 977-1012.</w:t>
      </w:r>
    </w:p>
  </w:footnote>
  <w:footnote w:id="83">
    <w:p w:rsidR="004C50DC" w:rsidRPr="00C92F30" w:rsidRDefault="004C50DC" w:rsidP="004C50DC">
      <w:pPr>
        <w:pStyle w:val="Notedebasdepage"/>
      </w:pPr>
      <w:r w:rsidRPr="002C1EB7">
        <w:rPr>
          <w:rStyle w:val="Appelnotedebasdep"/>
        </w:rPr>
        <w:footnoteRef/>
      </w:r>
      <w:r>
        <w:tab/>
      </w:r>
      <w:r w:rsidRPr="00C92F30">
        <w:t xml:space="preserve">Voir </w:t>
      </w:r>
      <w:r w:rsidRPr="00C92F30">
        <w:rPr>
          <w:lang w:eastAsia="en-CA"/>
        </w:rPr>
        <w:t>Guy Di Méo, « </w:t>
      </w:r>
      <w:r w:rsidRPr="00C92F30">
        <w:rPr>
          <w:rFonts w:eastAsia="Calibri"/>
          <w:lang w:eastAsia="en-CA"/>
        </w:rPr>
        <w:t>Processus de patrimonialisation et construction des territo</w:t>
      </w:r>
      <w:r w:rsidRPr="00C92F30">
        <w:rPr>
          <w:rFonts w:eastAsia="Calibri"/>
          <w:lang w:eastAsia="en-CA"/>
        </w:rPr>
        <w:t>i</w:t>
      </w:r>
      <w:r w:rsidRPr="00C92F30">
        <w:rPr>
          <w:rFonts w:eastAsia="Calibri"/>
          <w:lang w:eastAsia="en-CA"/>
        </w:rPr>
        <w:t>res</w:t>
      </w:r>
      <w:r w:rsidRPr="00C92F30">
        <w:rPr>
          <w:lang w:eastAsia="en-CA"/>
        </w:rPr>
        <w:t xml:space="preserve"> », </w:t>
      </w:r>
      <w:r w:rsidRPr="00C92F30">
        <w:rPr>
          <w:iCs/>
          <w:lang w:eastAsia="en-CA"/>
        </w:rPr>
        <w:t>Colloque « Patrimoine et industrie en Poitou-Charentes. Connaître pour valoriser »</w:t>
      </w:r>
      <w:r w:rsidRPr="00C92F30">
        <w:rPr>
          <w:lang w:eastAsia="en-CA"/>
        </w:rPr>
        <w:t>, Poitiers-Châtellerault, France (2007), 2008</w:t>
      </w:r>
      <w:r w:rsidRPr="00C92F30">
        <w:t>, en ligne, http://halshs.archives-ouvertes.fr/halshs-00281934/en/</w:t>
      </w:r>
      <w:r w:rsidRPr="00C92F30">
        <w:rPr>
          <w:b/>
          <w:lang w:eastAsia="en-CA"/>
        </w:rPr>
        <w:t xml:space="preserve">, </w:t>
      </w:r>
      <w:r w:rsidRPr="00C92F30">
        <w:rPr>
          <w:lang w:eastAsia="en-CA"/>
        </w:rPr>
        <w:t>consulté le 5 juillet 2012. </w:t>
      </w:r>
    </w:p>
  </w:footnote>
  <w:footnote w:id="84">
    <w:p w:rsidR="004C50DC" w:rsidRPr="00C92F30" w:rsidRDefault="004C50DC" w:rsidP="004C50DC">
      <w:pPr>
        <w:pStyle w:val="Notedebasdepage"/>
        <w:rPr>
          <w:lang w:val="fr-FR"/>
        </w:rPr>
      </w:pPr>
      <w:r w:rsidRPr="002C1EB7">
        <w:rPr>
          <w:rStyle w:val="Appelnotedebasdep"/>
          <w:lang w:val="fr-FR"/>
        </w:rPr>
        <w:footnoteRef/>
      </w:r>
      <w:r>
        <w:rPr>
          <w:lang w:val="fr-FR"/>
        </w:rPr>
        <w:tab/>
      </w:r>
      <w:r w:rsidRPr="00C92F30">
        <w:rPr>
          <w:lang w:val="fr-FR"/>
        </w:rPr>
        <w:t xml:space="preserve">Michel Hector, </w:t>
      </w:r>
      <w:r w:rsidRPr="00C92F30">
        <w:rPr>
          <w:i/>
          <w:lang w:val="fr-FR"/>
        </w:rPr>
        <w:t>Crises et mouvements populaires en Haïti</w:t>
      </w:r>
      <w:r w:rsidRPr="00C92F30">
        <w:rPr>
          <w:lang w:val="fr-FR"/>
        </w:rPr>
        <w:t>, Montréal, CIDH</w:t>
      </w:r>
      <w:r w:rsidRPr="00C92F30">
        <w:rPr>
          <w:lang w:val="fr-FR"/>
        </w:rPr>
        <w:t>I</w:t>
      </w:r>
      <w:r w:rsidRPr="00C92F30">
        <w:rPr>
          <w:lang w:val="fr-FR"/>
        </w:rPr>
        <w:t>CA, 2000, p. 102. L’auteur fait référence aux mouvements de contestation p</w:t>
      </w:r>
      <w:r w:rsidRPr="00C92F30">
        <w:rPr>
          <w:lang w:val="fr-FR"/>
        </w:rPr>
        <w:t>o</w:t>
      </w:r>
      <w:r w:rsidRPr="00C92F30">
        <w:rPr>
          <w:lang w:val="fr-FR"/>
        </w:rPr>
        <w:t>pulaire du XIX</w:t>
      </w:r>
      <w:r w:rsidRPr="00C92F30">
        <w:rPr>
          <w:vertAlign w:val="superscript"/>
          <w:lang w:val="fr-FR"/>
        </w:rPr>
        <w:t>e</w:t>
      </w:r>
      <w:r w:rsidRPr="00C92F30">
        <w:rPr>
          <w:lang w:val="fr-FR"/>
        </w:rPr>
        <w:t xml:space="preserve"> siècle.</w:t>
      </w:r>
    </w:p>
  </w:footnote>
  <w:footnote w:id="85">
    <w:p w:rsidR="004C50DC" w:rsidRDefault="004C50DC" w:rsidP="004C50DC">
      <w:pPr>
        <w:pStyle w:val="Notedebasdepage"/>
      </w:pPr>
      <w:r>
        <w:rPr>
          <w:rStyle w:val="Appelnotedebasdep"/>
        </w:rPr>
        <w:footnoteRef/>
      </w:r>
      <w:r>
        <w:t xml:space="preserve"> </w:t>
      </w:r>
      <w:r>
        <w:tab/>
      </w:r>
      <w:r w:rsidRPr="00C92F30">
        <w:rPr>
          <w:rFonts w:eastAsia="Calibri"/>
          <w:bCs/>
          <w:lang w:val="fr-FR" w:eastAsia="en-CA"/>
        </w:rPr>
        <w:t>Nous renvoyons à Étienne Anheim, « Le patrimoine. Approches scientif</w:t>
      </w:r>
      <w:r w:rsidRPr="00C92F30">
        <w:rPr>
          <w:rFonts w:eastAsia="Calibri"/>
          <w:bCs/>
          <w:lang w:val="fr-FR" w:eastAsia="en-CA"/>
        </w:rPr>
        <w:t>i</w:t>
      </w:r>
      <w:r w:rsidRPr="00C92F30">
        <w:rPr>
          <w:rFonts w:eastAsia="Calibri"/>
          <w:bCs/>
          <w:lang w:val="fr-FR" w:eastAsia="en-CA"/>
        </w:rPr>
        <w:t xml:space="preserve">ques et diversité des acteurs sociaux », </w:t>
      </w:r>
      <w:r w:rsidRPr="00C92F30">
        <w:rPr>
          <w:rFonts w:eastAsia="Calibri"/>
          <w:i/>
          <w:iCs/>
          <w:lang w:val="fr-FR" w:eastAsia="en-CA"/>
        </w:rPr>
        <w:t xml:space="preserve">PRÉAC - Patrimoines et diversité, </w:t>
      </w:r>
      <w:r w:rsidRPr="00C92F30">
        <w:rPr>
          <w:rFonts w:eastAsia="Calibri"/>
          <w:iCs/>
          <w:lang w:val="fr-FR" w:eastAsia="en-CA"/>
        </w:rPr>
        <w:t>en l</w:t>
      </w:r>
      <w:r w:rsidRPr="00C92F30">
        <w:rPr>
          <w:rFonts w:eastAsia="Calibri"/>
          <w:iCs/>
          <w:lang w:val="fr-FR" w:eastAsia="en-CA"/>
        </w:rPr>
        <w:t>i</w:t>
      </w:r>
      <w:r w:rsidRPr="00C92F30">
        <w:rPr>
          <w:rFonts w:eastAsia="Calibri"/>
          <w:iCs/>
          <w:lang w:val="fr-FR" w:eastAsia="en-CA"/>
        </w:rPr>
        <w:t xml:space="preserve">gne, </w:t>
      </w:r>
      <w:hyperlink r:id="rId8" w:history="1">
        <w:r w:rsidRPr="00C92F30">
          <w:rPr>
            <w:rStyle w:val="Lienhypertexte"/>
            <w:rFonts w:eastAsia="Calibri"/>
            <w:lang w:val="fr-FR" w:eastAsia="en-CA"/>
          </w:rPr>
          <w:t>http://crdp.ac-paris.fr/preacpatrimoinesetdiversite</w:t>
        </w:r>
      </w:hyperlink>
      <w:r w:rsidRPr="00C92F30">
        <w:rPr>
          <w:rFonts w:eastAsia="Calibri"/>
          <w:lang w:val="fr-FR" w:eastAsia="en-CA"/>
        </w:rPr>
        <w:t xml:space="preserve">, consulté le 24 octobre 2012. </w:t>
      </w:r>
    </w:p>
  </w:footnote>
  <w:footnote w:id="86">
    <w:p w:rsidR="004C50DC" w:rsidRDefault="004C50DC" w:rsidP="004C50DC">
      <w:pPr>
        <w:pStyle w:val="Notedebasdepage"/>
      </w:pPr>
      <w:r>
        <w:rPr>
          <w:rStyle w:val="Appelnotedebasdep"/>
        </w:rPr>
        <w:footnoteRef/>
      </w:r>
      <w:r>
        <w:t xml:space="preserve"> </w:t>
      </w:r>
      <w:r>
        <w:tab/>
      </w:r>
      <w:r w:rsidRPr="00C92F30">
        <w:t xml:space="preserve">Voir Michel Foucault, </w:t>
      </w:r>
      <w:hyperlink r:id="rId9" w:history="1">
        <w:r w:rsidRPr="00C92F30">
          <w:rPr>
            <w:rStyle w:val="Lienhypertexte"/>
            <w:i/>
            <w:iCs/>
          </w:rPr>
          <w:t>Le sujet et le pouvoir</w:t>
        </w:r>
        <w:r w:rsidRPr="00C92F30">
          <w:rPr>
            <w:rStyle w:val="Lienhypertexte"/>
          </w:rPr>
          <w:t xml:space="preserve">. </w:t>
        </w:r>
        <w:r w:rsidRPr="00C92F30">
          <w:rPr>
            <w:rStyle w:val="Lienhypertexte"/>
            <w:i/>
          </w:rPr>
          <w:t>Dits et écrits</w:t>
        </w:r>
      </w:hyperlink>
      <w:r w:rsidRPr="00C92F30">
        <w:rPr>
          <w:rStyle w:val="A1"/>
          <w:sz w:val="24"/>
        </w:rPr>
        <w:t>, IV, Paris, Gall</w:t>
      </w:r>
      <w:r w:rsidRPr="00C92F30">
        <w:rPr>
          <w:rStyle w:val="A1"/>
          <w:sz w:val="24"/>
        </w:rPr>
        <w:t>i</w:t>
      </w:r>
      <w:r w:rsidRPr="00C92F30">
        <w:rPr>
          <w:rStyle w:val="A1"/>
          <w:sz w:val="24"/>
        </w:rPr>
        <w:t>mard, 1982, p. 223.</w:t>
      </w:r>
    </w:p>
  </w:footnote>
  <w:footnote w:id="87">
    <w:p w:rsidR="004C50DC" w:rsidRDefault="004C50DC" w:rsidP="004C50DC">
      <w:pPr>
        <w:pStyle w:val="Notedebasdepage"/>
      </w:pPr>
      <w:r>
        <w:rPr>
          <w:rStyle w:val="Appelnotedebasdep"/>
        </w:rPr>
        <w:footnoteRef/>
      </w:r>
      <w:r>
        <w:t xml:space="preserve"> </w:t>
      </w:r>
      <w:r>
        <w:tab/>
      </w:r>
      <w:r w:rsidRPr="00C92F30">
        <w:t xml:space="preserve">Michel Foucault, </w:t>
      </w:r>
      <w:hyperlink r:id="rId10" w:history="1">
        <w:r w:rsidRPr="00C92F30">
          <w:rPr>
            <w:rStyle w:val="Lienhypertexte"/>
            <w:i/>
          </w:rPr>
          <w:t>Surveiller et punir. Naissance de la prison</w:t>
        </w:r>
      </w:hyperlink>
      <w:r w:rsidRPr="00C92F30">
        <w:t>, Paris, Gallimard, 1975.</w:t>
      </w:r>
    </w:p>
  </w:footnote>
  <w:footnote w:id="88">
    <w:p w:rsidR="004C50DC" w:rsidRDefault="004C50DC" w:rsidP="004C50DC">
      <w:pPr>
        <w:pStyle w:val="Notedebasdepage"/>
      </w:pPr>
      <w:r>
        <w:rPr>
          <w:rStyle w:val="Appelnotedebasdep"/>
        </w:rPr>
        <w:footnoteRef/>
      </w:r>
      <w:r>
        <w:t xml:space="preserve"> </w:t>
      </w:r>
      <w:r>
        <w:tab/>
      </w:r>
      <w:r w:rsidRPr="002C1EB7">
        <w:rPr>
          <w:rStyle w:val="A1"/>
          <w:i/>
          <w:iCs/>
          <w:color w:val="auto"/>
          <w:sz w:val="24"/>
        </w:rPr>
        <w:t>Ibid</w:t>
      </w:r>
      <w:r w:rsidRPr="00C92F30">
        <w:rPr>
          <w:rStyle w:val="A1"/>
          <w:iCs/>
          <w:color w:val="auto"/>
          <w:sz w:val="24"/>
        </w:rPr>
        <w:t>.</w:t>
      </w:r>
      <w:r w:rsidRPr="00C92F30">
        <w:rPr>
          <w:rStyle w:val="A1"/>
          <w:color w:val="auto"/>
          <w:sz w:val="24"/>
        </w:rPr>
        <w:t>, p. 217.</w:t>
      </w:r>
    </w:p>
  </w:footnote>
  <w:footnote w:id="89">
    <w:p w:rsidR="004C50DC" w:rsidRDefault="004C50DC" w:rsidP="004C50DC">
      <w:pPr>
        <w:pStyle w:val="Notedebasdepage"/>
      </w:pPr>
      <w:r>
        <w:rPr>
          <w:rStyle w:val="Appelnotedebasdep"/>
        </w:rPr>
        <w:footnoteRef/>
      </w:r>
      <w:r>
        <w:t xml:space="preserve"> </w:t>
      </w:r>
      <w:r>
        <w:tab/>
      </w:r>
      <w:r w:rsidRPr="00C92F30">
        <w:rPr>
          <w:rFonts w:eastAsia="Calibri"/>
          <w:lang w:val="fr-FR"/>
        </w:rPr>
        <w:t xml:space="preserve">Margus Vihalem, « Qu’est-ce qu’une subjectivation ? Les rapports entre le savoir, le pouvoir et le sujet dans la pensée de Michel Foucault », </w:t>
      </w:r>
      <w:r w:rsidRPr="00C92F30">
        <w:rPr>
          <w:rFonts w:eastAsia="Calibri"/>
          <w:i/>
          <w:lang w:val="fr-FR"/>
        </w:rPr>
        <w:t>Synergies</w:t>
      </w:r>
      <w:r w:rsidRPr="00C92F30">
        <w:rPr>
          <w:rFonts w:eastAsia="Calibri"/>
          <w:b/>
          <w:lang w:val="fr-FR"/>
        </w:rPr>
        <w:t xml:space="preserve"> – </w:t>
      </w:r>
      <w:r w:rsidRPr="00C92F30">
        <w:rPr>
          <w:rFonts w:eastAsia="Calibri"/>
          <w:i/>
          <w:iCs/>
          <w:lang w:val="fr-FR"/>
        </w:rPr>
        <w:t xml:space="preserve">Pays Riverains de la Baltique, </w:t>
      </w:r>
      <w:r w:rsidRPr="00C92F30">
        <w:rPr>
          <w:rFonts w:eastAsia="Calibri"/>
          <w:lang w:val="fr-FR"/>
        </w:rPr>
        <w:t xml:space="preserve">n° 8, 2011, p. 89-100, Université de Tallinn, Estonie, en ligne, </w:t>
      </w:r>
      <w:hyperlink r:id="rId11" w:history="1">
        <w:r w:rsidRPr="00C92F30">
          <w:rPr>
            <w:rStyle w:val="Lienhypertexte"/>
            <w:rFonts w:eastAsia="Calibri"/>
            <w:lang w:val="fr-FR"/>
          </w:rPr>
          <w:t>http://ressources-cla.univ-fcomte.fr/gerflint/Baltique8/vihalem.pdf</w:t>
        </w:r>
      </w:hyperlink>
      <w:r w:rsidRPr="00C92F30">
        <w:rPr>
          <w:rFonts w:eastAsia="Calibri"/>
          <w:lang w:val="fr-FR"/>
        </w:rPr>
        <w:t>, consulté le 15 janvier 2013.</w:t>
      </w:r>
    </w:p>
  </w:footnote>
  <w:footnote w:id="90">
    <w:p w:rsidR="004C50DC" w:rsidRPr="00C92F30" w:rsidRDefault="004C50DC" w:rsidP="004C50DC">
      <w:pPr>
        <w:pStyle w:val="Notedebasdepage"/>
      </w:pPr>
      <w:r w:rsidRPr="002C1EB7">
        <w:rPr>
          <w:rStyle w:val="Appelnotedebasdep"/>
        </w:rPr>
        <w:footnoteRef/>
      </w:r>
      <w:r>
        <w:tab/>
      </w:r>
      <w:r w:rsidRPr="00C92F30">
        <w:t xml:space="preserve">Voir Christian Ghasarian (dir.), </w:t>
      </w:r>
      <w:r w:rsidRPr="002C1EB7">
        <w:t>De l’ethnographie à l’anthropologie réflexive. Nouveaux terrains, nouvelles pratiques, nouveaux enjeux</w:t>
      </w:r>
      <w:r w:rsidRPr="00C92F30">
        <w:t>, Paris, Armand C</w:t>
      </w:r>
      <w:r w:rsidRPr="00C92F30">
        <w:t>o</w:t>
      </w:r>
      <w:r w:rsidRPr="00C92F30">
        <w:t>lin, 2002, p. 224.</w:t>
      </w:r>
    </w:p>
  </w:footnote>
  <w:footnote w:id="91">
    <w:p w:rsidR="004C50DC" w:rsidRPr="00C92F30" w:rsidRDefault="004C50DC" w:rsidP="004C50DC">
      <w:pPr>
        <w:pStyle w:val="Notedebasdepage"/>
      </w:pPr>
      <w:r w:rsidRPr="002C1EB7">
        <w:rPr>
          <w:rStyle w:val="Appelnotedebasdep"/>
        </w:rPr>
        <w:footnoteRef/>
      </w:r>
      <w:r>
        <w:tab/>
      </w:r>
      <w:r w:rsidRPr="002C1EB7">
        <w:rPr>
          <w:i/>
        </w:rPr>
        <w:t>Ibid</w:t>
      </w:r>
      <w:r w:rsidRPr="00C92F30">
        <w:t xml:space="preserve">. </w:t>
      </w:r>
    </w:p>
  </w:footnote>
  <w:footnote w:id="92">
    <w:p w:rsidR="004C50DC" w:rsidRDefault="004C50DC" w:rsidP="004C50DC">
      <w:pPr>
        <w:pStyle w:val="Notedebasdepage"/>
      </w:pPr>
      <w:r>
        <w:rPr>
          <w:rStyle w:val="Appelnotedebasdep"/>
        </w:rPr>
        <w:footnoteRef/>
      </w:r>
      <w:r>
        <w:t xml:space="preserve"> </w:t>
      </w:r>
      <w:r>
        <w:tab/>
      </w:r>
      <w:r w:rsidRPr="002C1EB7">
        <w:rPr>
          <w:i/>
        </w:rPr>
        <w:t>Ibid</w:t>
      </w:r>
      <w:r w:rsidRPr="00C92F30">
        <w:t xml:space="preserve">., p. 224. </w:t>
      </w:r>
    </w:p>
  </w:footnote>
  <w:footnote w:id="93">
    <w:p w:rsidR="004C50DC" w:rsidRDefault="004C50DC" w:rsidP="004C50DC">
      <w:pPr>
        <w:pStyle w:val="Notedebasdepage"/>
      </w:pPr>
      <w:r>
        <w:rPr>
          <w:rStyle w:val="Appelnotedebasdep"/>
        </w:rPr>
        <w:footnoteRef/>
      </w:r>
      <w:r>
        <w:t xml:space="preserve"> </w:t>
      </w:r>
      <w:r>
        <w:tab/>
      </w:r>
      <w:r w:rsidRPr="00C92F30">
        <w:rPr>
          <w:rFonts w:eastAsia="Calibri"/>
          <w:lang w:val="fr-FR" w:eastAsia="en-CA"/>
        </w:rPr>
        <w:t xml:space="preserve">Michel Foucault, </w:t>
      </w:r>
      <w:r w:rsidRPr="00C92F30">
        <w:rPr>
          <w:rFonts w:eastAsia="Calibri"/>
          <w:i/>
          <w:iCs/>
          <w:lang w:val="fr-FR" w:eastAsia="en-CA"/>
        </w:rPr>
        <w:t>L’ordre du discours</w:t>
      </w:r>
      <w:r w:rsidRPr="00C92F30">
        <w:rPr>
          <w:rFonts w:eastAsia="Calibri"/>
          <w:lang w:val="fr-FR" w:eastAsia="en-CA"/>
        </w:rPr>
        <w:t>, Paris, Gallimard, 1971, cité par Chri</w:t>
      </w:r>
      <w:r w:rsidRPr="00C92F30">
        <w:rPr>
          <w:rFonts w:eastAsia="Calibri"/>
          <w:lang w:val="fr-FR" w:eastAsia="en-CA"/>
        </w:rPr>
        <w:t>s</w:t>
      </w:r>
      <w:r w:rsidRPr="00C92F30">
        <w:rPr>
          <w:rFonts w:eastAsia="Calibri"/>
          <w:lang w:val="fr-FR" w:eastAsia="en-CA"/>
        </w:rPr>
        <w:t xml:space="preserve">tine Chivallon, « La quête pathétique des </w:t>
      </w:r>
      <w:r w:rsidRPr="00C92F30">
        <w:rPr>
          <w:rFonts w:eastAsia="Calibri"/>
          <w:i/>
          <w:lang w:val="fr-FR" w:eastAsia="en-CA"/>
        </w:rPr>
        <w:t>postcolonial studies</w:t>
      </w:r>
      <w:r w:rsidRPr="00C92F30">
        <w:rPr>
          <w:rFonts w:eastAsia="Calibri"/>
          <w:lang w:val="fr-FR" w:eastAsia="en-CA"/>
        </w:rPr>
        <w:t xml:space="preserve"> ou la révol</w:t>
      </w:r>
      <w:r w:rsidRPr="00C92F30">
        <w:rPr>
          <w:rFonts w:eastAsia="Calibri"/>
          <w:lang w:val="fr-FR" w:eastAsia="en-CA"/>
        </w:rPr>
        <w:t>u</w:t>
      </w:r>
      <w:r w:rsidRPr="00C92F30">
        <w:rPr>
          <w:rFonts w:eastAsia="Calibri"/>
          <w:lang w:val="fr-FR" w:eastAsia="en-CA"/>
        </w:rPr>
        <w:t xml:space="preserve">tion manquée », </w:t>
      </w:r>
      <w:r w:rsidRPr="00C92F30">
        <w:rPr>
          <w:rFonts w:eastAsia="Calibri"/>
          <w:i/>
          <w:lang w:val="fr-FR" w:eastAsia="en-CA"/>
        </w:rPr>
        <w:t>Mouvements</w:t>
      </w:r>
      <w:r w:rsidRPr="00C92F30">
        <w:rPr>
          <w:rFonts w:eastAsia="Calibri"/>
          <w:lang w:val="fr-FR" w:eastAsia="en-CA"/>
        </w:rPr>
        <w:t>, vol. 3, n</w:t>
      </w:r>
      <w:r w:rsidRPr="00C92F30">
        <w:rPr>
          <w:rFonts w:eastAsia="Calibri"/>
          <w:vertAlign w:val="superscript"/>
          <w:lang w:val="fr-FR" w:eastAsia="en-CA"/>
        </w:rPr>
        <w:t>o</w:t>
      </w:r>
      <w:r w:rsidRPr="00C92F30">
        <w:rPr>
          <w:rFonts w:eastAsia="Calibri"/>
          <w:lang w:val="fr-FR" w:eastAsia="en-CA"/>
        </w:rPr>
        <w:t> 51</w:t>
      </w:r>
      <w:r w:rsidRPr="00C92F30">
        <w:rPr>
          <w:lang w:val="fr-FR"/>
        </w:rPr>
        <w:t xml:space="preserve">, en ligne, </w:t>
      </w:r>
      <w:r w:rsidRPr="00C92F30">
        <w:rPr>
          <w:rFonts w:eastAsia="Calibri"/>
          <w:lang w:val="fr-FR" w:eastAsia="en-CA"/>
        </w:rPr>
        <w:t>DOI</w:t>
      </w:r>
      <w:r>
        <w:rPr>
          <w:rFonts w:eastAsia="Calibri"/>
          <w:lang w:val="fr-FR" w:eastAsia="en-CA"/>
        </w:rPr>
        <w:t> </w:t>
      </w:r>
      <w:r w:rsidRPr="00C92F30">
        <w:rPr>
          <w:rFonts w:eastAsia="Calibri"/>
          <w:lang w:val="fr-FR" w:eastAsia="en-CA"/>
        </w:rPr>
        <w:t>: 10.3917/mouv.051.0032, 2007, p. 32-39, consulté le 3 avril 2014.</w:t>
      </w:r>
    </w:p>
  </w:footnote>
  <w:footnote w:id="94">
    <w:p w:rsidR="004C50DC" w:rsidRDefault="004C50DC" w:rsidP="004C50DC">
      <w:pPr>
        <w:pStyle w:val="Notedebasdepage"/>
      </w:pPr>
      <w:r>
        <w:rPr>
          <w:rStyle w:val="Appelnotedebasdep"/>
        </w:rPr>
        <w:footnoteRef/>
      </w:r>
      <w:r>
        <w:t xml:space="preserve"> </w:t>
      </w:r>
      <w:r>
        <w:tab/>
      </w:r>
      <w:r w:rsidRPr="00C92F30">
        <w:t xml:space="preserve">Michel Foucault, 1975, </w:t>
      </w:r>
      <w:r w:rsidRPr="002C1EB7">
        <w:rPr>
          <w:i/>
        </w:rPr>
        <w:t>op. cit</w:t>
      </w:r>
      <w:r w:rsidRPr="00C92F30">
        <w:t>., p. 32.</w:t>
      </w:r>
    </w:p>
  </w:footnote>
  <w:footnote w:id="95">
    <w:p w:rsidR="004C50DC" w:rsidRDefault="004C50DC" w:rsidP="004C50DC">
      <w:pPr>
        <w:pStyle w:val="Notedebasdepage"/>
      </w:pPr>
      <w:r>
        <w:rPr>
          <w:rStyle w:val="Appelnotedebasdep"/>
        </w:rPr>
        <w:footnoteRef/>
      </w:r>
      <w:r>
        <w:t xml:space="preserve"> </w:t>
      </w:r>
      <w:r>
        <w:tab/>
      </w:r>
      <w:r w:rsidRPr="00C92F30">
        <w:rPr>
          <w:rStyle w:val="A0"/>
          <w:sz w:val="24"/>
          <w:lang w:val="fr-FR"/>
        </w:rPr>
        <w:t xml:space="preserve">Michel Foucault, </w:t>
      </w:r>
      <w:r w:rsidRPr="00C92F30">
        <w:t xml:space="preserve">1975, </w:t>
      </w:r>
      <w:r w:rsidRPr="002C1EB7">
        <w:rPr>
          <w:i/>
        </w:rPr>
        <w:t>op. cit</w:t>
      </w:r>
      <w:r w:rsidRPr="00C92F30">
        <w:t xml:space="preserve">., </w:t>
      </w:r>
      <w:r w:rsidRPr="00C92F30">
        <w:rPr>
          <w:rStyle w:val="A0"/>
          <w:sz w:val="24"/>
          <w:lang w:val="fr-FR"/>
        </w:rPr>
        <w:t>p.</w:t>
      </w:r>
      <w:r w:rsidRPr="00C92F30">
        <w:rPr>
          <w:rStyle w:val="A1"/>
          <w:sz w:val="24"/>
          <w:lang w:val="fr-FR"/>
        </w:rPr>
        <w:t xml:space="preserve"> 36, </w:t>
      </w:r>
      <w:r w:rsidRPr="00C92F30">
        <w:rPr>
          <w:lang w:val="fr-FR"/>
        </w:rPr>
        <w:t>cité par Daniel Colson et Philippe Co</w:t>
      </w:r>
      <w:r w:rsidRPr="00C92F30">
        <w:rPr>
          <w:lang w:val="fr-FR"/>
        </w:rPr>
        <w:t>r</w:t>
      </w:r>
      <w:r w:rsidRPr="00C92F30">
        <w:rPr>
          <w:lang w:val="fr-FR"/>
        </w:rPr>
        <w:t>cuff, « Michel Foucault (1926-1984) et le pouvoir », Cours dialogique de l’Université populaire de Lyon, 22 mars 2010, en ligne,  http://unipoplyon.fr/wordpress/wp-content/uploads/2010/04/textes-foucault-pouvoir-2-colonnes-_colson-corcuff-2010_-_2_.pdf, consulté le 14 janvier 2013.</w:t>
      </w:r>
    </w:p>
  </w:footnote>
  <w:footnote w:id="96">
    <w:p w:rsidR="004C50DC" w:rsidRPr="00C92F30" w:rsidRDefault="004C50DC" w:rsidP="004C50DC">
      <w:pPr>
        <w:pStyle w:val="Notedebasdepage"/>
      </w:pPr>
      <w:r w:rsidRPr="00A86947">
        <w:rPr>
          <w:rStyle w:val="Appelnotedebasdep"/>
        </w:rPr>
        <w:footnoteRef/>
      </w:r>
      <w:r>
        <w:tab/>
      </w:r>
      <w:r w:rsidRPr="00C92F30">
        <w:t xml:space="preserve">Paul Ricœur, </w:t>
      </w:r>
      <w:r w:rsidRPr="00C92F30">
        <w:rPr>
          <w:i/>
        </w:rPr>
        <w:t xml:space="preserve">La mémoire, l’histoire, l’oubli, </w:t>
      </w:r>
      <w:r w:rsidRPr="00C92F30">
        <w:t>Paris, Seuil, 2000, p. 99.</w:t>
      </w:r>
    </w:p>
  </w:footnote>
  <w:footnote w:id="97">
    <w:p w:rsidR="004C50DC" w:rsidRPr="00C92F30" w:rsidRDefault="004C50DC" w:rsidP="004C50DC">
      <w:pPr>
        <w:pStyle w:val="Notedebasdepage"/>
        <w:rPr>
          <w:lang w:val="en-US"/>
        </w:rPr>
      </w:pPr>
      <w:r w:rsidRPr="00A86947">
        <w:rPr>
          <w:rStyle w:val="Appelnotedebasdep"/>
        </w:rPr>
        <w:footnoteRef/>
      </w:r>
      <w:r>
        <w:rPr>
          <w:lang w:val="en-US"/>
        </w:rPr>
        <w:tab/>
      </w:r>
      <w:r w:rsidRPr="002C1EB7">
        <w:rPr>
          <w:i/>
          <w:lang w:val="en-US"/>
        </w:rPr>
        <w:t>Ibid</w:t>
      </w:r>
      <w:r w:rsidRPr="00C92F30">
        <w:rPr>
          <w:lang w:val="en-US"/>
        </w:rPr>
        <w:t xml:space="preserve">., p. 104.  </w:t>
      </w:r>
    </w:p>
  </w:footnote>
  <w:footnote w:id="98">
    <w:p w:rsidR="004C50DC" w:rsidRPr="00C92F30" w:rsidRDefault="004C50DC" w:rsidP="004C50DC">
      <w:pPr>
        <w:pStyle w:val="Notedebasdepage"/>
        <w:rPr>
          <w:lang w:val="en-US"/>
        </w:rPr>
      </w:pPr>
      <w:r w:rsidRPr="00A86947">
        <w:rPr>
          <w:rStyle w:val="Appelnotedebasdep"/>
        </w:rPr>
        <w:footnoteRef/>
      </w:r>
      <w:r>
        <w:rPr>
          <w:lang w:val="en-US"/>
        </w:rPr>
        <w:tab/>
      </w:r>
      <w:r w:rsidRPr="002C1EB7">
        <w:rPr>
          <w:i/>
          <w:lang w:val="en-US"/>
        </w:rPr>
        <w:t>Ibid</w:t>
      </w:r>
      <w:r w:rsidRPr="00C92F30">
        <w:rPr>
          <w:lang w:val="en-US"/>
        </w:rPr>
        <w:t>., p. 105.</w:t>
      </w:r>
    </w:p>
  </w:footnote>
  <w:footnote w:id="99">
    <w:p w:rsidR="004C50DC" w:rsidRDefault="004C50DC" w:rsidP="004C50DC">
      <w:pPr>
        <w:pStyle w:val="Notedebasdepage"/>
      </w:pPr>
      <w:r>
        <w:rPr>
          <w:rStyle w:val="Appelnotedebasdep"/>
        </w:rPr>
        <w:footnoteRef/>
      </w:r>
      <w:r>
        <w:t xml:space="preserve"> </w:t>
      </w:r>
      <w:r>
        <w:tab/>
      </w:r>
      <w:r w:rsidRPr="00A86947">
        <w:rPr>
          <w:i/>
          <w:lang w:val="en-US"/>
        </w:rPr>
        <w:t>Ibid</w:t>
      </w:r>
      <w:r w:rsidRPr="00C92F30">
        <w:rPr>
          <w:lang w:val="en-US"/>
        </w:rPr>
        <w:t>., p. I.</w:t>
      </w:r>
    </w:p>
  </w:footnote>
  <w:footnote w:id="100">
    <w:p w:rsidR="004C50DC" w:rsidRDefault="004C50DC" w:rsidP="004C50DC">
      <w:pPr>
        <w:pStyle w:val="Notedebasdepage"/>
      </w:pPr>
      <w:r>
        <w:rPr>
          <w:rStyle w:val="Appelnotedebasdep"/>
        </w:rPr>
        <w:footnoteRef/>
      </w:r>
      <w:r>
        <w:t xml:space="preserve"> </w:t>
      </w:r>
      <w:r>
        <w:tab/>
      </w:r>
      <w:r w:rsidRPr="00A86947">
        <w:rPr>
          <w:i/>
        </w:rPr>
        <w:t>Ibid</w:t>
      </w:r>
      <w:r w:rsidRPr="00C92F30">
        <w:t>., p.I.</w:t>
      </w:r>
    </w:p>
  </w:footnote>
  <w:footnote w:id="101">
    <w:p w:rsidR="004C50DC" w:rsidRDefault="004C50DC" w:rsidP="004C50DC">
      <w:pPr>
        <w:pStyle w:val="Notedebasdepage"/>
      </w:pPr>
      <w:r>
        <w:rPr>
          <w:rStyle w:val="Appelnotedebasdep"/>
        </w:rPr>
        <w:footnoteRef/>
      </w:r>
      <w:r>
        <w:t xml:space="preserve"> </w:t>
      </w:r>
      <w:r>
        <w:tab/>
      </w:r>
      <w:r w:rsidRPr="00C92F30">
        <w:rPr>
          <w:lang w:val="fr-FR"/>
        </w:rPr>
        <w:t xml:space="preserve">Jean Price Mars, </w:t>
      </w:r>
      <w:hyperlink r:id="rId12" w:history="1">
        <w:r w:rsidRPr="00C92F30">
          <w:rPr>
            <w:rStyle w:val="Lienhypertexte"/>
            <w:i/>
            <w:lang w:val="fr-FR"/>
          </w:rPr>
          <w:t>Ainsi parla l’oncle. Essais d’ethnographie</w:t>
        </w:r>
      </w:hyperlink>
      <w:r w:rsidRPr="00C92F30">
        <w:rPr>
          <w:lang w:val="fr-FR"/>
        </w:rPr>
        <w:t>, Port-au-Prince, Bibliothèque nationale d’Haïti, [1928] 1998.</w:t>
      </w:r>
    </w:p>
  </w:footnote>
  <w:footnote w:id="102">
    <w:p w:rsidR="004C50DC" w:rsidRDefault="004C50DC" w:rsidP="004C50DC">
      <w:pPr>
        <w:pStyle w:val="Notedebasdepage"/>
      </w:pPr>
      <w:r>
        <w:rPr>
          <w:rStyle w:val="Appelnotedebasdep"/>
        </w:rPr>
        <w:footnoteRef/>
      </w:r>
      <w:r>
        <w:t xml:space="preserve"> </w:t>
      </w:r>
      <w:r>
        <w:tab/>
      </w:r>
      <w:r w:rsidRPr="00C92F30">
        <w:rPr>
          <w:lang w:val="fr-FR"/>
        </w:rPr>
        <w:t>Laënnec Hurbon rapporte que, « au XIXe siècle, 2% de la population totale peuvent accéder à la lecture… » Pour de plus amples explications, voir Laë</w:t>
      </w:r>
      <w:r w:rsidRPr="00C92F30">
        <w:rPr>
          <w:lang w:val="fr-FR"/>
        </w:rPr>
        <w:t>n</w:t>
      </w:r>
      <w:r w:rsidRPr="00C92F30">
        <w:rPr>
          <w:lang w:val="fr-FR"/>
        </w:rPr>
        <w:t xml:space="preserve">nec Hurbon, </w:t>
      </w:r>
      <w:r w:rsidRPr="00C92F30">
        <w:rPr>
          <w:i/>
          <w:lang w:val="fr-FR"/>
        </w:rPr>
        <w:t>Le barbare imaginaire</w:t>
      </w:r>
      <w:r w:rsidRPr="00C92F30">
        <w:rPr>
          <w:lang w:val="fr-FR"/>
        </w:rPr>
        <w:t xml:space="preserve">, Paris, Éditions du Cerf, 1988, p. 71. Ce petit groupe alphabétisé est majoritairement constitué de descendants d’affranchis (mulâtres) formés en France.  </w:t>
      </w:r>
    </w:p>
  </w:footnote>
  <w:footnote w:id="103">
    <w:p w:rsidR="004C50DC" w:rsidRDefault="004C50DC" w:rsidP="004C50DC">
      <w:pPr>
        <w:pStyle w:val="Notedebasdepage"/>
      </w:pPr>
      <w:r>
        <w:rPr>
          <w:rStyle w:val="Appelnotedebasdep"/>
        </w:rPr>
        <w:footnoteRef/>
      </w:r>
      <w:r>
        <w:t xml:space="preserve"> </w:t>
      </w:r>
      <w:r>
        <w:tab/>
      </w:r>
      <w:r w:rsidRPr="00C92F30">
        <w:t>Comme par exemple, Jean-Pierre Boyer et Alexandre Pétion, Beaubrun A</w:t>
      </w:r>
      <w:r w:rsidRPr="00C92F30">
        <w:t>r</w:t>
      </w:r>
      <w:r w:rsidRPr="00C92F30">
        <w:t>douin…</w:t>
      </w:r>
    </w:p>
  </w:footnote>
  <w:footnote w:id="104">
    <w:p w:rsidR="004C50DC" w:rsidRDefault="004C50DC" w:rsidP="004C50DC">
      <w:pPr>
        <w:pStyle w:val="Notedebasdepage"/>
      </w:pPr>
      <w:r>
        <w:rPr>
          <w:rStyle w:val="Appelnotedebasdep"/>
        </w:rPr>
        <w:footnoteRef/>
      </w:r>
      <w:r>
        <w:t xml:space="preserve"> </w:t>
      </w:r>
      <w:r>
        <w:tab/>
      </w:r>
      <w:r w:rsidRPr="00C92F30">
        <w:t xml:space="preserve">Léon-François Hoffmann, </w:t>
      </w:r>
      <w:hyperlink r:id="rId13" w:history="1">
        <w:r w:rsidRPr="00A86947">
          <w:rPr>
            <w:rStyle w:val="Lienhypertexte"/>
            <w:i/>
          </w:rPr>
          <w:t>Haïti. Couleurs, croyances créole</w:t>
        </w:r>
      </w:hyperlink>
      <w:r w:rsidRPr="00C92F30">
        <w:t>, Port-au-Prince, Henri Deschamps, 1990, p. 253.</w:t>
      </w:r>
    </w:p>
  </w:footnote>
  <w:footnote w:id="105">
    <w:p w:rsidR="004C50DC" w:rsidRDefault="004C50DC" w:rsidP="004C50DC">
      <w:pPr>
        <w:pStyle w:val="Notedebasdepage"/>
      </w:pPr>
      <w:r>
        <w:rPr>
          <w:rStyle w:val="Appelnotedebasdep"/>
        </w:rPr>
        <w:footnoteRef/>
      </w:r>
      <w:r>
        <w:t xml:space="preserve"> </w:t>
      </w:r>
      <w:r>
        <w:tab/>
      </w:r>
      <w:r w:rsidRPr="00C92F30">
        <w:t>Le mouvement indigéniste haïtien faisait l’éloge d’une Afrique à découvrir ; il prônait une valorisation des attaches, des liens culturels entre Haïti et l’Afrique. Il précède la Négritude et l’inspire ; voir à ce sujet Léon-François Hoffmann, op. cit., p. 45.</w:t>
      </w:r>
    </w:p>
    <w:p w:rsidR="004C50DC" w:rsidRDefault="004C50DC" w:rsidP="004C50DC">
      <w:pPr>
        <w:pStyle w:val="Notedebasdepage"/>
      </w:pPr>
      <w:r>
        <w:tab/>
      </w:r>
      <w:r>
        <w:tab/>
      </w:r>
      <w:r w:rsidRPr="00C92F30">
        <w:rPr>
          <w:lang w:val="fr-FR"/>
        </w:rPr>
        <w:t>Le mouvement indigéniste n’était pas une simple réaction littéraire face à l’occupation américaine et aux exactions de l’étranger, selon certains crit</w:t>
      </w:r>
      <w:r w:rsidRPr="00C92F30">
        <w:rPr>
          <w:lang w:val="fr-FR"/>
        </w:rPr>
        <w:t>i</w:t>
      </w:r>
      <w:r w:rsidRPr="00C92F30">
        <w:rPr>
          <w:lang w:val="fr-FR"/>
        </w:rPr>
        <w:t>ques. Ce fut aussi un vaste choix littéraire, politique, idéologique et humain qui, par la voix de son initiateur Jean-Price Mars, invitait les écrivains haïtiens à « cesser d’être des pasticheurs pour devenir des créateurs » tout en restant attachés aux racines africaines. Sur ce mouvement, né en 1915, s’édifiera en effet une littérature afro-haïtienne aux accents de révolte et bouillonnante d’espoir ; voir Jean-Max St.-Fleur, « Jean F. Brierre, poète humaniste », en l</w:t>
      </w:r>
      <w:r w:rsidRPr="00C92F30">
        <w:rPr>
          <w:lang w:val="fr-FR"/>
        </w:rPr>
        <w:t>i</w:t>
      </w:r>
      <w:r w:rsidRPr="00C92F30">
        <w:rPr>
          <w:lang w:val="fr-FR"/>
        </w:rPr>
        <w:t>gne, http://www.pyepimanla.com/octobre-novembre/articles/art-culture/poete-humaniste, consulté le 5 octobre 2012.</w:t>
      </w:r>
    </w:p>
  </w:footnote>
  <w:footnote w:id="106">
    <w:p w:rsidR="004C50DC" w:rsidRDefault="004C50DC">
      <w:pPr>
        <w:pStyle w:val="Notedebasdepage"/>
      </w:pPr>
      <w:r>
        <w:rPr>
          <w:rStyle w:val="Appelnotedebasdep"/>
        </w:rPr>
        <w:footnoteRef/>
      </w:r>
      <w:r>
        <w:t xml:space="preserve"> </w:t>
      </w:r>
      <w:r>
        <w:tab/>
      </w:r>
      <w:r w:rsidRPr="00C92F30">
        <w:rPr>
          <w:lang w:val="fr-FR"/>
        </w:rPr>
        <w:t xml:space="preserve">Laënnec Hurbon, </w:t>
      </w:r>
      <w:hyperlink r:id="rId14" w:history="1">
        <w:r w:rsidRPr="00C92F30">
          <w:rPr>
            <w:rStyle w:val="Lienhypertexte"/>
            <w:i/>
            <w:lang w:val="fr-FR"/>
          </w:rPr>
          <w:t>Comprendre Haïti. Essai sur l’État, la nation, la culture</w:t>
        </w:r>
      </w:hyperlink>
      <w:r w:rsidRPr="00C92F30">
        <w:rPr>
          <w:lang w:val="fr-FR"/>
        </w:rPr>
        <w:t>, Paris, Karthala, 1987, en ligne,</w:t>
      </w:r>
      <w:r>
        <w:rPr>
          <w:lang w:val="fr-FR"/>
        </w:rPr>
        <w:br/>
      </w:r>
      <w:r w:rsidRPr="00C92F30">
        <w:rPr>
          <w:lang w:val="fr-FR"/>
        </w:rPr>
        <w:t>http://classiques.uqac.ca/contemporains/hurbon_laennec/comprendre_haiti/comprendre_haiti.pdf., p. 95.</w:t>
      </w:r>
    </w:p>
  </w:footnote>
  <w:footnote w:id="107">
    <w:p w:rsidR="004C50DC" w:rsidRPr="00C92F30" w:rsidRDefault="004C50DC" w:rsidP="004C50DC">
      <w:pPr>
        <w:pStyle w:val="Notedebasdepage"/>
      </w:pPr>
      <w:r w:rsidRPr="00A86947">
        <w:rPr>
          <w:rStyle w:val="Appelnotedebasdep"/>
        </w:rPr>
        <w:footnoteRef/>
      </w:r>
      <w:r>
        <w:tab/>
      </w:r>
      <w:r w:rsidRPr="00C92F30">
        <w:t xml:space="preserve">Catts Pressoir, </w:t>
      </w:r>
      <w:r w:rsidRPr="00C92F30">
        <w:rPr>
          <w:i/>
        </w:rPr>
        <w:t>L’enseignement de l’histoire en Haïti</w:t>
      </w:r>
      <w:r w:rsidRPr="00C92F30">
        <w:t>, Mexico, Instituto de ge</w:t>
      </w:r>
      <w:r w:rsidRPr="00C92F30">
        <w:t>o</w:t>
      </w:r>
      <w:r w:rsidRPr="00C92F30">
        <w:t>grafía e historia, 1950, p. 58, cité par Dimitri Béchacq, « Les parcours du marronnage dans l’histoire haïtienne. Entre instrumentalisation politique et réi</w:t>
      </w:r>
      <w:r w:rsidRPr="00C92F30">
        <w:t>n</w:t>
      </w:r>
      <w:r w:rsidRPr="00C92F30">
        <w:t xml:space="preserve">terprétation sociale », </w:t>
      </w:r>
      <w:r w:rsidRPr="00C92F30">
        <w:rPr>
          <w:i/>
        </w:rPr>
        <w:t xml:space="preserve">Ethnologies. Haïti face au passé, </w:t>
      </w:r>
      <w:r w:rsidRPr="00C92F30">
        <w:t>vol. 28, n</w:t>
      </w:r>
      <w:r w:rsidRPr="00C92F30">
        <w:rPr>
          <w:vertAlign w:val="superscript"/>
        </w:rPr>
        <w:t>o</w:t>
      </w:r>
      <w:r w:rsidRPr="00C92F30">
        <w:t> 1</w:t>
      </w:r>
      <w:r w:rsidRPr="00C92F30">
        <w:rPr>
          <w:i/>
        </w:rPr>
        <w:t xml:space="preserve">, </w:t>
      </w:r>
      <w:r w:rsidRPr="00C92F30">
        <w:t>2006, p. 219.</w:t>
      </w:r>
    </w:p>
  </w:footnote>
  <w:footnote w:id="108">
    <w:p w:rsidR="004C50DC" w:rsidRDefault="004C50DC">
      <w:pPr>
        <w:pStyle w:val="Notedebasdepage"/>
      </w:pPr>
      <w:r>
        <w:rPr>
          <w:rStyle w:val="Appelnotedebasdep"/>
        </w:rPr>
        <w:footnoteRef/>
      </w:r>
      <w:r>
        <w:t xml:space="preserve"> </w:t>
      </w:r>
      <w:r>
        <w:tab/>
      </w:r>
      <w:r w:rsidRPr="00A86947">
        <w:rPr>
          <w:i/>
        </w:rPr>
        <w:t>Ibid</w:t>
      </w:r>
      <w:r w:rsidRPr="00C92F30">
        <w:t>.</w:t>
      </w:r>
    </w:p>
  </w:footnote>
  <w:footnote w:id="109">
    <w:p w:rsidR="004C50DC" w:rsidRDefault="004C50DC">
      <w:pPr>
        <w:pStyle w:val="Notedebasdepage"/>
      </w:pPr>
      <w:r>
        <w:rPr>
          <w:rStyle w:val="Appelnotedebasdep"/>
        </w:rPr>
        <w:footnoteRef/>
      </w:r>
      <w:r>
        <w:t xml:space="preserve"> </w:t>
      </w:r>
      <w:r>
        <w:tab/>
      </w:r>
      <w:r w:rsidRPr="00C92F30">
        <w:rPr>
          <w:lang w:val="fr-FR"/>
        </w:rPr>
        <w:t xml:space="preserve">Laënnec Hurbon, </w:t>
      </w:r>
      <w:hyperlink r:id="rId15" w:history="1">
        <w:r w:rsidRPr="00C92F30">
          <w:rPr>
            <w:rStyle w:val="Lienhypertexte"/>
            <w:i/>
            <w:lang w:val="fr-FR"/>
          </w:rPr>
          <w:t>Comprendre Haïti</w:t>
        </w:r>
      </w:hyperlink>
      <w:r w:rsidRPr="00C92F30">
        <w:rPr>
          <w:lang w:val="fr-FR"/>
        </w:rPr>
        <w:t>..., op. cit., p</w:t>
      </w:r>
      <w:r>
        <w:rPr>
          <w:lang w:val="fr-FR"/>
        </w:rPr>
        <w:t>p</w:t>
      </w:r>
      <w:r w:rsidRPr="00C92F30">
        <w:rPr>
          <w:lang w:val="fr-FR"/>
        </w:rPr>
        <w:t>. 95-96</w:t>
      </w:r>
    </w:p>
  </w:footnote>
  <w:footnote w:id="110">
    <w:p w:rsidR="004C50DC" w:rsidRDefault="004C50DC">
      <w:pPr>
        <w:pStyle w:val="Notedebasdepage"/>
      </w:pPr>
      <w:r w:rsidRPr="00A86947">
        <w:rPr>
          <w:rStyle w:val="Appelnotedebasdep"/>
        </w:rPr>
        <w:footnoteRef/>
      </w:r>
      <w:r w:rsidRPr="00A86947">
        <w:rPr>
          <w:sz w:val="20"/>
        </w:rPr>
        <w:t xml:space="preserve"> </w:t>
      </w:r>
      <w:r>
        <w:tab/>
      </w:r>
      <w:r w:rsidRPr="00C92F30">
        <w:rPr>
          <w:lang w:val="fr-FR"/>
        </w:rPr>
        <w:t>Sur ce sujet, voir Mahdi  Elmandjra, « La décolonisation culturelle, un d</w:t>
      </w:r>
      <w:r w:rsidRPr="00C92F30">
        <w:rPr>
          <w:lang w:val="fr-FR"/>
        </w:rPr>
        <w:t>é</w:t>
      </w:r>
      <w:r w:rsidRPr="00C92F30">
        <w:rPr>
          <w:lang w:val="fr-FR"/>
        </w:rPr>
        <w:t>fi majeur pour le XXI</w:t>
      </w:r>
      <w:r w:rsidRPr="00C92F30">
        <w:rPr>
          <w:vertAlign w:val="superscript"/>
          <w:lang w:val="fr-FR"/>
        </w:rPr>
        <w:t>e</w:t>
      </w:r>
      <w:r w:rsidRPr="00C92F30">
        <w:rPr>
          <w:lang w:val="fr-FR"/>
        </w:rPr>
        <w:t xml:space="preserve"> siècle », dans </w:t>
      </w:r>
      <w:r w:rsidRPr="00C92F30">
        <w:rPr>
          <w:i/>
          <w:lang w:val="fr-FR"/>
        </w:rPr>
        <w:t>Futuribles</w:t>
      </w:r>
      <w:r w:rsidRPr="00C92F30">
        <w:rPr>
          <w:lang w:val="fr-FR"/>
        </w:rPr>
        <w:t>,  n</w:t>
      </w:r>
      <w:r w:rsidRPr="00C92F30">
        <w:rPr>
          <w:vertAlign w:val="superscript"/>
          <w:lang w:val="fr-FR"/>
        </w:rPr>
        <w:t>o</w:t>
      </w:r>
      <w:r w:rsidRPr="00C92F30">
        <w:rPr>
          <w:lang w:val="fr-FR"/>
        </w:rPr>
        <w:t xml:space="preserve"> 147, Paris, octobre 1990, et du même auteur, « Post-colonialisme », </w:t>
      </w:r>
      <w:r w:rsidRPr="00C92F30">
        <w:rPr>
          <w:i/>
          <w:lang w:val="fr-FR"/>
        </w:rPr>
        <w:t>L’Opinion</w:t>
      </w:r>
      <w:r w:rsidRPr="00C92F30">
        <w:rPr>
          <w:lang w:val="fr-FR"/>
        </w:rPr>
        <w:t xml:space="preserve">, 2 octobre 1994.  </w:t>
      </w:r>
    </w:p>
  </w:footnote>
  <w:footnote w:id="111">
    <w:p w:rsidR="004C50DC" w:rsidRPr="00C92F30" w:rsidRDefault="004C50DC" w:rsidP="004C50DC">
      <w:pPr>
        <w:pStyle w:val="Notedebasdepage"/>
        <w:rPr>
          <w:lang w:val="en-US"/>
        </w:rPr>
      </w:pPr>
      <w:r w:rsidRPr="00A86947">
        <w:rPr>
          <w:rStyle w:val="Appelnotedebasdep"/>
        </w:rPr>
        <w:footnoteRef/>
      </w:r>
      <w:r>
        <w:rPr>
          <w:lang w:val="en-US"/>
        </w:rPr>
        <w:tab/>
      </w:r>
      <w:r w:rsidRPr="00C92F30">
        <w:rPr>
          <w:lang w:val="en-US"/>
        </w:rPr>
        <w:t xml:space="preserve">Homi K. Bhabha, </w:t>
      </w:r>
      <w:r w:rsidRPr="00C92F30">
        <w:rPr>
          <w:i/>
          <w:lang w:val="en-US"/>
        </w:rPr>
        <w:t>The location of culture</w:t>
      </w:r>
      <w:r w:rsidRPr="00C92F30">
        <w:rPr>
          <w:lang w:val="en-US"/>
        </w:rPr>
        <w:t>, Routledge, Londres et New York, 1994, p. 171.</w:t>
      </w:r>
    </w:p>
  </w:footnote>
  <w:footnote w:id="112">
    <w:p w:rsidR="004C50DC" w:rsidRPr="00C92F30" w:rsidRDefault="004C50DC" w:rsidP="004C50DC">
      <w:pPr>
        <w:pStyle w:val="Notedebasdepage"/>
      </w:pPr>
      <w:r w:rsidRPr="00A86947">
        <w:rPr>
          <w:rStyle w:val="Appelnotedebasdep"/>
        </w:rPr>
        <w:footnoteRef/>
      </w:r>
      <w:r>
        <w:rPr>
          <w:rFonts w:eastAsia="Calibri"/>
          <w:lang w:eastAsia="en-CA"/>
        </w:rPr>
        <w:tab/>
      </w:r>
      <w:r w:rsidRPr="00C92F30">
        <w:rPr>
          <w:rFonts w:eastAsia="Calibri"/>
          <w:lang w:eastAsia="en-CA"/>
        </w:rPr>
        <w:t xml:space="preserve">Achille Mbembe, « Qu’est-ce que la pensée postcoloniale ? », </w:t>
      </w:r>
      <w:r w:rsidRPr="00C92F30">
        <w:rPr>
          <w:rFonts w:eastAsia="Calibri"/>
          <w:i/>
          <w:iCs/>
          <w:lang w:eastAsia="en-CA"/>
        </w:rPr>
        <w:t>Esprit</w:t>
      </w:r>
      <w:r w:rsidRPr="00C92F30">
        <w:rPr>
          <w:rFonts w:eastAsia="Calibri"/>
          <w:lang w:eastAsia="en-CA"/>
        </w:rPr>
        <w:t>, n</w:t>
      </w:r>
      <w:r w:rsidRPr="00C92F30">
        <w:rPr>
          <w:rFonts w:eastAsia="Calibri"/>
          <w:vertAlign w:val="superscript"/>
          <w:lang w:eastAsia="en-CA"/>
        </w:rPr>
        <w:t>o</w:t>
      </w:r>
      <w:r w:rsidRPr="00C92F30">
        <w:rPr>
          <w:rFonts w:eastAsia="Calibri"/>
          <w:lang w:eastAsia="en-CA"/>
        </w:rPr>
        <w:t> 330, 2006, p.131.</w:t>
      </w:r>
    </w:p>
  </w:footnote>
  <w:footnote w:id="113">
    <w:p w:rsidR="004C50DC" w:rsidRPr="00C92F30" w:rsidRDefault="004C50DC" w:rsidP="004C50DC">
      <w:pPr>
        <w:pStyle w:val="Notedebasdepage"/>
      </w:pPr>
      <w:r w:rsidRPr="00A86947">
        <w:rPr>
          <w:rStyle w:val="Appelnotedebasdep"/>
        </w:rPr>
        <w:footnoteRef/>
      </w:r>
      <w:r>
        <w:tab/>
      </w:r>
      <w:r w:rsidRPr="00C92F30">
        <w:t>Patrick Sultan, « Atelier de théorie littéraire. Théorie littéraire postcoloniale », en ligne, http://www.fabula.org/atelier.php?, consulté le 27 mars 2015.</w:t>
      </w:r>
    </w:p>
  </w:footnote>
  <w:footnote w:id="114">
    <w:p w:rsidR="004C50DC" w:rsidRDefault="004C50DC">
      <w:pPr>
        <w:pStyle w:val="Notedebasdepage"/>
      </w:pPr>
      <w:r>
        <w:rPr>
          <w:rStyle w:val="Appelnotedebasdep"/>
        </w:rPr>
        <w:footnoteRef/>
      </w:r>
      <w:r>
        <w:t xml:space="preserve"> </w:t>
      </w:r>
      <w:r>
        <w:tab/>
      </w:r>
      <w:r w:rsidRPr="00C92F30">
        <w:t>Voir les analyses de Jean-Marc Moura</w:t>
      </w:r>
      <w:r w:rsidRPr="00C92F30">
        <w:rPr>
          <w:bCs/>
        </w:rPr>
        <w:t xml:space="preserve">, </w:t>
      </w:r>
      <w:r w:rsidRPr="00C92F30">
        <w:rPr>
          <w:bCs/>
          <w:i/>
          <w:iCs/>
        </w:rPr>
        <w:t xml:space="preserve">Littératures francophones et théorie postcoloniale, </w:t>
      </w:r>
      <w:r w:rsidRPr="00C92F30">
        <w:rPr>
          <w:bCs/>
        </w:rPr>
        <w:t>Paris, PUF, 1999.</w:t>
      </w:r>
      <w:r w:rsidRPr="00C92F30">
        <w:t xml:space="preserve">  Lire aussi Patrick Sultan, « Atelier de thé</w:t>
      </w:r>
      <w:r w:rsidRPr="00C92F30">
        <w:t>o</w:t>
      </w:r>
      <w:r w:rsidRPr="00C92F30">
        <w:t xml:space="preserve">rie littéraire… », op. cit. ; sans oublier Jean-Loup Amselle, </w:t>
      </w:r>
      <w:r w:rsidRPr="00C92F30">
        <w:rPr>
          <w:i/>
        </w:rPr>
        <w:t>L’Occident décr</w:t>
      </w:r>
      <w:r w:rsidRPr="00C92F30">
        <w:rPr>
          <w:i/>
        </w:rPr>
        <w:t>o</w:t>
      </w:r>
      <w:r w:rsidRPr="00C92F30">
        <w:rPr>
          <w:i/>
        </w:rPr>
        <w:t>ché. Enquête sur les postcolonialismes</w:t>
      </w:r>
      <w:r w:rsidRPr="00C92F30">
        <w:t>, Paris, Stock, 2008.</w:t>
      </w:r>
    </w:p>
  </w:footnote>
  <w:footnote w:id="115">
    <w:p w:rsidR="004C50DC" w:rsidRPr="00C92F30" w:rsidRDefault="004C50DC" w:rsidP="004C50DC">
      <w:pPr>
        <w:pStyle w:val="Notedebasdepage"/>
      </w:pPr>
      <w:r w:rsidRPr="00A86947">
        <w:rPr>
          <w:rStyle w:val="Appelnotedebasdep"/>
        </w:rPr>
        <w:footnoteRef/>
      </w:r>
      <w:r>
        <w:tab/>
      </w:r>
      <w:r w:rsidRPr="00C92F30">
        <w:t>Christian Ghasarian, op. cit., p. 234.</w:t>
      </w:r>
    </w:p>
  </w:footnote>
  <w:footnote w:id="116">
    <w:p w:rsidR="004C50DC" w:rsidRDefault="004C50DC">
      <w:pPr>
        <w:pStyle w:val="Notedebasdepage"/>
      </w:pPr>
      <w:r>
        <w:rPr>
          <w:rStyle w:val="Appelnotedebasdep"/>
        </w:rPr>
        <w:footnoteRef/>
      </w:r>
      <w:r>
        <w:t xml:space="preserve"> </w:t>
      </w:r>
      <w:r>
        <w:tab/>
      </w:r>
      <w:r w:rsidRPr="00C92F30">
        <w:t xml:space="preserve">Lire Frantz Fanon, </w:t>
      </w:r>
      <w:hyperlink r:id="rId16" w:history="1">
        <w:r w:rsidRPr="00C92F30">
          <w:rPr>
            <w:rStyle w:val="Lienhypertexte"/>
            <w:i/>
          </w:rPr>
          <w:t>Peau noire, masques blancs</w:t>
        </w:r>
      </w:hyperlink>
      <w:r w:rsidRPr="00C92F30">
        <w:t xml:space="preserve">, Paris, Seuil, 1952 ; </w:t>
      </w:r>
      <w:hyperlink r:id="rId17" w:history="1">
        <w:r w:rsidRPr="00C92F30">
          <w:rPr>
            <w:rStyle w:val="Lienhypertexte"/>
            <w:i/>
          </w:rPr>
          <w:t>Les Da</w:t>
        </w:r>
        <w:r w:rsidRPr="00C92F30">
          <w:rPr>
            <w:rStyle w:val="Lienhypertexte"/>
            <w:i/>
          </w:rPr>
          <w:t>m</w:t>
        </w:r>
        <w:r w:rsidRPr="00C92F30">
          <w:rPr>
            <w:rStyle w:val="Lienhypertexte"/>
            <w:i/>
          </w:rPr>
          <w:t>nés de la terre</w:t>
        </w:r>
      </w:hyperlink>
      <w:r w:rsidRPr="00C92F30">
        <w:t>, Paris, Éditions Maspero, 1961.</w:t>
      </w:r>
    </w:p>
  </w:footnote>
  <w:footnote w:id="117">
    <w:p w:rsidR="004C50DC" w:rsidRDefault="004C50DC">
      <w:pPr>
        <w:pStyle w:val="Notedebasdepage"/>
      </w:pPr>
      <w:r>
        <w:rPr>
          <w:rStyle w:val="Appelnotedebasdep"/>
        </w:rPr>
        <w:footnoteRef/>
      </w:r>
      <w:r>
        <w:t xml:space="preserve"> </w:t>
      </w:r>
      <w:r>
        <w:tab/>
      </w:r>
      <w:r w:rsidRPr="00C92F30">
        <w:t xml:space="preserve">Les travaux d’Edward Saïd sur la production de « l’Orient » par l’Occident ont initié l’historiographie des études postcoloniales ; Edward Saïd, </w:t>
      </w:r>
      <w:r w:rsidRPr="00C92F30">
        <w:rPr>
          <w:i/>
        </w:rPr>
        <w:t xml:space="preserve">L’Orientalisme. L’Orient créé par l’Occident, </w:t>
      </w:r>
      <w:r w:rsidRPr="00C92F30">
        <w:t>Paris, Le Seuil, 1980 ; voir au</w:t>
      </w:r>
      <w:r w:rsidRPr="00C92F30">
        <w:t>s</w:t>
      </w:r>
      <w:r w:rsidRPr="00C92F30">
        <w:t xml:space="preserve">si Homi K. Bhabha, </w:t>
      </w:r>
      <w:r w:rsidRPr="00C92F30">
        <w:rPr>
          <w:i/>
        </w:rPr>
        <w:t>Les lieux de la culture. Une théorie postcoloniale</w:t>
      </w:r>
      <w:r w:rsidRPr="00C92F30">
        <w:t>, Paris, Payot, 2007.</w:t>
      </w:r>
    </w:p>
  </w:footnote>
  <w:footnote w:id="118">
    <w:p w:rsidR="004C50DC" w:rsidRPr="00C92F30" w:rsidRDefault="004C50DC" w:rsidP="004C50DC">
      <w:pPr>
        <w:pStyle w:val="Notedebasdepage"/>
      </w:pPr>
      <w:r w:rsidRPr="00A86947">
        <w:rPr>
          <w:rStyle w:val="Appelnotedebasdep"/>
        </w:rPr>
        <w:footnoteRef/>
      </w:r>
      <w:r>
        <w:tab/>
      </w:r>
      <w:r w:rsidRPr="00C92F30">
        <w:t xml:space="preserve">Antonio Gramsci, </w:t>
      </w:r>
      <w:r w:rsidRPr="00C92F30">
        <w:rPr>
          <w:i/>
        </w:rPr>
        <w:t>op. cit.,</w:t>
      </w:r>
      <w:r w:rsidRPr="00C92F30">
        <w:t xml:space="preserve"> p. 119</w:t>
      </w:r>
      <w:r w:rsidRPr="00C92F30">
        <w:rPr>
          <w:rStyle w:val="spipnoteref"/>
        </w:rPr>
        <w:t>.</w:t>
      </w:r>
    </w:p>
  </w:footnote>
  <w:footnote w:id="119">
    <w:p w:rsidR="004C50DC" w:rsidRDefault="004C50DC">
      <w:pPr>
        <w:pStyle w:val="Notedebasdepage"/>
      </w:pPr>
      <w:r>
        <w:rPr>
          <w:rStyle w:val="Appelnotedebasdep"/>
        </w:rPr>
        <w:footnoteRef/>
      </w:r>
      <w:r>
        <w:t xml:space="preserve"> </w:t>
      </w:r>
      <w:r>
        <w:tab/>
      </w:r>
      <w:r w:rsidRPr="00A86947">
        <w:rPr>
          <w:i/>
          <w:lang w:val="en-US"/>
        </w:rPr>
        <w:t>Ibid</w:t>
      </w:r>
      <w:r w:rsidRPr="00C92F30">
        <w:rPr>
          <w:lang w:val="en-US"/>
        </w:rPr>
        <w:t>.</w:t>
      </w:r>
    </w:p>
  </w:footnote>
  <w:footnote w:id="120">
    <w:p w:rsidR="004C50DC" w:rsidRPr="00C92F30" w:rsidRDefault="004C50DC" w:rsidP="004C50DC">
      <w:pPr>
        <w:pStyle w:val="Notedebasdepage"/>
        <w:rPr>
          <w:lang w:val="en-US"/>
        </w:rPr>
      </w:pPr>
      <w:r w:rsidRPr="00A86947">
        <w:rPr>
          <w:rStyle w:val="Appelnotedebasdep"/>
        </w:rPr>
        <w:footnoteRef/>
      </w:r>
      <w:r>
        <w:rPr>
          <w:lang w:val="en-US"/>
        </w:rPr>
        <w:tab/>
      </w:r>
      <w:r w:rsidRPr="00C92F30">
        <w:rPr>
          <w:lang w:val="en-US"/>
        </w:rPr>
        <w:t>Christian Ghasarian, op. cit., p. 234.</w:t>
      </w:r>
    </w:p>
  </w:footnote>
  <w:footnote w:id="121">
    <w:p w:rsidR="004C50DC" w:rsidRPr="00C92F30" w:rsidRDefault="004C50DC" w:rsidP="004C50DC">
      <w:pPr>
        <w:pStyle w:val="Notedebasdepage"/>
      </w:pPr>
      <w:r w:rsidRPr="00A86947">
        <w:rPr>
          <w:rStyle w:val="Appelnotedebasdep"/>
        </w:rPr>
        <w:footnoteRef/>
      </w:r>
      <w:r>
        <w:tab/>
      </w:r>
      <w:r w:rsidRPr="00C92F30">
        <w:t xml:space="preserve">Jacques Pouchepadass, « Que reste-t-il des Subaltern Studies ? », </w:t>
      </w:r>
      <w:r w:rsidRPr="00C92F30">
        <w:rPr>
          <w:i/>
        </w:rPr>
        <w:t>Critique i</w:t>
      </w:r>
      <w:r w:rsidRPr="00C92F30">
        <w:rPr>
          <w:i/>
        </w:rPr>
        <w:t>n</w:t>
      </w:r>
      <w:r w:rsidRPr="00C92F30">
        <w:rPr>
          <w:i/>
        </w:rPr>
        <w:t xml:space="preserve">ternationale, </w:t>
      </w:r>
      <w:r w:rsidRPr="00C92F30">
        <w:t>n</w:t>
      </w:r>
      <w:r w:rsidRPr="00C92F30">
        <w:rPr>
          <w:vertAlign w:val="superscript"/>
        </w:rPr>
        <w:t>o</w:t>
      </w:r>
      <w:r w:rsidRPr="00C92F30">
        <w:t> 24, juillet 2004, p. 68.</w:t>
      </w:r>
    </w:p>
  </w:footnote>
  <w:footnote w:id="122">
    <w:p w:rsidR="004C50DC" w:rsidRDefault="004C50DC">
      <w:pPr>
        <w:pStyle w:val="Notedebasdepage"/>
      </w:pPr>
      <w:r>
        <w:rPr>
          <w:rStyle w:val="Appelnotedebasdep"/>
        </w:rPr>
        <w:footnoteRef/>
      </w:r>
      <w:r>
        <w:t xml:space="preserve"> </w:t>
      </w:r>
      <w:r>
        <w:tab/>
      </w:r>
      <w:r w:rsidRPr="00C92F30">
        <w:rPr>
          <w:lang w:val="fr-FR"/>
        </w:rPr>
        <w:t xml:space="preserve">À ce titre, voir Christine Chivallon, « La quête pathétique des postcolonial studies ou la révolution manquée », </w:t>
      </w:r>
      <w:r w:rsidRPr="00C92F30">
        <w:rPr>
          <w:i/>
          <w:lang w:val="fr-FR"/>
        </w:rPr>
        <w:t>Mouvements</w:t>
      </w:r>
      <w:r w:rsidRPr="00C92F30">
        <w:rPr>
          <w:lang w:val="fr-FR"/>
        </w:rPr>
        <w:t>, op. cit.</w:t>
      </w:r>
    </w:p>
  </w:footnote>
  <w:footnote w:id="123">
    <w:p w:rsidR="004C50DC" w:rsidRDefault="004C50DC">
      <w:pPr>
        <w:pStyle w:val="Notedebasdepage"/>
      </w:pPr>
      <w:r>
        <w:rPr>
          <w:rStyle w:val="Appelnotedebasdep"/>
        </w:rPr>
        <w:footnoteRef/>
      </w:r>
      <w:r>
        <w:t xml:space="preserve"> </w:t>
      </w:r>
      <w:r>
        <w:tab/>
      </w:r>
      <w:r w:rsidRPr="00C92F30">
        <w:rPr>
          <w:lang w:val="fr-FR"/>
        </w:rPr>
        <w:t xml:space="preserve">Achille Mbembe, « Qu’est-ce que la pensée postcoloniale ? », </w:t>
      </w:r>
      <w:r w:rsidRPr="00C92F30">
        <w:rPr>
          <w:i/>
          <w:lang w:val="fr-FR"/>
        </w:rPr>
        <w:t>Esprit</w:t>
      </w:r>
      <w:r w:rsidRPr="00C92F30">
        <w:rPr>
          <w:lang w:val="fr-FR"/>
        </w:rPr>
        <w:t>, n</w:t>
      </w:r>
      <w:r w:rsidRPr="00C92F30">
        <w:rPr>
          <w:vertAlign w:val="superscript"/>
          <w:lang w:val="fr-FR"/>
        </w:rPr>
        <w:t>o</w:t>
      </w:r>
      <w:r w:rsidRPr="00C92F30">
        <w:rPr>
          <w:lang w:val="fr-FR"/>
        </w:rPr>
        <w:t> 330, 2006, p. 131, cité par Christine Chivallon, op. cit., p</w:t>
      </w:r>
      <w:r>
        <w:rPr>
          <w:lang w:val="fr-FR"/>
        </w:rPr>
        <w:t>p</w:t>
      </w:r>
      <w:r w:rsidRPr="00C92F30">
        <w:rPr>
          <w:lang w:val="fr-FR"/>
        </w:rPr>
        <w:t>. 32-39.</w:t>
      </w:r>
    </w:p>
  </w:footnote>
  <w:footnote w:id="124">
    <w:p w:rsidR="004C50DC" w:rsidRDefault="004C50DC">
      <w:pPr>
        <w:pStyle w:val="Notedebasdepage"/>
      </w:pPr>
      <w:r>
        <w:rPr>
          <w:rStyle w:val="Appelnotedebasdep"/>
        </w:rPr>
        <w:footnoteRef/>
      </w:r>
      <w:r>
        <w:t xml:space="preserve"> </w:t>
      </w:r>
      <w:r>
        <w:tab/>
      </w:r>
      <w:r w:rsidRPr="00C92F30">
        <w:rPr>
          <w:lang w:val="fr-FR"/>
        </w:rPr>
        <w:t>L’ethnocentrisme « voit le monde et sa diversité à travers le prisme privilégié et plus ou moins exclusif des idées, des intérêts et des archétypes de notre communauté d’origine, sans regards critiques sur celle-ci » ; Pierre-André T</w:t>
      </w:r>
      <w:r w:rsidRPr="00C92F30">
        <w:rPr>
          <w:lang w:val="fr-FR"/>
        </w:rPr>
        <w:t>a</w:t>
      </w:r>
      <w:r w:rsidRPr="00C92F30">
        <w:rPr>
          <w:lang w:val="fr-FR"/>
        </w:rPr>
        <w:t xml:space="preserve">guieff (dir.), </w:t>
      </w:r>
      <w:r w:rsidRPr="00C92F30">
        <w:rPr>
          <w:i/>
          <w:lang w:val="fr-FR"/>
        </w:rPr>
        <w:t>Dictionnaire historique et critique du racisme</w:t>
      </w:r>
      <w:r w:rsidRPr="00C92F30">
        <w:rPr>
          <w:lang w:val="fr-FR"/>
        </w:rPr>
        <w:t>, Paris, PUF, 2013.</w:t>
      </w:r>
    </w:p>
  </w:footnote>
  <w:footnote w:id="125">
    <w:p w:rsidR="004C50DC" w:rsidRDefault="004C50DC">
      <w:pPr>
        <w:pStyle w:val="Notedebasdepage"/>
      </w:pPr>
      <w:r>
        <w:rPr>
          <w:rStyle w:val="Appelnotedebasdep"/>
        </w:rPr>
        <w:footnoteRef/>
      </w:r>
      <w:r>
        <w:t xml:space="preserve"> </w:t>
      </w:r>
      <w:r>
        <w:tab/>
      </w:r>
      <w:r w:rsidRPr="00C92F30">
        <w:rPr>
          <w:lang w:val="fr-FR"/>
        </w:rPr>
        <w:t>Christine</w:t>
      </w:r>
      <w:r>
        <w:rPr>
          <w:lang w:val="fr-FR"/>
        </w:rPr>
        <w:t xml:space="preserve"> </w:t>
      </w:r>
      <w:r w:rsidRPr="00C92F30">
        <w:rPr>
          <w:lang w:val="fr-FR"/>
        </w:rPr>
        <w:t>Chivallon</w:t>
      </w:r>
      <w:r w:rsidRPr="00C92F30">
        <w:rPr>
          <w:rFonts w:eastAsia="Calibri"/>
          <w:lang w:val="fr-FR" w:eastAsia="en-CA"/>
        </w:rPr>
        <w:t xml:space="preserve"> se demande si l’afrocentrisme ne serait pas le « discours du paroxysme</w:t>
      </w:r>
      <w:r w:rsidRPr="00C92F30">
        <w:rPr>
          <w:lang w:val="fr-FR"/>
        </w:rPr>
        <w:t>, du chaos et de la caricature de modèles “scientif</w:t>
      </w:r>
      <w:r w:rsidRPr="00C92F30">
        <w:rPr>
          <w:lang w:val="fr-FR"/>
        </w:rPr>
        <w:t>i</w:t>
      </w:r>
      <w:r w:rsidRPr="00C92F30">
        <w:rPr>
          <w:lang w:val="fr-FR"/>
        </w:rPr>
        <w:t>ques” ? »</w:t>
      </w:r>
      <w:r w:rsidRPr="00C92F30">
        <w:rPr>
          <w:rFonts w:eastAsia="Calibri"/>
          <w:lang w:val="fr-FR" w:eastAsia="en-CA"/>
        </w:rPr>
        <w:t xml:space="preserve">, </w:t>
      </w:r>
      <w:r w:rsidRPr="00C92F30">
        <w:rPr>
          <w:rFonts w:eastAsia="Calibri"/>
          <w:i/>
          <w:lang w:val="fr-FR" w:eastAsia="en-CA"/>
        </w:rPr>
        <w:t>op. cit</w:t>
      </w:r>
      <w:r w:rsidRPr="00C92F30">
        <w:rPr>
          <w:rFonts w:eastAsia="Calibri"/>
          <w:lang w:val="fr-FR" w:eastAsia="en-CA"/>
        </w:rPr>
        <w:t xml:space="preserve">., </w:t>
      </w:r>
      <w:r w:rsidRPr="00C92F30">
        <w:rPr>
          <w:lang w:val="fr-FR"/>
        </w:rPr>
        <w:t>p</w:t>
      </w:r>
      <w:r>
        <w:rPr>
          <w:lang w:val="fr-FR"/>
        </w:rPr>
        <w:t>p</w:t>
      </w:r>
      <w:r w:rsidRPr="00C92F30">
        <w:rPr>
          <w:lang w:val="fr-FR"/>
        </w:rPr>
        <w:t>. 32-39.</w:t>
      </w:r>
    </w:p>
  </w:footnote>
  <w:footnote w:id="126">
    <w:p w:rsidR="004C50DC" w:rsidRPr="00C92F30" w:rsidRDefault="004C50DC" w:rsidP="004C50DC">
      <w:pPr>
        <w:pStyle w:val="Notedebasdepage"/>
      </w:pPr>
      <w:r w:rsidRPr="00A86947">
        <w:rPr>
          <w:rStyle w:val="Appelnotedebasdep"/>
        </w:rPr>
        <w:footnoteRef/>
      </w:r>
      <w:r>
        <w:rPr>
          <w:rFonts w:eastAsia="Calibri"/>
          <w:lang w:eastAsia="en-CA"/>
        </w:rPr>
        <w:tab/>
      </w:r>
      <w:r w:rsidRPr="00C92F30">
        <w:rPr>
          <w:rFonts w:eastAsia="Calibri"/>
          <w:lang w:eastAsia="en-CA"/>
        </w:rPr>
        <w:t xml:space="preserve">James Clifford, « Diasporas », </w:t>
      </w:r>
      <w:r w:rsidRPr="00C92F30">
        <w:rPr>
          <w:rFonts w:eastAsia="Calibri"/>
          <w:i/>
          <w:iCs/>
          <w:lang w:eastAsia="en-CA"/>
        </w:rPr>
        <w:t>Cultural Anthropology</w:t>
      </w:r>
      <w:r w:rsidRPr="00C92F30">
        <w:rPr>
          <w:rFonts w:eastAsia="Calibri"/>
          <w:lang w:eastAsia="en-CA"/>
        </w:rPr>
        <w:t>, vol. 9, n</w:t>
      </w:r>
      <w:r w:rsidRPr="00C92F30">
        <w:rPr>
          <w:rFonts w:eastAsia="Calibri"/>
          <w:vertAlign w:val="superscript"/>
          <w:lang w:eastAsia="en-CA"/>
        </w:rPr>
        <w:t>o</w:t>
      </w:r>
      <w:r w:rsidRPr="00C92F30">
        <w:rPr>
          <w:rFonts w:eastAsia="Calibri"/>
          <w:lang w:eastAsia="en-CA"/>
        </w:rPr>
        <w:t xml:space="preserve"> 3, 1994, p. 307. </w:t>
      </w:r>
    </w:p>
  </w:footnote>
  <w:footnote w:id="127">
    <w:p w:rsidR="004C50DC" w:rsidRDefault="004C50DC">
      <w:pPr>
        <w:pStyle w:val="Notedebasdepage"/>
      </w:pPr>
      <w:r w:rsidRPr="00A86947">
        <w:rPr>
          <w:rStyle w:val="Appelnotedebasdep"/>
        </w:rPr>
        <w:footnoteRef/>
      </w:r>
      <w:r>
        <w:t xml:space="preserve"> </w:t>
      </w:r>
      <w:r>
        <w:tab/>
      </w:r>
      <w:r w:rsidRPr="00C92F30">
        <w:t xml:space="preserve">Aloïs Riegl, </w:t>
      </w:r>
      <w:r w:rsidRPr="00C92F30">
        <w:rPr>
          <w:i/>
        </w:rPr>
        <w:t>Le Culte moderne des monuments. Son essence et sa genèse</w:t>
      </w:r>
      <w:r w:rsidRPr="00C92F30">
        <w:t>, tr</w:t>
      </w:r>
      <w:r w:rsidRPr="00C92F30">
        <w:t>a</w:t>
      </w:r>
      <w:r w:rsidRPr="00C92F30">
        <w:t>duit de l’allemand par Daniel Wieczorek [</w:t>
      </w:r>
      <w:r w:rsidRPr="00C92F30">
        <w:rPr>
          <w:i/>
        </w:rPr>
        <w:t>Der Moderne Denkmalkultus</w:t>
      </w:r>
      <w:r w:rsidRPr="00C92F30">
        <w:t>, Vie</w:t>
      </w:r>
      <w:r w:rsidRPr="00C92F30">
        <w:t>n</w:t>
      </w:r>
      <w:r w:rsidRPr="00C92F30">
        <w:t>ne et Leipzig, 1903], Paris, Seuil, 1984, p. 43.</w:t>
      </w:r>
    </w:p>
  </w:footnote>
  <w:footnote w:id="128">
    <w:p w:rsidR="004C50DC" w:rsidRPr="00C92F30" w:rsidRDefault="004C50DC" w:rsidP="004C50DC">
      <w:pPr>
        <w:pStyle w:val="Notedebasdepage"/>
      </w:pPr>
      <w:r w:rsidRPr="00A86947">
        <w:rPr>
          <w:rStyle w:val="Appelnotedebasdep"/>
        </w:rPr>
        <w:footnoteRef/>
      </w:r>
      <w:r>
        <w:tab/>
      </w:r>
      <w:r w:rsidRPr="00C92F30">
        <w:t xml:space="preserve">Lire Jean Davallon, </w:t>
      </w:r>
      <w:r w:rsidRPr="00A86947">
        <w:rPr>
          <w:i/>
        </w:rPr>
        <w:t>Le don du patrimoine. Une approche communicationnelle de la patrimonialisation</w:t>
      </w:r>
      <w:r w:rsidRPr="00C92F30">
        <w:t>, Paris, Lavoisier, 2006, p. 63.</w:t>
      </w:r>
    </w:p>
  </w:footnote>
  <w:footnote w:id="129">
    <w:p w:rsidR="004C50DC" w:rsidRPr="00C92F30" w:rsidRDefault="004C50DC" w:rsidP="004C50DC">
      <w:pPr>
        <w:pStyle w:val="Notedebasdepage"/>
      </w:pPr>
      <w:r w:rsidRPr="00A86947">
        <w:rPr>
          <w:rStyle w:val="Appelnotedebasdep"/>
        </w:rPr>
        <w:footnoteRef/>
      </w:r>
      <w:r>
        <w:tab/>
      </w:r>
      <w:r w:rsidRPr="00C92F30">
        <w:t xml:space="preserve">Aloïs Riegl, </w:t>
      </w:r>
      <w:r w:rsidRPr="00A86947">
        <w:rPr>
          <w:i/>
        </w:rPr>
        <w:t>op. cit</w:t>
      </w:r>
      <w:r w:rsidRPr="00C92F30">
        <w:t>., p. 45.</w:t>
      </w:r>
    </w:p>
  </w:footnote>
  <w:footnote w:id="130">
    <w:p w:rsidR="004C50DC" w:rsidRPr="00C92F30" w:rsidRDefault="004C50DC" w:rsidP="004C50DC">
      <w:pPr>
        <w:pStyle w:val="Notedebasdepage"/>
        <w:rPr>
          <w:lang w:val="en-US"/>
        </w:rPr>
      </w:pPr>
      <w:r w:rsidRPr="00A86947">
        <w:rPr>
          <w:rStyle w:val="Appelnotedebasdep"/>
        </w:rPr>
        <w:footnoteRef/>
      </w:r>
      <w:r>
        <w:rPr>
          <w:lang w:val="en-US"/>
        </w:rPr>
        <w:tab/>
      </w:r>
      <w:r w:rsidRPr="00C92F30">
        <w:rPr>
          <w:lang w:val="en-US"/>
        </w:rPr>
        <w:t xml:space="preserve">Daniel Miller, </w:t>
      </w:r>
      <w:r w:rsidRPr="00C92F30">
        <w:rPr>
          <w:i/>
          <w:lang w:val="en-US"/>
        </w:rPr>
        <w:t>Materiality</w:t>
      </w:r>
      <w:r w:rsidRPr="00C92F30">
        <w:rPr>
          <w:lang w:val="en-US"/>
        </w:rPr>
        <w:t>, Durham, Duke University Press, 2005, p. 29.</w:t>
      </w:r>
    </w:p>
  </w:footnote>
  <w:footnote w:id="131">
    <w:p w:rsidR="004C50DC" w:rsidRPr="00C92F30" w:rsidRDefault="004C50DC" w:rsidP="004C50DC">
      <w:pPr>
        <w:pStyle w:val="Notedebasdepage"/>
      </w:pPr>
      <w:r w:rsidRPr="00A86947">
        <w:rPr>
          <w:rStyle w:val="Appelnotedebasdep"/>
        </w:rPr>
        <w:footnoteRef/>
      </w:r>
      <w:r>
        <w:tab/>
      </w:r>
      <w:r w:rsidRPr="00C92F30">
        <w:t xml:space="preserve">Nous renvoyons à Roland Barthes, </w:t>
      </w:r>
      <w:r w:rsidRPr="00C92F30">
        <w:rPr>
          <w:i/>
        </w:rPr>
        <w:t>Mythologies</w:t>
      </w:r>
      <w:r w:rsidRPr="00C92F30">
        <w:t xml:space="preserve">, Paris, Seuil, 1957 ; et à Jean Baudrillard, </w:t>
      </w:r>
      <w:r w:rsidRPr="00C92F30">
        <w:rPr>
          <w:i/>
        </w:rPr>
        <w:t>Pour une critique de l’économie politique  du signe</w:t>
      </w:r>
      <w:r w:rsidRPr="00C92F30">
        <w:t>, Paris, Gall</w:t>
      </w:r>
      <w:r w:rsidRPr="00C92F30">
        <w:t>i</w:t>
      </w:r>
      <w:r w:rsidRPr="00C92F30">
        <w:t xml:space="preserve">mard, 1972 et </w:t>
      </w:r>
      <w:r w:rsidRPr="00C92F30">
        <w:rPr>
          <w:i/>
        </w:rPr>
        <w:t>Le système des objets</w:t>
      </w:r>
      <w:r w:rsidRPr="00C92F30">
        <w:t>, Paris Gallimard, 1968.</w:t>
      </w:r>
    </w:p>
  </w:footnote>
  <w:footnote w:id="132">
    <w:p w:rsidR="004C50DC" w:rsidRDefault="004C50DC">
      <w:pPr>
        <w:pStyle w:val="Notedebasdepage"/>
      </w:pPr>
      <w:r w:rsidRPr="00A86947">
        <w:rPr>
          <w:rStyle w:val="Appelnotedebasdep"/>
        </w:rPr>
        <w:footnoteRef/>
      </w:r>
      <w:r>
        <w:t xml:space="preserve"> </w:t>
      </w:r>
      <w:r>
        <w:tab/>
      </w:r>
      <w:r w:rsidRPr="00C92F30">
        <w:rPr>
          <w:lang w:val="fr-FR"/>
        </w:rPr>
        <w:t xml:space="preserve">Voir Jean-Pierre Warnier, </w:t>
      </w:r>
      <w:r w:rsidRPr="00C92F30">
        <w:rPr>
          <w:i/>
          <w:lang w:val="fr-FR"/>
        </w:rPr>
        <w:t>Construire la culture matérielle. L’homme qui pe</w:t>
      </w:r>
      <w:r w:rsidRPr="00C92F30">
        <w:rPr>
          <w:i/>
          <w:lang w:val="fr-FR"/>
        </w:rPr>
        <w:t>n</w:t>
      </w:r>
      <w:r w:rsidRPr="00C92F30">
        <w:rPr>
          <w:i/>
          <w:lang w:val="fr-FR"/>
        </w:rPr>
        <w:t>sait avec ses doigts</w:t>
      </w:r>
      <w:r w:rsidRPr="00C92F30">
        <w:rPr>
          <w:lang w:val="fr-FR"/>
        </w:rPr>
        <w:t xml:space="preserve">, Paris, Presses universitaires de France, 1999, p. 14 ; voir aussi </w:t>
      </w:r>
      <w:r w:rsidRPr="00C92F30">
        <w:t>Jean-Pierre Warnier, « Les technologies du sujet », </w:t>
      </w:r>
      <w:r w:rsidRPr="00C92F30">
        <w:rPr>
          <w:i/>
        </w:rPr>
        <w:t>Techniques &amp; Cult</w:t>
      </w:r>
      <w:r w:rsidRPr="00C92F30">
        <w:rPr>
          <w:i/>
        </w:rPr>
        <w:t>u</w:t>
      </w:r>
      <w:r w:rsidRPr="00C92F30">
        <w:rPr>
          <w:i/>
        </w:rPr>
        <w:t>re </w:t>
      </w:r>
      <w:r w:rsidRPr="00C92F30">
        <w:t>n</w:t>
      </w:r>
      <w:r w:rsidRPr="00C92F30">
        <w:rPr>
          <w:vertAlign w:val="superscript"/>
        </w:rPr>
        <w:t>os</w:t>
      </w:r>
      <w:r w:rsidRPr="00C92F30">
        <w:t> 52-53, 2009, document 5</w:t>
      </w:r>
      <w:r w:rsidRPr="00C92F30">
        <w:rPr>
          <w:lang w:val="fr-FR"/>
        </w:rPr>
        <w:t>, en ligne</w:t>
      </w:r>
      <w:r w:rsidRPr="00C92F30">
        <w:t>, http://tc.revues.org/4853, consulté le 28 janvier 2016.</w:t>
      </w:r>
    </w:p>
  </w:footnote>
  <w:footnote w:id="133">
    <w:p w:rsidR="004C50DC" w:rsidRPr="00C92F30" w:rsidRDefault="004C50DC" w:rsidP="004C50DC">
      <w:pPr>
        <w:pStyle w:val="Notedebasdepage"/>
        <w:rPr>
          <w:lang w:val="en-US"/>
        </w:rPr>
      </w:pPr>
      <w:r w:rsidRPr="00C92F30">
        <w:rPr>
          <w:rStyle w:val="Appelnotedebasdep"/>
          <w:sz w:val="24"/>
        </w:rPr>
        <w:footnoteRef/>
      </w:r>
      <w:r>
        <w:rPr>
          <w:lang w:val="en-US"/>
        </w:rPr>
        <w:tab/>
      </w:r>
      <w:r w:rsidRPr="00C92F30">
        <w:rPr>
          <w:lang w:val="en-US"/>
        </w:rPr>
        <w:t xml:space="preserve">Daniel Miller, </w:t>
      </w:r>
      <w:r w:rsidRPr="00A32AC6">
        <w:rPr>
          <w:i/>
          <w:lang w:val="en-US"/>
        </w:rPr>
        <w:t>op. cit</w:t>
      </w:r>
      <w:r w:rsidRPr="00C92F30">
        <w:rPr>
          <w:lang w:val="en-US"/>
        </w:rPr>
        <w:t>., 2005, p. 38.</w:t>
      </w:r>
    </w:p>
  </w:footnote>
  <w:footnote w:id="134">
    <w:p w:rsidR="004C50DC" w:rsidRPr="00C92F30" w:rsidRDefault="004C50DC" w:rsidP="004C50DC">
      <w:pPr>
        <w:pStyle w:val="Notedebasdepage"/>
      </w:pPr>
      <w:r w:rsidRPr="00C92F30">
        <w:rPr>
          <w:rStyle w:val="Appelnotedebasdep"/>
          <w:sz w:val="24"/>
        </w:rPr>
        <w:footnoteRef/>
      </w:r>
      <w:r>
        <w:tab/>
      </w:r>
      <w:r w:rsidRPr="00A32AC6">
        <w:rPr>
          <w:i/>
        </w:rPr>
        <w:t>Ibid</w:t>
      </w:r>
      <w:r w:rsidRPr="00C92F30">
        <w:t>., p. 5.</w:t>
      </w:r>
    </w:p>
  </w:footnote>
  <w:footnote w:id="135">
    <w:p w:rsidR="004C50DC" w:rsidRPr="00C92F30" w:rsidRDefault="004C50DC" w:rsidP="004C50DC">
      <w:pPr>
        <w:pStyle w:val="Notedebasdepage"/>
      </w:pPr>
      <w:r w:rsidRPr="00C92F30">
        <w:rPr>
          <w:rStyle w:val="Appelnotedebasdep"/>
          <w:sz w:val="24"/>
        </w:rPr>
        <w:footnoteRef/>
      </w:r>
      <w:r>
        <w:tab/>
      </w:r>
      <w:r w:rsidRPr="00A32AC6">
        <w:rPr>
          <w:i/>
        </w:rPr>
        <w:t>Ibid</w:t>
      </w:r>
      <w:r w:rsidRPr="00C92F30">
        <w:t>., p. 29.</w:t>
      </w:r>
    </w:p>
  </w:footnote>
  <w:footnote w:id="136">
    <w:p w:rsidR="004C50DC" w:rsidRPr="00C92F30" w:rsidRDefault="004C50DC" w:rsidP="004C50DC">
      <w:pPr>
        <w:pStyle w:val="Notedebasdepage"/>
        <w:rPr>
          <w:lang w:val="en-US"/>
        </w:rPr>
      </w:pPr>
      <w:r w:rsidRPr="00C92F30">
        <w:rPr>
          <w:rStyle w:val="Appelnotedebasdep"/>
          <w:sz w:val="24"/>
        </w:rPr>
        <w:footnoteRef/>
      </w:r>
      <w:r>
        <w:tab/>
      </w:r>
      <w:r w:rsidRPr="00C92F30">
        <w:t xml:space="preserve">Voir les analyses de Daniel Miller, </w:t>
      </w:r>
      <w:r w:rsidRPr="00C92F30">
        <w:rPr>
          <w:i/>
        </w:rPr>
        <w:t>Material cultures</w:t>
      </w:r>
      <w:r w:rsidRPr="00C92F30">
        <w:t xml:space="preserve">. </w:t>
      </w:r>
      <w:r w:rsidRPr="00C92F30">
        <w:rPr>
          <w:i/>
          <w:lang w:val="en-US"/>
        </w:rPr>
        <w:t>Why some things ma</w:t>
      </w:r>
      <w:r w:rsidRPr="00C92F30">
        <w:rPr>
          <w:i/>
          <w:lang w:val="en-US"/>
        </w:rPr>
        <w:t>t</w:t>
      </w:r>
      <w:r w:rsidRPr="00C92F30">
        <w:rPr>
          <w:i/>
          <w:lang w:val="en-US"/>
        </w:rPr>
        <w:t>ter</w:t>
      </w:r>
      <w:r w:rsidRPr="00C92F30">
        <w:rPr>
          <w:lang w:val="en-US"/>
        </w:rPr>
        <w:t>, Chicago, The University of Chicago Press, 1998.</w:t>
      </w:r>
    </w:p>
  </w:footnote>
  <w:footnote w:id="137">
    <w:p w:rsidR="004C50DC" w:rsidRPr="00C92F30" w:rsidRDefault="004C50DC" w:rsidP="004C50DC">
      <w:pPr>
        <w:pStyle w:val="Notedebasdepage"/>
        <w:rPr>
          <w:lang w:val="en-US"/>
        </w:rPr>
      </w:pPr>
      <w:r w:rsidRPr="00C92F30">
        <w:rPr>
          <w:rStyle w:val="Appelnotedebasdep"/>
          <w:sz w:val="24"/>
        </w:rPr>
        <w:footnoteRef/>
      </w:r>
      <w:r>
        <w:rPr>
          <w:lang w:val="en-US"/>
        </w:rPr>
        <w:tab/>
      </w:r>
      <w:r w:rsidRPr="00C92F30">
        <w:rPr>
          <w:lang w:val="en-US"/>
        </w:rPr>
        <w:t xml:space="preserve">Christopher Tilley (dir.), </w:t>
      </w:r>
      <w:r w:rsidRPr="00C92F30">
        <w:rPr>
          <w:i/>
          <w:lang w:val="en-US"/>
        </w:rPr>
        <w:t>Handbook of material culture</w:t>
      </w:r>
      <w:r w:rsidRPr="00C92F30">
        <w:rPr>
          <w:lang w:val="en-US"/>
        </w:rPr>
        <w:t>, Londres, Sage, 2006, p. 4.</w:t>
      </w:r>
    </w:p>
  </w:footnote>
  <w:footnote w:id="138">
    <w:p w:rsidR="004C50DC" w:rsidRPr="00C92F30" w:rsidRDefault="004C50DC" w:rsidP="004C50DC">
      <w:pPr>
        <w:pStyle w:val="Notedebasdepage"/>
      </w:pPr>
      <w:r w:rsidRPr="00C92F30">
        <w:rPr>
          <w:rStyle w:val="Appelnotedebasdep"/>
          <w:sz w:val="24"/>
        </w:rPr>
        <w:footnoteRef/>
      </w:r>
      <w:r>
        <w:tab/>
      </w:r>
      <w:r w:rsidRPr="00A32AC6">
        <w:rPr>
          <w:i/>
        </w:rPr>
        <w:t>Ibid</w:t>
      </w:r>
      <w:r w:rsidRPr="00C92F30">
        <w:t>., p. 63.</w:t>
      </w:r>
    </w:p>
  </w:footnote>
  <w:footnote w:id="139">
    <w:p w:rsidR="004C50DC" w:rsidRDefault="004C50DC">
      <w:pPr>
        <w:pStyle w:val="Notedebasdepage"/>
      </w:pPr>
      <w:r>
        <w:rPr>
          <w:rStyle w:val="Appelnotedebasdep"/>
        </w:rPr>
        <w:footnoteRef/>
      </w:r>
      <w:r>
        <w:t xml:space="preserve"> </w:t>
      </w:r>
      <w:r>
        <w:tab/>
      </w:r>
      <w:r w:rsidRPr="00C92F30">
        <w:rPr>
          <w:lang w:val="fr-FR"/>
        </w:rPr>
        <w:t>Maurice Florence (Michel Foucault), article « Foucault », dans Denis Hui</w:t>
      </w:r>
      <w:r w:rsidRPr="00C92F30">
        <w:rPr>
          <w:lang w:val="fr-FR"/>
        </w:rPr>
        <w:t>s</w:t>
      </w:r>
      <w:r w:rsidRPr="00C92F30">
        <w:rPr>
          <w:lang w:val="fr-FR"/>
        </w:rPr>
        <w:t xml:space="preserve">man (dir.), </w:t>
      </w:r>
      <w:r w:rsidRPr="00C92F30">
        <w:rPr>
          <w:i/>
          <w:lang w:val="fr-FR"/>
        </w:rPr>
        <w:t>Dictionnaire des philosophes</w:t>
      </w:r>
      <w:r w:rsidRPr="00C92F30">
        <w:rPr>
          <w:lang w:val="fr-FR"/>
        </w:rPr>
        <w:t>, Paris, PUF, 1993, I, p. 1022.</w:t>
      </w:r>
    </w:p>
  </w:footnote>
  <w:footnote w:id="140">
    <w:p w:rsidR="004C50DC" w:rsidRPr="00C92F30" w:rsidRDefault="004C50DC" w:rsidP="004C50DC">
      <w:pPr>
        <w:pStyle w:val="Notedebasdepage"/>
      </w:pPr>
      <w:r w:rsidRPr="00A32AC6">
        <w:rPr>
          <w:rStyle w:val="Appelnotedebasdep"/>
        </w:rPr>
        <w:footnoteRef/>
      </w:r>
      <w:r>
        <w:tab/>
      </w:r>
      <w:r w:rsidRPr="00C92F30">
        <w:t xml:space="preserve">Aloïs Riegl, </w:t>
      </w:r>
      <w:r w:rsidRPr="00C92F30">
        <w:rPr>
          <w:i/>
        </w:rPr>
        <w:t>Le Culte moderne des monuments…</w:t>
      </w:r>
      <w:r w:rsidRPr="00C92F30">
        <w:t>, op. cit., p. 62.</w:t>
      </w:r>
    </w:p>
  </w:footnote>
  <w:footnote w:id="141">
    <w:p w:rsidR="004C50DC" w:rsidRPr="00C92F30" w:rsidRDefault="004C50DC" w:rsidP="004C50DC">
      <w:pPr>
        <w:pStyle w:val="Notedebasdepage"/>
      </w:pPr>
      <w:r w:rsidRPr="00A32AC6">
        <w:rPr>
          <w:rStyle w:val="Appelnotedebasdep"/>
        </w:rPr>
        <w:footnoteRef/>
      </w:r>
      <w:r>
        <w:tab/>
      </w:r>
      <w:r w:rsidRPr="00C92F30">
        <w:t xml:space="preserve">Joël Candau, </w:t>
      </w:r>
      <w:r w:rsidRPr="00C92F30">
        <w:rPr>
          <w:i/>
        </w:rPr>
        <w:t>Anthropologie de la mémoire</w:t>
      </w:r>
      <w:r w:rsidRPr="00C92F30">
        <w:t>, op. cit., p. 166.</w:t>
      </w:r>
    </w:p>
  </w:footnote>
  <w:footnote w:id="142">
    <w:p w:rsidR="004C50DC" w:rsidRPr="00C92F30" w:rsidRDefault="004C50DC" w:rsidP="004C50DC">
      <w:pPr>
        <w:pStyle w:val="Notedebasdepage"/>
      </w:pPr>
      <w:r w:rsidRPr="00FF5D97">
        <w:rPr>
          <w:rStyle w:val="Appelnotedebasdep"/>
        </w:rPr>
        <w:footnoteRef/>
      </w:r>
      <w:r>
        <w:tab/>
      </w:r>
      <w:r w:rsidRPr="00C92F30">
        <w:t xml:space="preserve">Jean Copans, </w:t>
      </w:r>
      <w:r w:rsidRPr="00C92F30">
        <w:rPr>
          <w:i/>
        </w:rPr>
        <w:t>L’enquête ethnologique de terrain,</w:t>
      </w:r>
      <w:r w:rsidRPr="00C92F30">
        <w:t xml:space="preserve"> Paris, Armand Colin, 2008, p. 7.</w:t>
      </w:r>
    </w:p>
  </w:footnote>
  <w:footnote w:id="143">
    <w:p w:rsidR="004C50DC" w:rsidRPr="00C92F30" w:rsidRDefault="004C50DC" w:rsidP="004C50DC">
      <w:pPr>
        <w:pStyle w:val="Notedebasdepage"/>
      </w:pPr>
      <w:r w:rsidRPr="00FF5D97">
        <w:rPr>
          <w:rStyle w:val="Appelnotedebasdep"/>
        </w:rPr>
        <w:footnoteRef/>
      </w:r>
      <w:r>
        <w:tab/>
      </w:r>
      <w:r w:rsidRPr="00C92F30">
        <w:t xml:space="preserve">Voir Mondher Kilani, </w:t>
      </w:r>
      <w:r w:rsidRPr="00C92F30">
        <w:rPr>
          <w:i/>
        </w:rPr>
        <w:t>L’invention de l’autre</w:t>
      </w:r>
      <w:r w:rsidRPr="00C92F30">
        <w:t>, Lausanne, Payot-Lausanne, 1994, p. 42.</w:t>
      </w:r>
    </w:p>
  </w:footnote>
  <w:footnote w:id="144">
    <w:p w:rsidR="004C50DC" w:rsidRPr="00C92F30" w:rsidRDefault="004C50DC" w:rsidP="004C50DC">
      <w:pPr>
        <w:pStyle w:val="Notedebasdepage"/>
      </w:pPr>
      <w:r w:rsidRPr="00FF5D97">
        <w:rPr>
          <w:rStyle w:val="Appelnotedebasdep"/>
        </w:rPr>
        <w:footnoteRef/>
      </w:r>
      <w:r>
        <w:tab/>
      </w:r>
      <w:r w:rsidRPr="00C92F30">
        <w:t xml:space="preserve">Martine Roberge, </w:t>
      </w:r>
      <w:r w:rsidRPr="00C92F30">
        <w:rPr>
          <w:i/>
        </w:rPr>
        <w:t>Guide d’enquête orale,</w:t>
      </w:r>
      <w:r w:rsidRPr="00C92F30">
        <w:t xml:space="preserve"> Québec, Les publications du Qu</w:t>
      </w:r>
      <w:r w:rsidRPr="00C92F30">
        <w:t>é</w:t>
      </w:r>
      <w:r w:rsidRPr="00C92F30">
        <w:t>bec, 1991, p.15.</w:t>
      </w:r>
    </w:p>
  </w:footnote>
  <w:footnote w:id="145">
    <w:p w:rsidR="004C50DC" w:rsidRPr="00C92F30" w:rsidRDefault="004C50DC" w:rsidP="004C50DC">
      <w:pPr>
        <w:autoSpaceDE w:val="0"/>
        <w:autoSpaceDN w:val="0"/>
        <w:adjustRightInd w:val="0"/>
        <w:ind w:left="708" w:hanging="708"/>
        <w:jc w:val="both"/>
        <w:rPr>
          <w:sz w:val="24"/>
          <w:lang w:val="fr-FR"/>
        </w:rPr>
      </w:pPr>
      <w:r w:rsidRPr="00FF5D97">
        <w:rPr>
          <w:rStyle w:val="Appelnotedebasdep"/>
          <w:lang w:val="fr-FR"/>
        </w:rPr>
        <w:footnoteRef/>
      </w:r>
      <w:r>
        <w:rPr>
          <w:sz w:val="24"/>
          <w:lang w:val="fr-FR"/>
        </w:rPr>
        <w:tab/>
      </w:r>
      <w:r w:rsidRPr="00C92F30">
        <w:rPr>
          <w:sz w:val="24"/>
          <w:lang w:val="fr-FR"/>
        </w:rPr>
        <w:t xml:space="preserve">Jean-Pierre Deslauriers, </w:t>
      </w:r>
      <w:r w:rsidRPr="00C92F30">
        <w:rPr>
          <w:i/>
          <w:sz w:val="24"/>
          <w:lang w:val="fr-FR"/>
        </w:rPr>
        <w:t>Recherche qualitative. Guide pratique</w:t>
      </w:r>
      <w:r w:rsidRPr="00C92F30">
        <w:rPr>
          <w:sz w:val="24"/>
          <w:lang w:val="fr-FR"/>
        </w:rPr>
        <w:t>, Montréal, McGraw-Hill, 1991, p. 33.</w:t>
      </w:r>
    </w:p>
  </w:footnote>
  <w:footnote w:id="146">
    <w:p w:rsidR="004C50DC" w:rsidRPr="00C92F30" w:rsidRDefault="004C50DC" w:rsidP="004C50DC">
      <w:pPr>
        <w:pStyle w:val="Notedebasdepage"/>
      </w:pPr>
      <w:r w:rsidRPr="00FF5D97">
        <w:rPr>
          <w:rStyle w:val="Appelnotedebasdep"/>
        </w:rPr>
        <w:footnoteRef/>
      </w:r>
      <w:r>
        <w:tab/>
      </w:r>
      <w:r w:rsidRPr="00C92F30">
        <w:t xml:space="preserve">Donatien Dibwe, </w:t>
      </w:r>
      <w:r w:rsidRPr="00C92F30">
        <w:rPr>
          <w:rStyle w:val="familyname"/>
          <w:bCs/>
        </w:rPr>
        <w:t>« </w:t>
      </w:r>
      <w:r w:rsidRPr="00C92F30">
        <w:rPr>
          <w:rStyle w:val="text"/>
          <w:bCs/>
        </w:rPr>
        <w:t xml:space="preserve">La collecte des sources orales. </w:t>
      </w:r>
      <w:r w:rsidRPr="00C92F30">
        <w:t xml:space="preserve">Expériences d’enquêtes relatives au conflit Katangais-Kasaïens du Katanga (1991-1994) », dans </w:t>
      </w:r>
      <w:r w:rsidRPr="00C92F30">
        <w:rPr>
          <w:i/>
        </w:rPr>
        <w:t>Civ</w:t>
      </w:r>
      <w:r w:rsidRPr="00C92F30">
        <w:rPr>
          <w:i/>
        </w:rPr>
        <w:t>i</w:t>
      </w:r>
      <w:r w:rsidRPr="00C92F30">
        <w:rPr>
          <w:i/>
        </w:rPr>
        <w:t>lis</w:t>
      </w:r>
      <w:r w:rsidRPr="00C92F30">
        <w:rPr>
          <w:i/>
        </w:rPr>
        <w:t>a</w:t>
      </w:r>
      <w:r w:rsidRPr="00C92F30">
        <w:rPr>
          <w:i/>
        </w:rPr>
        <w:t xml:space="preserve">tions, </w:t>
      </w:r>
      <w:r w:rsidRPr="00C92F30">
        <w:t>n</w:t>
      </w:r>
      <w:r w:rsidRPr="00C92F30">
        <w:rPr>
          <w:vertAlign w:val="superscript"/>
        </w:rPr>
        <w:t>o</w:t>
      </w:r>
      <w:r w:rsidRPr="00C92F30">
        <w:t> 54, 2006, en ligne, http://civilisations.revues.org/313 ; DOI : 10.4000/civilisations.313, consulté le 23 février 2012.</w:t>
      </w:r>
    </w:p>
  </w:footnote>
  <w:footnote w:id="147">
    <w:p w:rsidR="004C50DC" w:rsidRPr="00C92F30" w:rsidRDefault="004C50DC" w:rsidP="004C50DC">
      <w:pPr>
        <w:pStyle w:val="Notedebasdepage"/>
      </w:pPr>
      <w:r w:rsidRPr="00FF5D97">
        <w:rPr>
          <w:rStyle w:val="Appelnotedebasdep"/>
        </w:rPr>
        <w:footnoteRef/>
      </w:r>
      <w:r>
        <w:rPr>
          <w:rFonts w:eastAsia="Calibri"/>
          <w:lang w:eastAsia="en-CA"/>
        </w:rPr>
        <w:tab/>
      </w:r>
      <w:r w:rsidRPr="00C92F30">
        <w:rPr>
          <w:rFonts w:eastAsia="Calibri"/>
          <w:lang w:eastAsia="en-CA"/>
        </w:rPr>
        <w:t xml:space="preserve">Maurice Agulhon, Charles Parain et al., </w:t>
      </w:r>
      <w:r w:rsidRPr="00C92F30">
        <w:rPr>
          <w:rFonts w:eastAsia="Calibri"/>
          <w:i/>
          <w:iCs/>
          <w:lang w:eastAsia="en-CA"/>
        </w:rPr>
        <w:t>Ethnologie et Histoire. Forces product</w:t>
      </w:r>
      <w:r w:rsidRPr="00C92F30">
        <w:rPr>
          <w:rFonts w:eastAsia="Calibri"/>
          <w:i/>
          <w:iCs/>
          <w:lang w:eastAsia="en-CA"/>
        </w:rPr>
        <w:t>i</w:t>
      </w:r>
      <w:r w:rsidRPr="00C92F30">
        <w:rPr>
          <w:rFonts w:eastAsia="Calibri"/>
          <w:i/>
          <w:iCs/>
          <w:lang w:eastAsia="en-CA"/>
        </w:rPr>
        <w:t>ves et problèmes de transition</w:t>
      </w:r>
      <w:r w:rsidRPr="00C92F30">
        <w:rPr>
          <w:rFonts w:eastAsia="Calibri"/>
          <w:lang w:eastAsia="en-CA"/>
        </w:rPr>
        <w:t xml:space="preserve">, Paris, Éditions Sociales, 1975, p. 11 ; </w:t>
      </w:r>
      <w:r w:rsidRPr="00C92F30">
        <w:t>Mart</w:t>
      </w:r>
      <w:r w:rsidRPr="00C92F30">
        <w:t>i</w:t>
      </w:r>
      <w:r w:rsidRPr="00C92F30">
        <w:t xml:space="preserve">ne Roberge et Bernard Genest (dir.), </w:t>
      </w:r>
      <w:r w:rsidRPr="00C92F30">
        <w:rPr>
          <w:i/>
        </w:rPr>
        <w:t>Guide d’enquête orale, Québec,</w:t>
      </w:r>
      <w:r w:rsidRPr="00C92F30">
        <w:t xml:space="preserve"> Les publ</w:t>
      </w:r>
      <w:r w:rsidRPr="00C92F30">
        <w:t>i</w:t>
      </w:r>
      <w:r w:rsidRPr="00C92F30">
        <w:t>cations du Québec, 1991, p. 28-29.</w:t>
      </w:r>
    </w:p>
  </w:footnote>
  <w:footnote w:id="148">
    <w:p w:rsidR="004C50DC" w:rsidRDefault="004C50DC">
      <w:pPr>
        <w:pStyle w:val="Notedebasdepage"/>
      </w:pPr>
      <w:r>
        <w:rPr>
          <w:rStyle w:val="Appelnotedebasdep"/>
        </w:rPr>
        <w:footnoteRef/>
      </w:r>
      <w:r>
        <w:t xml:space="preserve"> </w:t>
      </w:r>
      <w:r>
        <w:tab/>
      </w:r>
      <w:r w:rsidRPr="00C92F30">
        <w:rPr>
          <w:lang w:val="fr-FR"/>
        </w:rPr>
        <w:t>« L</w:t>
      </w:r>
      <w:r w:rsidRPr="00C92F30">
        <w:rPr>
          <w:rFonts w:eastAsia="Calibri"/>
          <w:lang w:val="fr-FR" w:eastAsia="en-CA"/>
        </w:rPr>
        <w:t>’entretien semi-directif suppose la définition d’un thème général (la cons</w:t>
      </w:r>
      <w:r w:rsidRPr="00C92F30">
        <w:rPr>
          <w:rFonts w:eastAsia="Calibri"/>
          <w:lang w:val="fr-FR" w:eastAsia="en-CA"/>
        </w:rPr>
        <w:t>i</w:t>
      </w:r>
      <w:r w:rsidRPr="00C92F30">
        <w:rPr>
          <w:rFonts w:eastAsia="Calibri"/>
          <w:lang w:val="fr-FR" w:eastAsia="en-CA"/>
        </w:rPr>
        <w:t>gne), la constitution d’un guide thématique formalisé (des consignes portant sur des aspects particuliers du thème) et la planification de stratégies d’écoute et d’intervention (les relances ou les reformulations). Les relances servent à sollic</w:t>
      </w:r>
      <w:r w:rsidRPr="00C92F30">
        <w:rPr>
          <w:rFonts w:eastAsia="Calibri"/>
          <w:lang w:val="fr-FR" w:eastAsia="en-CA"/>
        </w:rPr>
        <w:t>i</w:t>
      </w:r>
      <w:r w:rsidRPr="00C92F30">
        <w:rPr>
          <w:rFonts w:eastAsia="Calibri"/>
          <w:lang w:val="fr-FR" w:eastAsia="en-CA"/>
        </w:rPr>
        <w:t>ter l’interviewé sur des aspects du thème qu’il a traité d’une manière trop rapide ou superficielle. Les reformulations montrent à l’interviewé qu’il est écouté et l’aident à s’exprimer en lui apportant une sorte de reflet de ce qu’il pense et de ce qu’il ressent » ; Agathe Couvreur et Franck Lehuede, « </w:t>
      </w:r>
      <w:r w:rsidRPr="00C92F30">
        <w:rPr>
          <w:rFonts w:eastAsia="Calibri"/>
          <w:bCs/>
          <w:lang w:val="fr-FR" w:eastAsia="en-CA"/>
        </w:rPr>
        <w:t>Essai de comparaison de méthodes quantitatives et qualitatives à partir d’un exemple : Le passage à l’euro vécu par les consommateurs », CREDOC</w:t>
      </w:r>
      <w:r w:rsidRPr="00C92F30">
        <w:rPr>
          <w:rFonts w:eastAsia="Calibri"/>
          <w:b/>
          <w:bCs/>
          <w:lang w:val="fr-FR" w:eastAsia="en-CA"/>
        </w:rPr>
        <w:t xml:space="preserve"> – </w:t>
      </w:r>
      <w:r w:rsidRPr="00C92F30">
        <w:rPr>
          <w:rFonts w:eastAsia="Calibri"/>
          <w:bCs/>
          <w:i/>
          <w:lang w:val="fr-FR" w:eastAsia="en-CA"/>
        </w:rPr>
        <w:t>C</w:t>
      </w:r>
      <w:r w:rsidRPr="00C92F30">
        <w:rPr>
          <w:rFonts w:eastAsia="Calibri"/>
          <w:bCs/>
          <w:i/>
          <w:lang w:val="fr-FR" w:eastAsia="en-CA"/>
        </w:rPr>
        <w:t>a</w:t>
      </w:r>
      <w:r w:rsidRPr="00C92F30">
        <w:rPr>
          <w:rFonts w:eastAsia="Calibri"/>
          <w:bCs/>
          <w:i/>
          <w:lang w:val="fr-FR" w:eastAsia="en-CA"/>
        </w:rPr>
        <w:t xml:space="preserve">hier de recherche, </w:t>
      </w:r>
      <w:r w:rsidRPr="00C92F30">
        <w:rPr>
          <w:rFonts w:eastAsia="Calibri"/>
          <w:bCs/>
          <w:lang w:val="fr-FR" w:eastAsia="en-CA"/>
        </w:rPr>
        <w:t>n° 176, nove</w:t>
      </w:r>
      <w:r w:rsidRPr="00C92F30">
        <w:rPr>
          <w:rFonts w:eastAsia="Calibri"/>
          <w:bCs/>
          <w:lang w:val="fr-FR" w:eastAsia="en-CA"/>
        </w:rPr>
        <w:t>m</w:t>
      </w:r>
      <w:r w:rsidRPr="00C92F30">
        <w:rPr>
          <w:rFonts w:eastAsia="Calibri"/>
          <w:bCs/>
          <w:lang w:val="fr-FR" w:eastAsia="en-CA"/>
        </w:rPr>
        <w:t>bre 2002, e</w:t>
      </w:r>
      <w:r w:rsidRPr="00C92F30">
        <w:t xml:space="preserve">n ligne, </w:t>
      </w:r>
      <w:r w:rsidRPr="00C92F30">
        <w:rPr>
          <w:rFonts w:eastAsia="Calibri"/>
          <w:lang w:val="fr-FR" w:eastAsia="en-CA"/>
        </w:rPr>
        <w:t>http://www.credoc.fr, consulté le 06 mars 2012, p. 13.</w:t>
      </w:r>
    </w:p>
  </w:footnote>
  <w:footnote w:id="149">
    <w:p w:rsidR="004C50DC" w:rsidRPr="00C92F30" w:rsidRDefault="004C50DC" w:rsidP="004C50DC">
      <w:pPr>
        <w:pStyle w:val="Notedebasdepage"/>
      </w:pPr>
      <w:r w:rsidRPr="00FF5D97">
        <w:rPr>
          <w:rStyle w:val="Appelnotedebasdep"/>
        </w:rPr>
        <w:footnoteRef/>
      </w:r>
      <w:r>
        <w:tab/>
      </w:r>
      <w:r w:rsidRPr="00C92F30">
        <w:t xml:space="preserve">Jean-Pierre Deslaurier, </w:t>
      </w:r>
      <w:r w:rsidRPr="00FF5D97">
        <w:rPr>
          <w:i/>
        </w:rPr>
        <w:t>op. cit</w:t>
      </w:r>
      <w:r w:rsidRPr="00C92F30">
        <w:t>., 1991, p. 27.</w:t>
      </w:r>
    </w:p>
  </w:footnote>
  <w:footnote w:id="150">
    <w:p w:rsidR="004C50DC" w:rsidRPr="00C92F30" w:rsidRDefault="004C50DC" w:rsidP="004C50DC">
      <w:pPr>
        <w:pStyle w:val="Notedebasdepage"/>
      </w:pPr>
      <w:r w:rsidRPr="00FF5D97">
        <w:rPr>
          <w:rStyle w:val="Appelnotedebasdep"/>
        </w:rPr>
        <w:footnoteRef/>
      </w:r>
      <w:r>
        <w:tab/>
      </w:r>
      <w:r w:rsidRPr="00C92F30">
        <w:t xml:space="preserve">Joël Candau, </w:t>
      </w:r>
      <w:r w:rsidRPr="00C92F30">
        <w:rPr>
          <w:i/>
        </w:rPr>
        <w:t>Anthropologie de la mémoire</w:t>
      </w:r>
      <w:r w:rsidRPr="00C92F30">
        <w:t>, op. cit., p. 150.</w:t>
      </w:r>
    </w:p>
  </w:footnote>
  <w:footnote w:id="151">
    <w:p w:rsidR="004C50DC" w:rsidRPr="00C92F30" w:rsidRDefault="004C50DC" w:rsidP="004C50DC">
      <w:pPr>
        <w:pStyle w:val="Notedebasdepage"/>
      </w:pPr>
      <w:r w:rsidRPr="00FF5D97">
        <w:rPr>
          <w:rStyle w:val="Appelnotedebasdep"/>
        </w:rPr>
        <w:footnoteRef/>
      </w:r>
      <w:r>
        <w:tab/>
      </w:r>
      <w:r w:rsidRPr="00C92F30">
        <w:t xml:space="preserve">Voir Joël Candau, </w:t>
      </w:r>
      <w:r w:rsidRPr="00C92F30">
        <w:rPr>
          <w:i/>
          <w:iCs/>
        </w:rPr>
        <w:t>Mémoire et identité</w:t>
      </w:r>
      <w:r w:rsidRPr="00C92F30">
        <w:t>, Paris, Presses Universitaires de Fra</w:t>
      </w:r>
      <w:r w:rsidRPr="00C92F30">
        <w:t>n</w:t>
      </w:r>
      <w:r w:rsidRPr="00C92F30">
        <w:t xml:space="preserve">ce, 1998, p. 65. </w:t>
      </w:r>
    </w:p>
  </w:footnote>
  <w:footnote w:id="152">
    <w:p w:rsidR="004C50DC" w:rsidRPr="00C92F30" w:rsidRDefault="004C50DC" w:rsidP="004C50DC">
      <w:pPr>
        <w:pStyle w:val="Notedebasdepage"/>
      </w:pPr>
      <w:r w:rsidRPr="00FF5D97">
        <w:rPr>
          <w:rStyle w:val="Appelnotedebasdep"/>
        </w:rPr>
        <w:footnoteRef/>
      </w:r>
      <w:r>
        <w:tab/>
      </w:r>
      <w:r w:rsidRPr="00C92F30">
        <w:t>Une partie du terrain a été réalisée dans un contexte de crise politique en Ha</w:t>
      </w:r>
      <w:r w:rsidRPr="00C92F30">
        <w:t>ï</w:t>
      </w:r>
      <w:r w:rsidRPr="00C92F30">
        <w:t>ti, où des groupements politiques s’opposant au gouvernement de Michel Martelly se réclament de descendants de Jean-Jacques Dessalines, qualifiant ai</w:t>
      </w:r>
      <w:r w:rsidRPr="00C92F30">
        <w:t>n</w:t>
      </w:r>
      <w:r w:rsidRPr="00C92F30">
        <w:t xml:space="preserve">si l’équipe au pouvoir de descendants d’Alexandre Pétion. La question de l’esclavage est revenue sur la table des luttes politiques. </w:t>
      </w:r>
    </w:p>
  </w:footnote>
  <w:footnote w:id="153">
    <w:p w:rsidR="004C50DC" w:rsidRPr="00C92F30" w:rsidRDefault="004C50DC" w:rsidP="004C50DC">
      <w:pPr>
        <w:pStyle w:val="Notedebasdepage"/>
      </w:pPr>
      <w:r w:rsidRPr="00FF5D97">
        <w:rPr>
          <w:rStyle w:val="Appelnotedebasdep"/>
        </w:rPr>
        <w:footnoteRef/>
      </w:r>
      <w:r>
        <w:rPr>
          <w:rStyle w:val="lev"/>
          <w:b w:val="0"/>
        </w:rPr>
        <w:tab/>
      </w:r>
      <w:r w:rsidRPr="00C92F30">
        <w:rPr>
          <w:rStyle w:val="lev"/>
          <w:b w:val="0"/>
        </w:rPr>
        <w:t>Donatien</w:t>
      </w:r>
      <w:r w:rsidRPr="00C92F30">
        <w:rPr>
          <w:rStyle w:val="apple-converted-space"/>
          <w:bCs/>
        </w:rPr>
        <w:t> </w:t>
      </w:r>
      <w:r w:rsidRPr="00C92F30">
        <w:rPr>
          <w:rStyle w:val="familyname"/>
          <w:bCs/>
        </w:rPr>
        <w:t>Dibwe (op. cit., 2006) avait évoqué ce même problème auquel est so</w:t>
      </w:r>
      <w:r w:rsidRPr="00C92F30">
        <w:rPr>
          <w:rStyle w:val="familyname"/>
          <w:bCs/>
        </w:rPr>
        <w:t>u</w:t>
      </w:r>
      <w:r w:rsidRPr="00C92F30">
        <w:rPr>
          <w:rStyle w:val="familyname"/>
          <w:bCs/>
        </w:rPr>
        <w:t>vent confrontéle chercheur sur le terrain en milieu défavorisé.</w:t>
      </w:r>
    </w:p>
  </w:footnote>
  <w:footnote w:id="154">
    <w:p w:rsidR="004C50DC" w:rsidRPr="00C92F30" w:rsidRDefault="004C50DC" w:rsidP="004C50DC">
      <w:pPr>
        <w:pStyle w:val="Notedebasdepage"/>
      </w:pPr>
      <w:r w:rsidRPr="00FF5D97">
        <w:rPr>
          <w:rStyle w:val="Appelnotedebasdep"/>
        </w:rPr>
        <w:footnoteRef/>
      </w:r>
      <w:r>
        <w:rPr>
          <w:rFonts w:eastAsia="Calibri"/>
          <w:lang w:eastAsia="en-CA"/>
        </w:rPr>
        <w:tab/>
      </w:r>
      <w:r w:rsidRPr="00C92F30">
        <w:rPr>
          <w:rFonts w:eastAsia="Calibri"/>
          <w:lang w:eastAsia="en-CA"/>
        </w:rPr>
        <w:t>Mondher Kilani</w:t>
      </w:r>
      <w:r w:rsidRPr="00C92F30">
        <w:rPr>
          <w:rFonts w:eastAsia="Calibri"/>
          <w:i/>
          <w:lang w:eastAsia="en-CA"/>
        </w:rPr>
        <w:t>, L’invention de l’autre</w:t>
      </w:r>
      <w:r w:rsidRPr="00C92F30">
        <w:rPr>
          <w:rFonts w:eastAsia="Calibri"/>
          <w:lang w:eastAsia="en-CA"/>
        </w:rPr>
        <w:t>, op. cit., p. 24.</w:t>
      </w:r>
    </w:p>
  </w:footnote>
  <w:footnote w:id="155">
    <w:p w:rsidR="004C50DC" w:rsidRDefault="004C50DC">
      <w:pPr>
        <w:pStyle w:val="Notedebasdepage"/>
      </w:pPr>
      <w:r>
        <w:rPr>
          <w:rStyle w:val="Appelnotedebasdep"/>
        </w:rPr>
        <w:footnoteRef/>
      </w:r>
      <w:r>
        <w:t xml:space="preserve"> </w:t>
      </w:r>
      <w:r>
        <w:tab/>
      </w:r>
      <w:r w:rsidRPr="00C92F30">
        <w:rPr>
          <w:lang w:val="fr-FR"/>
        </w:rPr>
        <w:t xml:space="preserve">À propos de la revendication de la citoyenneté, voir Francine Saillant et al. (dir.), </w:t>
      </w:r>
      <w:r w:rsidRPr="00C92F30">
        <w:rPr>
          <w:i/>
          <w:lang w:val="fr-FR"/>
        </w:rPr>
        <w:t>Afrodescendances, cultures et citoyenneté</w:t>
      </w:r>
      <w:r w:rsidRPr="00C92F30">
        <w:rPr>
          <w:lang w:val="fr-FR"/>
        </w:rPr>
        <w:t>, Québec, Presses de l’Université Laval, 2012.</w:t>
      </w:r>
    </w:p>
  </w:footnote>
  <w:footnote w:id="156">
    <w:p w:rsidR="004C50DC" w:rsidRDefault="004C50DC">
      <w:pPr>
        <w:pStyle w:val="Notedebasdepage"/>
      </w:pPr>
      <w:r>
        <w:rPr>
          <w:rStyle w:val="Appelnotedebasdep"/>
        </w:rPr>
        <w:footnoteRef/>
      </w:r>
      <w:r>
        <w:t xml:space="preserve"> </w:t>
      </w:r>
      <w:r>
        <w:tab/>
      </w:r>
      <w:r w:rsidRPr="00C92F30">
        <w:rPr>
          <w:color w:val="auto"/>
          <w:lang w:val="fr-FR"/>
        </w:rPr>
        <w:t>Le concept d’« oraliture » a été employé par Ernest Mirville dans le courant de la deuxième moitié des années 1960. Il a fallu attendre 1974 pour que l’auteur énonce une définition propre au concept. À ce propos, voir Maxim</w:t>
      </w:r>
      <w:r w:rsidRPr="00C92F30">
        <w:rPr>
          <w:color w:val="auto"/>
          <w:lang w:val="fr-FR"/>
        </w:rPr>
        <w:t>i</w:t>
      </w:r>
      <w:r w:rsidRPr="00C92F30">
        <w:rPr>
          <w:color w:val="auto"/>
          <w:lang w:val="fr-FR"/>
        </w:rPr>
        <w:t>lien Laroche,</w:t>
      </w:r>
      <w:r w:rsidRPr="00C92F30">
        <w:rPr>
          <w:i/>
          <w:color w:val="auto"/>
          <w:lang w:val="fr-FR"/>
        </w:rPr>
        <w:t xml:space="preserve"> La double scène de la représentation. Oraliture et littérature dans la Caraïbe</w:t>
      </w:r>
      <w:r w:rsidRPr="00C92F30">
        <w:rPr>
          <w:color w:val="auto"/>
          <w:lang w:val="fr-FR"/>
        </w:rPr>
        <w:t>, Québec, GRELCA, Université Laval, coll. « Essais », n</w:t>
      </w:r>
      <w:r w:rsidRPr="00C92F30">
        <w:rPr>
          <w:color w:val="auto"/>
          <w:vertAlign w:val="superscript"/>
          <w:lang w:val="fr-FR"/>
        </w:rPr>
        <w:t>o</w:t>
      </w:r>
      <w:r w:rsidRPr="00C92F30">
        <w:rPr>
          <w:color w:val="auto"/>
          <w:lang w:val="fr-FR"/>
        </w:rPr>
        <w:t xml:space="preserve"> 8, 1991, p.15 ; voir aussi Virginie Turcotte, </w:t>
      </w:r>
      <w:r w:rsidRPr="00C92F30">
        <w:rPr>
          <w:i/>
          <w:color w:val="auto"/>
          <w:lang w:val="fr-FR"/>
        </w:rPr>
        <w:t xml:space="preserve">Quand la lecture visite l’oraliture ou l’influence de la tradition orale dans l’acte de lecture des romans antillais, </w:t>
      </w:r>
      <w:r w:rsidRPr="00C92F30">
        <w:rPr>
          <w:color w:val="auto"/>
          <w:lang w:val="fr-FR"/>
        </w:rPr>
        <w:t>mémoire présenté comme exigence partielle de la maîtrise en études littéra</w:t>
      </w:r>
      <w:r w:rsidRPr="00C92F30">
        <w:rPr>
          <w:color w:val="auto"/>
          <w:lang w:val="fr-FR"/>
        </w:rPr>
        <w:t>i</w:t>
      </w:r>
      <w:r w:rsidRPr="00C92F30">
        <w:rPr>
          <w:color w:val="auto"/>
          <w:lang w:val="fr-FR"/>
        </w:rPr>
        <w:t>res, Université du Québec à Mo</w:t>
      </w:r>
      <w:r w:rsidRPr="00C92F30">
        <w:rPr>
          <w:color w:val="auto"/>
          <w:lang w:val="fr-FR"/>
        </w:rPr>
        <w:t>n</w:t>
      </w:r>
      <w:r w:rsidRPr="00C92F30">
        <w:rPr>
          <w:color w:val="auto"/>
          <w:lang w:val="fr-FR"/>
        </w:rPr>
        <w:t>tréal, août 2009, p</w:t>
      </w:r>
      <w:r>
        <w:rPr>
          <w:color w:val="auto"/>
          <w:lang w:val="fr-FR"/>
        </w:rPr>
        <w:t>p</w:t>
      </w:r>
      <w:r w:rsidRPr="00C92F30">
        <w:rPr>
          <w:color w:val="auto"/>
          <w:lang w:val="fr-FR"/>
        </w:rPr>
        <w:t xml:space="preserve">. 56-58. </w:t>
      </w:r>
    </w:p>
  </w:footnote>
  <w:footnote w:id="157">
    <w:p w:rsidR="004C50DC" w:rsidRPr="00C92F30" w:rsidRDefault="004C50DC" w:rsidP="004C50DC">
      <w:pPr>
        <w:pStyle w:val="Notedebasdepage"/>
      </w:pPr>
      <w:r w:rsidRPr="00FF5D97">
        <w:rPr>
          <w:rStyle w:val="Appelnotedebasdep"/>
        </w:rPr>
        <w:footnoteRef/>
      </w:r>
      <w:r>
        <w:tab/>
      </w:r>
      <w:r w:rsidRPr="00C92F30">
        <w:t>Pierre-Raymond Dumas, « Interview sur le concept d’oraliture accordée à Pie</w:t>
      </w:r>
      <w:r w:rsidRPr="00C92F30">
        <w:t>r</w:t>
      </w:r>
      <w:r w:rsidRPr="00C92F30">
        <w:t xml:space="preserve">re-Raymond Dumas par le docteur Ernest Mirville », </w:t>
      </w:r>
      <w:r w:rsidRPr="00C92F30">
        <w:rPr>
          <w:i/>
        </w:rPr>
        <w:t>Conjonctions</w:t>
      </w:r>
      <w:r w:rsidRPr="00C92F30">
        <w:t>, n</w:t>
      </w:r>
      <w:r w:rsidRPr="00C92F30">
        <w:rPr>
          <w:vertAlign w:val="superscript"/>
        </w:rPr>
        <w:t>os</w:t>
      </w:r>
      <w:r w:rsidRPr="00C92F30">
        <w:t> 161-162, mars-juin 1984, p. 162.</w:t>
      </w:r>
    </w:p>
  </w:footnote>
  <w:footnote w:id="158">
    <w:p w:rsidR="004C50DC" w:rsidRDefault="004C50DC">
      <w:pPr>
        <w:pStyle w:val="Notedebasdepage"/>
      </w:pPr>
      <w:r>
        <w:rPr>
          <w:rStyle w:val="Appelnotedebasdep"/>
        </w:rPr>
        <w:footnoteRef/>
      </w:r>
      <w:r>
        <w:t xml:space="preserve"> </w:t>
      </w:r>
      <w:r>
        <w:tab/>
      </w:r>
      <w:r w:rsidRPr="00C92F30">
        <w:rPr>
          <w:lang w:val="fr-FR"/>
        </w:rPr>
        <w:t xml:space="preserve">Pierre Bambou, « Le concept d’oraliture », </w:t>
      </w:r>
      <w:r w:rsidRPr="00C92F30">
        <w:rPr>
          <w:i/>
          <w:lang w:val="fr-FR"/>
        </w:rPr>
        <w:t>Le Nouvelliste</w:t>
      </w:r>
      <w:r w:rsidRPr="00C92F30">
        <w:rPr>
          <w:lang w:val="fr-FR"/>
        </w:rPr>
        <w:t>, 12 mai 1974 (Pie</w:t>
      </w:r>
      <w:r w:rsidRPr="00C92F30">
        <w:rPr>
          <w:lang w:val="fr-FR"/>
        </w:rPr>
        <w:t>r</w:t>
      </w:r>
      <w:r w:rsidRPr="00C92F30">
        <w:rPr>
          <w:lang w:val="fr-FR"/>
        </w:rPr>
        <w:t>re Bambou est le pseudonyme d’Ernest Mirville pour certains de ses art</w:t>
      </w:r>
      <w:r w:rsidRPr="00C92F30">
        <w:rPr>
          <w:lang w:val="fr-FR"/>
        </w:rPr>
        <w:t>i</w:t>
      </w:r>
      <w:r w:rsidRPr="00C92F30">
        <w:rPr>
          <w:lang w:val="fr-FR"/>
        </w:rPr>
        <w:t xml:space="preserve">cles) ; voir aussi Maximilien Laroche, « Oraliture et littérature », dans </w:t>
      </w:r>
      <w:r w:rsidRPr="00C92F30">
        <w:rPr>
          <w:i/>
          <w:lang w:val="fr-FR"/>
        </w:rPr>
        <w:t>Sociopoét</w:t>
      </w:r>
      <w:r w:rsidRPr="00C92F30">
        <w:rPr>
          <w:i/>
          <w:lang w:val="fr-FR"/>
        </w:rPr>
        <w:t>i</w:t>
      </w:r>
      <w:r w:rsidRPr="00C92F30">
        <w:rPr>
          <w:i/>
          <w:lang w:val="fr-FR"/>
        </w:rPr>
        <w:t>ca,</w:t>
      </w:r>
      <w:r w:rsidRPr="00C92F30">
        <w:rPr>
          <w:lang w:val="fr-FR"/>
        </w:rPr>
        <w:t xml:space="preserve"> vol. 1, n</w:t>
      </w:r>
      <w:r w:rsidRPr="00C92F30">
        <w:rPr>
          <w:vertAlign w:val="superscript"/>
          <w:lang w:val="fr-FR"/>
        </w:rPr>
        <w:t>o</w:t>
      </w:r>
      <w:r w:rsidRPr="00C92F30">
        <w:rPr>
          <w:lang w:val="fr-FR"/>
        </w:rPr>
        <w:t> 3,2009, en ligne,</w:t>
      </w:r>
      <w:r>
        <w:rPr>
          <w:lang w:val="fr-FR"/>
        </w:rPr>
        <w:br/>
      </w:r>
      <w:r w:rsidRPr="00C92F30">
        <w:rPr>
          <w:lang w:val="fr-FR"/>
        </w:rPr>
        <w:t xml:space="preserve">http://eduep.uepb.edu.br/sociopoetica/publicacoes/v1n3pdf/09_maximilien_laroche.pdf, consulté le 20 février 2015 ; et </w:t>
      </w:r>
      <w:r w:rsidRPr="00C92F30">
        <w:rPr>
          <w:i/>
          <w:lang w:val="fr-FR"/>
        </w:rPr>
        <w:t>La double scène de la représent</w:t>
      </w:r>
      <w:r w:rsidRPr="00C92F30">
        <w:rPr>
          <w:i/>
          <w:lang w:val="fr-FR"/>
        </w:rPr>
        <w:t>a</w:t>
      </w:r>
      <w:r w:rsidRPr="00C92F30">
        <w:rPr>
          <w:i/>
          <w:lang w:val="fr-FR"/>
        </w:rPr>
        <w:t>tion</w:t>
      </w:r>
      <w:r w:rsidRPr="00C92F30">
        <w:rPr>
          <w:lang w:val="fr-FR"/>
        </w:rPr>
        <w:t>..., op. cit., p.15.</w:t>
      </w:r>
    </w:p>
  </w:footnote>
  <w:footnote w:id="159">
    <w:p w:rsidR="004C50DC" w:rsidRPr="00C92F30" w:rsidRDefault="004C50DC" w:rsidP="004C50DC">
      <w:pPr>
        <w:pStyle w:val="Notedebasdepage"/>
      </w:pPr>
      <w:r w:rsidRPr="00AB4182">
        <w:rPr>
          <w:rStyle w:val="Appelnotedebasdep"/>
        </w:rPr>
        <w:footnoteRef/>
      </w:r>
      <w:r>
        <w:tab/>
      </w:r>
      <w:r w:rsidRPr="00C92F30">
        <w:t>La ou le « méringue » est une musique carnavalesque dans lequel un groupe musical décrit la réalité sociale, conteste la société et les autorités gouvern</w:t>
      </w:r>
      <w:r w:rsidRPr="00C92F30">
        <w:t>e</w:t>
      </w:r>
      <w:r w:rsidRPr="00C92F30">
        <w:t>mentales, exprime certaines vérités ou transgresse certains interdits s</w:t>
      </w:r>
      <w:r w:rsidRPr="00C92F30">
        <w:t>o</w:t>
      </w:r>
      <w:r w:rsidRPr="00C92F30">
        <w:t>ciaux ou révèle la joie de vivre. La période carnavalesque en Haïti est aussi l’occasion de faire tomber les masques et de dénoncer les hypocrisies politiques et soci</w:t>
      </w:r>
      <w:r w:rsidRPr="00C92F30">
        <w:t>a</w:t>
      </w:r>
      <w:r w:rsidRPr="00C92F30">
        <w:t xml:space="preserve">les. </w:t>
      </w:r>
    </w:p>
  </w:footnote>
  <w:footnote w:id="160">
    <w:p w:rsidR="004C50DC" w:rsidRPr="00C92F30" w:rsidRDefault="004C50DC" w:rsidP="004C50DC">
      <w:pPr>
        <w:pStyle w:val="Notedebasdepage"/>
      </w:pPr>
      <w:r w:rsidRPr="00AB4182">
        <w:rPr>
          <w:rStyle w:val="Appelnotedebasdep"/>
        </w:rPr>
        <w:footnoteRef/>
      </w:r>
      <w:r>
        <w:tab/>
      </w:r>
      <w:r w:rsidRPr="00C92F30">
        <w:t>Les fiches en ligne sur le site Inventaire du Patrimoine immatériel d’Haïti (IPIMH) nous sont utiles pour identifier les pratiques culturelles liées à la mémoire de l’esclavage conformément à la Convention pour la sauvegarde du patrimoine culturel et immatériel du 17 octobre 2003 de l’UNESCO</w:t>
      </w:r>
      <w:r w:rsidRPr="00C92F30">
        <w:rPr>
          <w:smallCaps/>
          <w:bdr w:val="none" w:sz="0" w:space="0" w:color="auto" w:frame="1"/>
        </w:rPr>
        <w:t xml:space="preserve">. </w:t>
      </w:r>
      <w:r w:rsidRPr="00C92F30">
        <w:t xml:space="preserve">Pour comprendre ce choix, il faut se référer à G. Ciarca, </w:t>
      </w:r>
      <w:r w:rsidRPr="00C92F30">
        <w:rPr>
          <w:rStyle w:val="Accentuation"/>
          <w:bdr w:val="none" w:sz="0" w:space="0" w:color="auto" w:frame="1"/>
        </w:rPr>
        <w:t>La perte durable. Étude sur la notion de patrimoine immatériel</w:t>
      </w:r>
      <w:r w:rsidRPr="00C92F30">
        <w:t xml:space="preserve">, Paris, Lahic - Mission à l’ethnologie, </w:t>
      </w:r>
      <w:r w:rsidRPr="00C92F30">
        <w:rPr>
          <w:rStyle w:val="Accentuation"/>
          <w:bdr w:val="none" w:sz="0" w:space="0" w:color="auto" w:frame="1"/>
        </w:rPr>
        <w:t>Les carnets du Lahic</w:t>
      </w:r>
      <w:r w:rsidRPr="00C92F30">
        <w:t>, n</w:t>
      </w:r>
      <w:r w:rsidRPr="00C92F30">
        <w:rPr>
          <w:vertAlign w:val="superscript"/>
        </w:rPr>
        <w:t>o</w:t>
      </w:r>
      <w:r w:rsidRPr="00C92F30">
        <w:t> 1, 2006, en ligne</w:t>
      </w:r>
      <w:r w:rsidRPr="00C92F30">
        <w:rPr>
          <w:rStyle w:val="apple-converted-space"/>
        </w:rPr>
        <w:t>,</w:t>
      </w:r>
      <w:r>
        <w:rPr>
          <w:rStyle w:val="apple-converted-space"/>
        </w:rPr>
        <w:br/>
      </w:r>
      <w:hyperlink r:id="rId18" w:history="1">
        <w:r w:rsidRPr="00C92F30">
          <w:rPr>
            <w:rStyle w:val="Lienhypertexte"/>
            <w:color w:val="auto"/>
            <w:bdr w:val="none" w:sz="0" w:space="0" w:color="auto" w:frame="1"/>
          </w:rPr>
          <w:t>http://lahic.cnrs.fr/IMG/pdf/Ciarca_perte_durable.pdf</w:t>
        </w:r>
      </w:hyperlink>
      <w:r w:rsidRPr="00C92F30">
        <w:t>, consulté le 3 mars 2012.</w:t>
      </w:r>
    </w:p>
    <w:p w:rsidR="004C50DC" w:rsidRPr="00C92F30" w:rsidRDefault="004C50DC" w:rsidP="004C50DC">
      <w:pPr>
        <w:pStyle w:val="Notedebasdepage"/>
      </w:pPr>
      <w:r>
        <w:tab/>
      </w:r>
      <w:r>
        <w:tab/>
      </w:r>
      <w:r w:rsidRPr="00C92F30">
        <w:t>Il faut considérer également les réflexions de Cyril Isnart lors de sa co</w:t>
      </w:r>
      <w:r w:rsidRPr="00C92F30">
        <w:t>m</w:t>
      </w:r>
      <w:r w:rsidRPr="00C92F30">
        <w:t>munic</w:t>
      </w:r>
      <w:r w:rsidRPr="00C92F30">
        <w:t>a</w:t>
      </w:r>
      <w:r w:rsidRPr="00C92F30">
        <w:t>tion « Comment faire advenir le patrimoine culturel immatériel ? Sur les usages de l’immatériel » aux Rencontres du Réseau Rhône 2009 ; ces r</w:t>
      </w:r>
      <w:r w:rsidRPr="00C92F30">
        <w:t>é</w:t>
      </w:r>
      <w:r w:rsidRPr="00C92F30">
        <w:t>flexions montrent comment la définition du PCI selon l’UNESCO ne fait que confirmer les usages paradoxaux du patrimoine, qui doit être à la fois hum</w:t>
      </w:r>
      <w:r w:rsidRPr="00C92F30">
        <w:t>a</w:t>
      </w:r>
      <w:r w:rsidRPr="00C92F30">
        <w:t>niste, volontariste et utilitariste. Humaniste, car le patrimoine doit être un symbole de l’humanité partagée de tous les hommes et de leur diversité cult</w:t>
      </w:r>
      <w:r w:rsidRPr="00C92F30">
        <w:t>u</w:t>
      </w:r>
      <w:r w:rsidRPr="00C92F30">
        <w:t>relle ; volontariste, car des individus doivent prendre à bras-le-corps le pr</w:t>
      </w:r>
      <w:r w:rsidRPr="00C92F30">
        <w:t>o</w:t>
      </w:r>
      <w:r w:rsidRPr="00C92F30">
        <w:t>blème de la sauvegarde et de la transmission rompue ; utilitariste enfin, car le PCI doit aider au développement, notamment en créant une dynamique éc</w:t>
      </w:r>
      <w:r w:rsidRPr="00C92F30">
        <w:t>o</w:t>
      </w:r>
      <w:r w:rsidRPr="00C92F30">
        <w:t xml:space="preserve">nomique. </w:t>
      </w:r>
      <w:r w:rsidRPr="00C92F30">
        <w:rPr>
          <w:rStyle w:val="apple-converted-space"/>
        </w:rPr>
        <w:t> </w:t>
      </w:r>
    </w:p>
  </w:footnote>
  <w:footnote w:id="161">
    <w:p w:rsidR="004C50DC" w:rsidRDefault="004C50DC">
      <w:pPr>
        <w:pStyle w:val="Notedebasdepage"/>
      </w:pPr>
      <w:r>
        <w:rPr>
          <w:rStyle w:val="Appelnotedebasdep"/>
        </w:rPr>
        <w:footnoteRef/>
      </w:r>
      <w:r>
        <w:t xml:space="preserve"> </w:t>
      </w:r>
      <w:r>
        <w:tab/>
      </w:r>
      <w:r w:rsidRPr="00C92F30">
        <w:t>Voir André Leroi-Gourhan, « Cinéma et Sciences humaines, le film ethnogr</w:t>
      </w:r>
      <w:r w:rsidRPr="00C92F30">
        <w:t>a</w:t>
      </w:r>
      <w:r w:rsidRPr="00C92F30">
        <w:t xml:space="preserve">phique existe-t-il ? », </w:t>
      </w:r>
      <w:r w:rsidRPr="00C92F30">
        <w:rPr>
          <w:i/>
        </w:rPr>
        <w:t xml:space="preserve">Revue de géographie humaine et </w:t>
      </w:r>
      <w:r w:rsidRPr="00C92F30">
        <w:rPr>
          <w:color w:val="auto"/>
          <w:lang w:val="fr-FR"/>
        </w:rPr>
        <w:t>d’ethnologie, no 3, 1948, p</w:t>
      </w:r>
      <w:r>
        <w:rPr>
          <w:color w:val="auto"/>
          <w:lang w:val="fr-FR"/>
        </w:rPr>
        <w:t>p</w:t>
      </w:r>
      <w:r w:rsidRPr="00C92F30">
        <w:rPr>
          <w:color w:val="auto"/>
          <w:lang w:val="fr-FR"/>
        </w:rPr>
        <w:t>. 42-51.</w:t>
      </w:r>
    </w:p>
  </w:footnote>
  <w:footnote w:id="162">
    <w:p w:rsidR="004C50DC" w:rsidRDefault="004C50DC">
      <w:pPr>
        <w:pStyle w:val="Notedebasdepage"/>
      </w:pPr>
      <w:r>
        <w:rPr>
          <w:rStyle w:val="Appelnotedebasdep"/>
        </w:rPr>
        <w:footnoteRef/>
      </w:r>
      <w:r>
        <w:t xml:space="preserve"> </w:t>
      </w:r>
      <w:r>
        <w:tab/>
      </w:r>
      <w:r w:rsidRPr="00C92F30">
        <w:rPr>
          <w:rFonts w:eastAsia="Arial Unicode MS"/>
          <w:color w:val="auto"/>
          <w:lang w:val="fr-FR" w:eastAsia="hi-IN" w:bidi="hi-IN"/>
        </w:rPr>
        <w:t>Jean Rouch est considéré comme le créateur de l’ethnofiction, un sous-genre de la docufiction ; il est l’un des théoriciens et fondateurs de l’anthropologie v</w:t>
      </w:r>
      <w:r w:rsidRPr="00C92F30">
        <w:rPr>
          <w:rFonts w:eastAsia="Arial Unicode MS"/>
          <w:color w:val="auto"/>
          <w:lang w:val="fr-FR" w:eastAsia="hi-IN" w:bidi="hi-IN"/>
        </w:rPr>
        <w:t>i</w:t>
      </w:r>
      <w:r w:rsidRPr="00C92F30">
        <w:rPr>
          <w:rFonts w:eastAsia="Arial Unicode MS"/>
          <w:color w:val="auto"/>
          <w:lang w:val="fr-FR" w:eastAsia="hi-IN" w:bidi="hi-IN"/>
        </w:rPr>
        <w:t>suelle.</w:t>
      </w:r>
    </w:p>
  </w:footnote>
  <w:footnote w:id="163">
    <w:p w:rsidR="004C50DC" w:rsidRDefault="004C50DC">
      <w:pPr>
        <w:pStyle w:val="Notedebasdepage"/>
      </w:pPr>
      <w:r>
        <w:rPr>
          <w:rStyle w:val="Appelnotedebasdep"/>
        </w:rPr>
        <w:footnoteRef/>
      </w:r>
      <w:r>
        <w:t xml:space="preserve"> </w:t>
      </w:r>
      <w:r>
        <w:tab/>
      </w:r>
      <w:r w:rsidRPr="00C92F30">
        <w:rPr>
          <w:lang w:val="fr-FR"/>
        </w:rPr>
        <w:t>Sur l’importance de cette démarche, voir le document de l’Institut nati</w:t>
      </w:r>
      <w:r w:rsidRPr="00C92F30">
        <w:rPr>
          <w:lang w:val="fr-FR"/>
        </w:rPr>
        <w:t>o</w:t>
      </w:r>
      <w:r w:rsidRPr="00C92F30">
        <w:rPr>
          <w:lang w:val="fr-FR"/>
        </w:rPr>
        <w:t>nal de l’audiovisuel français, http://www.institut-national-audiovisuel.fr/sites/ina/medias/upload/depot_legal-inatheque/guides-des-sources/cinema.pdf, consulté le 22 février 2012.</w:t>
      </w:r>
    </w:p>
  </w:footnote>
  <w:footnote w:id="164">
    <w:p w:rsidR="004C50DC" w:rsidRPr="00C92F30" w:rsidRDefault="004C50DC" w:rsidP="004C50DC">
      <w:pPr>
        <w:pStyle w:val="Notedebasdepage"/>
      </w:pPr>
      <w:r w:rsidRPr="00AB4182">
        <w:rPr>
          <w:rStyle w:val="Appelnotedebasdep"/>
        </w:rPr>
        <w:footnoteRef/>
      </w:r>
      <w:r>
        <w:tab/>
      </w:r>
      <w:r w:rsidRPr="00C92F30">
        <w:t xml:space="preserve">Voir Suzanne Crosta, </w:t>
      </w:r>
      <w:r w:rsidRPr="00C92F30">
        <w:rPr>
          <w:i/>
        </w:rPr>
        <w:t>Le marronnage créateur. Dynamique textuelle chez Édouard Glissant</w:t>
      </w:r>
      <w:r w:rsidRPr="00C92F30">
        <w:t>, Québec, GRELCA, 1991, p. 82 ; voir aussi Willy Appo</w:t>
      </w:r>
      <w:r w:rsidRPr="00C92F30">
        <w:t>l</w:t>
      </w:r>
      <w:r w:rsidRPr="00C92F30">
        <w:t xml:space="preserve">lon, </w:t>
      </w:r>
      <w:r w:rsidRPr="00C92F30">
        <w:rPr>
          <w:i/>
        </w:rPr>
        <w:t>Le vaudou. Un espace pour les « voix »</w:t>
      </w:r>
      <w:r w:rsidRPr="00C92F30">
        <w:t xml:space="preserve">, Paris, Galilée, 1976, p. 26. </w:t>
      </w:r>
    </w:p>
  </w:footnote>
  <w:footnote w:id="165">
    <w:p w:rsidR="004C50DC" w:rsidRPr="00C92F30" w:rsidRDefault="004C50DC" w:rsidP="004C50DC">
      <w:pPr>
        <w:pStyle w:val="Notedebasdepage"/>
      </w:pPr>
      <w:r w:rsidRPr="00AB4182">
        <w:rPr>
          <w:rStyle w:val="Appelnotedebasdep"/>
        </w:rPr>
        <w:footnoteRef/>
      </w:r>
      <w:r>
        <w:tab/>
      </w:r>
      <w:r w:rsidRPr="00C92F30">
        <w:t xml:space="preserve">Maximilien Laroche, « J’oublie, je me souviens, je rêve », dans </w:t>
      </w:r>
      <w:r w:rsidRPr="00C92F30">
        <w:rPr>
          <w:i/>
        </w:rPr>
        <w:t>Haïti face au passé</w:t>
      </w:r>
      <w:r w:rsidRPr="00C92F30">
        <w:t xml:space="preserve">, </w:t>
      </w:r>
      <w:r w:rsidRPr="00C92F30">
        <w:rPr>
          <w:i/>
        </w:rPr>
        <w:t>Ethnologies</w:t>
      </w:r>
      <w:r w:rsidRPr="00C92F30">
        <w:t>, vol.28, n</w:t>
      </w:r>
      <w:r w:rsidRPr="00C92F30">
        <w:rPr>
          <w:vertAlign w:val="superscript"/>
        </w:rPr>
        <w:t>o</w:t>
      </w:r>
      <w:r w:rsidRPr="00C92F30">
        <w:t> 1, 2006, p. 134.</w:t>
      </w:r>
    </w:p>
  </w:footnote>
  <w:footnote w:id="166">
    <w:p w:rsidR="004C50DC" w:rsidRPr="00C92F30" w:rsidRDefault="004C50DC" w:rsidP="004C50DC">
      <w:pPr>
        <w:pStyle w:val="Notedebasdepage"/>
      </w:pPr>
      <w:r w:rsidRPr="00AB4182">
        <w:rPr>
          <w:rStyle w:val="Appelnotedebasdep"/>
        </w:rPr>
        <w:footnoteRef/>
      </w:r>
      <w:r>
        <w:tab/>
      </w:r>
      <w:r w:rsidRPr="00C92F30">
        <w:t xml:space="preserve">Joël Candau, </w:t>
      </w:r>
      <w:r w:rsidRPr="00C92F30">
        <w:rPr>
          <w:i/>
        </w:rPr>
        <w:t>Anthropologie de la mémoire</w:t>
      </w:r>
      <w:r w:rsidRPr="00C92F30">
        <w:t>, op. cit., p. 165.</w:t>
      </w:r>
    </w:p>
  </w:footnote>
  <w:footnote w:id="167">
    <w:p w:rsidR="004C50DC" w:rsidRPr="00C92F30" w:rsidRDefault="004C50DC" w:rsidP="004C50DC">
      <w:pPr>
        <w:pStyle w:val="Notedebasdepage"/>
      </w:pPr>
      <w:r w:rsidRPr="00AB4182">
        <w:rPr>
          <w:rStyle w:val="Appelnotedebasdep"/>
        </w:rPr>
        <w:footnoteRef/>
      </w:r>
      <w:r>
        <w:tab/>
      </w:r>
      <w:r w:rsidRPr="00C92F30">
        <w:t>Les œuvres d’artistes comme Hector Hyppolite, Jean-Claude Garoute (Tiga), Burton Chenet, André Pierre ou Fravrange Valcin révèlent souvent les m</w:t>
      </w:r>
      <w:r w:rsidRPr="00C92F30">
        <w:t>é</w:t>
      </w:r>
      <w:r w:rsidRPr="00C92F30">
        <w:t xml:space="preserve">moires de la société haïtienne, notamment par rapport au vodou et à l’esclavage. </w:t>
      </w:r>
    </w:p>
  </w:footnote>
  <w:footnote w:id="168">
    <w:p w:rsidR="004C50DC" w:rsidRPr="00C92F30" w:rsidRDefault="004C50DC" w:rsidP="004C50DC">
      <w:pPr>
        <w:pStyle w:val="Notedebasdepage"/>
      </w:pPr>
      <w:r w:rsidRPr="00AB4182">
        <w:rPr>
          <w:rStyle w:val="Appelnotedebasdep"/>
        </w:rPr>
        <w:footnoteRef/>
      </w:r>
      <w:r>
        <w:tab/>
      </w:r>
      <w:r w:rsidRPr="00C92F30">
        <w:t>Maximilien Laroche, « J’oublie, je me souviens, je rêve », op. cit., p. 133.</w:t>
      </w:r>
    </w:p>
  </w:footnote>
  <w:footnote w:id="169">
    <w:p w:rsidR="004C50DC" w:rsidRPr="00C92F30" w:rsidRDefault="004C50DC" w:rsidP="004C50DC">
      <w:pPr>
        <w:pStyle w:val="Notedebasdepage"/>
      </w:pPr>
      <w:r w:rsidRPr="00AB4182">
        <w:rPr>
          <w:rStyle w:val="Appelnotedebasdep"/>
        </w:rPr>
        <w:footnoteRef/>
      </w:r>
      <w:r>
        <w:tab/>
      </w:r>
      <w:r w:rsidRPr="00C92F30">
        <w:t xml:space="preserve">Propos tenus par Yves Bergeron dans sa communication : « “Législation” et “tradition” dans la l’application de la Convention sur le patrimoine culturel immatériel ou “Quand les muséologues font la loi” » lors du colloque </w:t>
      </w:r>
      <w:r w:rsidRPr="00C92F30">
        <w:rPr>
          <w:i/>
        </w:rPr>
        <w:t>R</w:t>
      </w:r>
      <w:r w:rsidRPr="00C92F30">
        <w:rPr>
          <w:i/>
        </w:rPr>
        <w:t>e</w:t>
      </w:r>
      <w:r w:rsidRPr="00C92F30">
        <w:rPr>
          <w:i/>
        </w:rPr>
        <w:t>gards croisés sur le droit international de la culture. Interactions et cheva</w:t>
      </w:r>
      <w:r w:rsidRPr="00C92F30">
        <w:rPr>
          <w:i/>
        </w:rPr>
        <w:t>u</w:t>
      </w:r>
      <w:r w:rsidRPr="00C92F30">
        <w:rPr>
          <w:i/>
        </w:rPr>
        <w:t>chements entre les conventions relatives au patrimoine culturel immatériel et à la dive</w:t>
      </w:r>
      <w:r w:rsidRPr="00C92F30">
        <w:rPr>
          <w:i/>
        </w:rPr>
        <w:t>r</w:t>
      </w:r>
      <w:r w:rsidRPr="00C92F30">
        <w:rPr>
          <w:i/>
        </w:rPr>
        <w:t>sité des expressions culturelles</w:t>
      </w:r>
      <w:r w:rsidRPr="00C92F30">
        <w:t>, organisé les 11 et 12 octobre 2012 à l’Université Laval.</w:t>
      </w:r>
    </w:p>
  </w:footnote>
  <w:footnote w:id="170">
    <w:p w:rsidR="004C50DC" w:rsidRPr="00C92F30" w:rsidRDefault="004C50DC" w:rsidP="004C50DC">
      <w:pPr>
        <w:pStyle w:val="Notedebasdepage"/>
        <w:rPr>
          <w:lang w:val="fr-FR"/>
        </w:rPr>
      </w:pPr>
      <w:r w:rsidRPr="00AB4182">
        <w:rPr>
          <w:rStyle w:val="Appelnotedebasdep"/>
          <w:lang w:val="fr-FR"/>
        </w:rPr>
        <w:footnoteRef/>
      </w:r>
      <w:r>
        <w:tab/>
      </w:r>
      <w:r w:rsidRPr="00C92F30">
        <w:t xml:space="preserve">Mondher Kilani, </w:t>
      </w:r>
      <w:r w:rsidRPr="00AB4182">
        <w:rPr>
          <w:i/>
        </w:rPr>
        <w:t>op. cit</w:t>
      </w:r>
      <w:r w:rsidRPr="00C92F30">
        <w:t>.,</w:t>
      </w:r>
      <w:r>
        <w:t xml:space="preserve"> </w:t>
      </w:r>
      <w:r w:rsidRPr="00C92F30">
        <w:rPr>
          <w:lang w:val="fr-FR"/>
        </w:rPr>
        <w:t>p. 31.</w:t>
      </w:r>
    </w:p>
  </w:footnote>
  <w:footnote w:id="171">
    <w:p w:rsidR="004C50DC" w:rsidRPr="00C92F30" w:rsidRDefault="004C50DC" w:rsidP="004C50DC">
      <w:pPr>
        <w:pStyle w:val="Notedebasdepage"/>
      </w:pPr>
      <w:r w:rsidRPr="00AB4182">
        <w:rPr>
          <w:rStyle w:val="Appelnotedebasdep"/>
        </w:rPr>
        <w:footnoteRef/>
      </w:r>
      <w:r>
        <w:tab/>
      </w:r>
      <w:r w:rsidRPr="00C92F30">
        <w:t xml:space="preserve">Johannes Fabian, </w:t>
      </w:r>
      <w:r w:rsidRPr="00C92F30">
        <w:rPr>
          <w:i/>
        </w:rPr>
        <w:t xml:space="preserve">Le temps et les autres. Comment l’anthropologie construit son objet, </w:t>
      </w:r>
      <w:r w:rsidRPr="00C92F30">
        <w:t xml:space="preserve">trad. par Estelle Henry-Bossoney et Bernard Müller, Toulouse, Anacharsis, 2006 ; voir aussi le compte rendu de Claude Dubar, « Johannes Fabian, </w:t>
      </w:r>
      <w:r w:rsidRPr="00C92F30">
        <w:rPr>
          <w:i/>
        </w:rPr>
        <w:t>Le temps et les autres. Comment l’anthropologie construit son o</w:t>
      </w:r>
      <w:r w:rsidRPr="00C92F30">
        <w:rPr>
          <w:i/>
        </w:rPr>
        <w:t>b</w:t>
      </w:r>
      <w:r w:rsidRPr="00C92F30">
        <w:rPr>
          <w:i/>
        </w:rPr>
        <w:t>jet</w:t>
      </w:r>
      <w:r w:rsidRPr="00C92F30">
        <w:t> », </w:t>
      </w:r>
      <w:r w:rsidRPr="00C92F30">
        <w:rPr>
          <w:i/>
        </w:rPr>
        <w:t>Temporalités</w:t>
      </w:r>
      <w:r w:rsidRPr="00C92F30">
        <w:t>, n</w:t>
      </w:r>
      <w:r w:rsidRPr="00C92F30">
        <w:rPr>
          <w:vertAlign w:val="superscript"/>
        </w:rPr>
        <w:t>o</w:t>
      </w:r>
      <w:r w:rsidRPr="00C92F30">
        <w:t> 5,2006, en ligne, http://temporalites.revues.org/319, consulté le 7 décembre 2015.</w:t>
      </w:r>
    </w:p>
  </w:footnote>
  <w:footnote w:id="172">
    <w:p w:rsidR="004C50DC" w:rsidRDefault="004C50DC">
      <w:pPr>
        <w:pStyle w:val="Notedebasdepage"/>
      </w:pPr>
      <w:r>
        <w:rPr>
          <w:rStyle w:val="Appelnotedebasdep"/>
        </w:rPr>
        <w:footnoteRef/>
      </w:r>
      <w:r>
        <w:t xml:space="preserve"> </w:t>
      </w:r>
      <w:r>
        <w:tab/>
      </w:r>
      <w:r w:rsidRPr="00C92F30">
        <w:rPr>
          <w:color w:val="auto"/>
          <w:lang w:val="fr-FR"/>
        </w:rPr>
        <w:t>Loubet del Bayle estime que la dialectique est d’abord associée au concept de totalité en niant l’isolement entre les ensembles et leurs parties et en soul</w:t>
      </w:r>
      <w:r w:rsidRPr="00C92F30">
        <w:rPr>
          <w:color w:val="auto"/>
          <w:lang w:val="fr-FR"/>
        </w:rPr>
        <w:t>i</w:t>
      </w:r>
      <w:r w:rsidRPr="00C92F30">
        <w:rPr>
          <w:color w:val="auto"/>
          <w:lang w:val="fr-FR"/>
        </w:rPr>
        <w:t xml:space="preserve">gnant que la réalité sociale est le fait de l’ensemble des interactions entre ses différents éléments ; voir Kiyamba Shomba, </w:t>
      </w:r>
      <w:r w:rsidRPr="00C92F30">
        <w:rPr>
          <w:i/>
          <w:color w:val="auto"/>
          <w:lang w:val="fr-FR"/>
        </w:rPr>
        <w:t>Méthodes de la recherche scie</w:t>
      </w:r>
      <w:r w:rsidRPr="00C92F30">
        <w:rPr>
          <w:i/>
          <w:color w:val="auto"/>
          <w:lang w:val="fr-FR"/>
        </w:rPr>
        <w:t>n</w:t>
      </w:r>
      <w:r w:rsidRPr="00C92F30">
        <w:rPr>
          <w:i/>
          <w:color w:val="auto"/>
          <w:lang w:val="fr-FR"/>
        </w:rPr>
        <w:t>tifique</w:t>
      </w:r>
      <w:r w:rsidRPr="00C92F30">
        <w:rPr>
          <w:color w:val="auto"/>
          <w:lang w:val="fr-FR"/>
        </w:rPr>
        <w:t>, Kinsh</w:t>
      </w:r>
      <w:r w:rsidRPr="00C92F30">
        <w:rPr>
          <w:color w:val="auto"/>
          <w:lang w:val="fr-FR"/>
        </w:rPr>
        <w:t>a</w:t>
      </w:r>
      <w:r w:rsidRPr="00C92F30">
        <w:rPr>
          <w:color w:val="auto"/>
          <w:lang w:val="fr-FR"/>
        </w:rPr>
        <w:t xml:space="preserve">sa, Presses universitaires de Kinshasa, 2002, p. 95. </w:t>
      </w:r>
    </w:p>
  </w:footnote>
  <w:footnote w:id="173">
    <w:p w:rsidR="004C50DC" w:rsidRPr="00C92F30" w:rsidRDefault="004C50DC" w:rsidP="004C50DC">
      <w:pPr>
        <w:pStyle w:val="Notedebasdepage"/>
      </w:pPr>
      <w:r w:rsidRPr="00AB4182">
        <w:rPr>
          <w:rStyle w:val="Appelnotedebasdep"/>
        </w:rPr>
        <w:footnoteRef/>
      </w:r>
      <w:r>
        <w:tab/>
      </w:r>
      <w:r w:rsidRPr="00C92F30">
        <w:t xml:space="preserve">Pierre Bourdieu nous </w:t>
      </w:r>
      <w:r w:rsidRPr="00C92F30">
        <w:rPr>
          <w:lang w:eastAsia="ja-JP"/>
        </w:rPr>
        <w:t>dit que dans certaines conditions, on peut arriver, à pa</w:t>
      </w:r>
      <w:r w:rsidRPr="00C92F30">
        <w:rPr>
          <w:lang w:eastAsia="ja-JP"/>
        </w:rPr>
        <w:t>r</w:t>
      </w:r>
      <w:r w:rsidRPr="00C92F30">
        <w:rPr>
          <w:lang w:eastAsia="ja-JP"/>
        </w:rPr>
        <w:t>tir de l’histoire, à reconstituer ou révéler des faits encore inconnus, mais il faut recourir à la « rationalité » en s’installant dans le doute. Bourdieu ado</w:t>
      </w:r>
      <w:r w:rsidRPr="00C92F30">
        <w:rPr>
          <w:lang w:eastAsia="ja-JP"/>
        </w:rPr>
        <w:t>p</w:t>
      </w:r>
      <w:r w:rsidRPr="00C92F30">
        <w:rPr>
          <w:lang w:eastAsia="ja-JP"/>
        </w:rPr>
        <w:t>te « le doute radical » de Descartes. Donc c’est en pratiquant « le doute rad</w:t>
      </w:r>
      <w:r w:rsidRPr="00C92F30">
        <w:rPr>
          <w:lang w:eastAsia="ja-JP"/>
        </w:rPr>
        <w:t>i</w:t>
      </w:r>
      <w:r w:rsidRPr="00C92F30">
        <w:rPr>
          <w:lang w:eastAsia="ja-JP"/>
        </w:rPr>
        <w:t xml:space="preserve">cal » que l’on peut arriver à une certaine « rationalité », c’est-à-dire à sortir le savoir de son historicité. Dans notre démarche, l’anthropologie réflexive nous a été d’une grande utilité ; voir Pierre </w:t>
      </w:r>
      <w:r w:rsidRPr="00C92F30">
        <w:rPr>
          <w:rFonts w:eastAsia="Calibri"/>
          <w:lang w:eastAsia="en-CA"/>
        </w:rPr>
        <w:t xml:space="preserve">Bourdieu, « La pratique de l’anthropologie réflexive », dans Pierre Bourdieu et Loïc Wacquant, </w:t>
      </w:r>
      <w:r w:rsidRPr="00C92F30">
        <w:rPr>
          <w:rFonts w:eastAsia="Calibri"/>
          <w:i/>
          <w:iCs/>
          <w:lang w:eastAsia="en-CA"/>
        </w:rPr>
        <w:t>Répo</w:t>
      </w:r>
      <w:r w:rsidRPr="00C92F30">
        <w:rPr>
          <w:rFonts w:eastAsia="Calibri"/>
          <w:i/>
          <w:iCs/>
          <w:lang w:eastAsia="en-CA"/>
        </w:rPr>
        <w:t>n</w:t>
      </w:r>
      <w:r w:rsidRPr="00C92F30">
        <w:rPr>
          <w:rFonts w:eastAsia="Calibri"/>
          <w:i/>
          <w:iCs/>
          <w:lang w:eastAsia="en-CA"/>
        </w:rPr>
        <w:t>ses</w:t>
      </w:r>
      <w:r w:rsidRPr="00C92F30">
        <w:rPr>
          <w:rFonts w:eastAsia="Calibri"/>
          <w:lang w:eastAsia="en-CA"/>
        </w:rPr>
        <w:t>, Paris, Seuil, 1992.</w:t>
      </w:r>
    </w:p>
  </w:footnote>
  <w:footnote w:id="174">
    <w:p w:rsidR="004C50DC" w:rsidRDefault="004C50DC">
      <w:pPr>
        <w:pStyle w:val="Notedebasdepage"/>
      </w:pPr>
      <w:r w:rsidRPr="00AB4182">
        <w:rPr>
          <w:rStyle w:val="Appelnotedebasdep"/>
        </w:rPr>
        <w:footnoteRef/>
      </w:r>
      <w:r w:rsidRPr="00AB4182">
        <w:rPr>
          <w:sz w:val="20"/>
        </w:rPr>
        <w:t xml:space="preserve"> </w:t>
      </w:r>
      <w:r>
        <w:tab/>
      </w:r>
      <w:r w:rsidRPr="00C92F30">
        <w:t xml:space="preserve">Voir Christian Ghasarian (dir.), </w:t>
      </w:r>
      <w:r w:rsidRPr="00C92F30">
        <w:rPr>
          <w:i/>
        </w:rPr>
        <w:t>De l’ethnographie à l’anthropologie réflex</w:t>
      </w:r>
      <w:r w:rsidRPr="00C92F30">
        <w:rPr>
          <w:i/>
        </w:rPr>
        <w:t>i</w:t>
      </w:r>
      <w:r w:rsidRPr="00C92F30">
        <w:rPr>
          <w:i/>
        </w:rPr>
        <w:t xml:space="preserve">ve..., </w:t>
      </w:r>
      <w:r w:rsidRPr="00C92F30">
        <w:t xml:space="preserve">op. cit. </w:t>
      </w:r>
      <w:r w:rsidRPr="00C92F30">
        <w:rPr>
          <w:lang w:eastAsia="ja-JP"/>
        </w:rPr>
        <w:t>Ghasarian se réclame d’une réflexivité assez proche de celle de Pie</w:t>
      </w:r>
      <w:r w:rsidRPr="00C92F30">
        <w:rPr>
          <w:lang w:eastAsia="ja-JP"/>
        </w:rPr>
        <w:t>r</w:t>
      </w:r>
      <w:r w:rsidRPr="00C92F30">
        <w:rPr>
          <w:lang w:eastAsia="ja-JP"/>
        </w:rPr>
        <w:t xml:space="preserve">re Bourdieu. </w:t>
      </w:r>
    </w:p>
  </w:footnote>
  <w:footnote w:id="175">
    <w:p w:rsidR="004C50DC" w:rsidRPr="00C92F30" w:rsidRDefault="004C50DC" w:rsidP="004C50DC">
      <w:pPr>
        <w:pStyle w:val="Notedebasdepage"/>
      </w:pPr>
      <w:r w:rsidRPr="00AB4182">
        <w:rPr>
          <w:rStyle w:val="Appelnotedebasdep"/>
        </w:rPr>
        <w:footnoteRef/>
      </w:r>
      <w:r>
        <w:rPr>
          <w:lang w:eastAsia="ja-JP"/>
        </w:rPr>
        <w:tab/>
      </w:r>
      <w:r w:rsidRPr="00C92F30">
        <w:rPr>
          <w:lang w:eastAsia="ja-JP"/>
        </w:rPr>
        <w:t xml:space="preserve">Pierre </w:t>
      </w:r>
      <w:r w:rsidRPr="00C92F30">
        <w:rPr>
          <w:rFonts w:eastAsia="Calibri"/>
          <w:lang w:eastAsia="en-CA"/>
        </w:rPr>
        <w:t xml:space="preserve">Bourdieu, « La pratique de l’anthropologie réflexive », op. cit., p. 208, cité par </w:t>
      </w:r>
      <w:r w:rsidRPr="00C92F30">
        <w:t xml:space="preserve">Christine Chivallon, </w:t>
      </w:r>
      <w:r w:rsidRPr="00C92F30">
        <w:rPr>
          <w:rFonts w:eastAsia="Calibri"/>
        </w:rPr>
        <w:t xml:space="preserve">« La quête pathétique des </w:t>
      </w:r>
      <w:r w:rsidRPr="00C92F30">
        <w:rPr>
          <w:rFonts w:eastAsia="Calibri"/>
          <w:i/>
        </w:rPr>
        <w:t>postcolonial studies</w:t>
      </w:r>
      <w:r w:rsidRPr="00C92F30">
        <w:rPr>
          <w:rFonts w:eastAsia="Calibri"/>
        </w:rPr>
        <w:t xml:space="preserve"> ou la révolution manquée », op. cit., p</w:t>
      </w:r>
      <w:r>
        <w:rPr>
          <w:rFonts w:eastAsia="Calibri"/>
        </w:rPr>
        <w:t>p</w:t>
      </w:r>
      <w:r w:rsidRPr="00C92F30">
        <w:rPr>
          <w:rFonts w:eastAsia="Calibri"/>
        </w:rPr>
        <w:t xml:space="preserve">. 32-39. </w:t>
      </w:r>
    </w:p>
  </w:footnote>
  <w:footnote w:id="176">
    <w:p w:rsidR="004C50DC" w:rsidRPr="00C92F30" w:rsidRDefault="004C50DC" w:rsidP="004C50DC">
      <w:pPr>
        <w:pStyle w:val="Notedebasdepage"/>
      </w:pPr>
      <w:r w:rsidRPr="00AB4182">
        <w:rPr>
          <w:rStyle w:val="Appelnotedebasdep"/>
        </w:rPr>
        <w:footnoteRef/>
      </w:r>
      <w:r>
        <w:tab/>
      </w:r>
      <w:r w:rsidRPr="00C92F30">
        <w:t>Chivallon, ibid</w:t>
      </w:r>
      <w:r w:rsidRPr="00C92F30">
        <w:rPr>
          <w:rFonts w:eastAsia="Calibri"/>
        </w:rPr>
        <w:t>.</w:t>
      </w:r>
    </w:p>
  </w:footnote>
  <w:footnote w:id="177">
    <w:p w:rsidR="004C50DC" w:rsidRDefault="004C50DC">
      <w:pPr>
        <w:pStyle w:val="Notedebasdepage"/>
      </w:pPr>
      <w:r w:rsidRPr="00AB4182">
        <w:rPr>
          <w:rStyle w:val="Appelnotedebasdep"/>
        </w:rPr>
        <w:footnoteRef/>
      </w:r>
      <w:r w:rsidRPr="00AB4182">
        <w:rPr>
          <w:sz w:val="20"/>
        </w:rPr>
        <w:t xml:space="preserve"> </w:t>
      </w:r>
      <w:r>
        <w:tab/>
      </w:r>
      <w:r w:rsidRPr="00C92F30">
        <w:rPr>
          <w:rFonts w:eastAsia="Calibri"/>
          <w:lang w:eastAsia="en-CA"/>
        </w:rPr>
        <w:t xml:space="preserve">Cornelius Castoriadis, </w:t>
      </w:r>
      <w:r w:rsidRPr="00C92F30">
        <w:rPr>
          <w:rFonts w:eastAsia="Calibri"/>
          <w:i/>
          <w:iCs/>
          <w:lang w:eastAsia="en-CA"/>
        </w:rPr>
        <w:t>L’institution imaginaire de la société</w:t>
      </w:r>
      <w:r w:rsidRPr="00C92F30">
        <w:rPr>
          <w:rFonts w:eastAsia="Calibri"/>
          <w:lang w:eastAsia="en-CA"/>
        </w:rPr>
        <w:t xml:space="preserve">, Paris, Seuil, 1975, p. 230. </w:t>
      </w:r>
      <w:r w:rsidRPr="00C92F30">
        <w:t xml:space="preserve">Pour la citation, lire Christine Chivallon, </w:t>
      </w:r>
      <w:r w:rsidRPr="00C92F30">
        <w:rPr>
          <w:rFonts w:eastAsia="Calibri"/>
        </w:rPr>
        <w:t xml:space="preserve">« La quête pathétique des </w:t>
      </w:r>
      <w:r w:rsidRPr="00C92F30">
        <w:rPr>
          <w:rFonts w:eastAsia="Calibri"/>
          <w:i/>
        </w:rPr>
        <w:t>postc</w:t>
      </w:r>
      <w:r w:rsidRPr="00C92F30">
        <w:rPr>
          <w:rFonts w:eastAsia="Calibri"/>
          <w:i/>
        </w:rPr>
        <w:t>o</w:t>
      </w:r>
      <w:r w:rsidRPr="00C92F30">
        <w:rPr>
          <w:rFonts w:eastAsia="Calibri"/>
          <w:i/>
        </w:rPr>
        <w:t>lonial studies</w:t>
      </w:r>
      <w:r w:rsidRPr="00C92F30">
        <w:rPr>
          <w:rFonts w:eastAsia="Calibri"/>
        </w:rPr>
        <w:t xml:space="preserve"> ou la révolution manquée », op. cit.</w:t>
      </w:r>
    </w:p>
  </w:footnote>
  <w:footnote w:id="178">
    <w:p w:rsidR="004C50DC" w:rsidRDefault="004C50DC">
      <w:pPr>
        <w:pStyle w:val="Notedebasdepage"/>
      </w:pPr>
      <w:r>
        <w:rPr>
          <w:rStyle w:val="Appelnotedebasdep"/>
        </w:rPr>
        <w:footnoteRef/>
      </w:r>
      <w:r>
        <w:t xml:space="preserve"> </w:t>
      </w:r>
      <w:r>
        <w:tab/>
      </w:r>
      <w:r w:rsidRPr="00C92F30">
        <w:rPr>
          <w:lang w:eastAsia="fr-FR"/>
        </w:rPr>
        <w:t xml:space="preserve">Marcel Dorigny et Bernard Gainot, </w:t>
      </w:r>
      <w:r w:rsidRPr="00C92F30">
        <w:rPr>
          <w:i/>
          <w:lang w:eastAsia="fr-FR"/>
        </w:rPr>
        <w:t>Atlas des esclavages de l’Antiquité à nos jours</w:t>
      </w:r>
      <w:r w:rsidRPr="00C92F30">
        <w:rPr>
          <w:lang w:eastAsia="fr-FR"/>
        </w:rPr>
        <w:t>, op. cit., p. 6.</w:t>
      </w:r>
    </w:p>
  </w:footnote>
  <w:footnote w:id="179">
    <w:p w:rsidR="004C50DC" w:rsidRDefault="004C50DC">
      <w:pPr>
        <w:pStyle w:val="Notedebasdepage"/>
      </w:pPr>
      <w:r>
        <w:rPr>
          <w:rStyle w:val="Appelnotedebasdep"/>
        </w:rPr>
        <w:footnoteRef/>
      </w:r>
      <w:r>
        <w:t xml:space="preserve"> </w:t>
      </w:r>
      <w:r>
        <w:tab/>
      </w:r>
      <w:r w:rsidRPr="00C92F30">
        <w:t xml:space="preserve">Cette appellation concorde avec la définition de </w:t>
      </w:r>
      <w:r w:rsidRPr="00C92F30">
        <w:rPr>
          <w:lang w:eastAsia="fr-FR"/>
        </w:rPr>
        <w:t>l’esclavage dans la Conve</w:t>
      </w:r>
      <w:r w:rsidRPr="00C92F30">
        <w:rPr>
          <w:lang w:eastAsia="fr-FR"/>
        </w:rPr>
        <w:t>n</w:t>
      </w:r>
      <w:r w:rsidRPr="00C92F30">
        <w:rPr>
          <w:lang w:eastAsia="fr-FR"/>
        </w:rPr>
        <w:t>tion relative à l’esclavage, signée à Genève le 25 septembre 1926 en son art</w:t>
      </w:r>
      <w:r w:rsidRPr="00C92F30">
        <w:rPr>
          <w:lang w:eastAsia="fr-FR"/>
        </w:rPr>
        <w:t>i</w:t>
      </w:r>
      <w:r w:rsidRPr="00C92F30">
        <w:rPr>
          <w:lang w:eastAsia="fr-FR"/>
        </w:rPr>
        <w:t>cle 1</w:t>
      </w:r>
      <w:r w:rsidRPr="00C92F30">
        <w:rPr>
          <w:vertAlign w:val="superscript"/>
          <w:lang w:eastAsia="fr-FR"/>
        </w:rPr>
        <w:t>er</w:t>
      </w:r>
      <w:r w:rsidRPr="00C92F30">
        <w:rPr>
          <w:lang w:eastAsia="fr-FR"/>
        </w:rPr>
        <w:t xml:space="preserve">, titre 1 : « l’esclavage est l’état ou condition d’un individu sur lequel s’exercent des attributs du droit de propriété ou certains d’entre eux ». </w:t>
      </w:r>
    </w:p>
  </w:footnote>
  <w:footnote w:id="180">
    <w:p w:rsidR="004C50DC" w:rsidRDefault="004C50DC">
      <w:pPr>
        <w:pStyle w:val="Notedebasdepage"/>
      </w:pPr>
      <w:r>
        <w:rPr>
          <w:rStyle w:val="Appelnotedebasdep"/>
        </w:rPr>
        <w:footnoteRef/>
      </w:r>
      <w:r>
        <w:t xml:space="preserve"> </w:t>
      </w:r>
      <w:r>
        <w:tab/>
      </w:r>
      <w:r w:rsidRPr="00C92F30">
        <w:rPr>
          <w:lang w:val="fr-FR" w:eastAsia="fr-FR"/>
        </w:rPr>
        <w:t>Ce texte de jurisprudence établissait la hiérarchisation de la société mésop</w:t>
      </w:r>
      <w:r w:rsidRPr="00C92F30">
        <w:rPr>
          <w:lang w:val="fr-FR" w:eastAsia="fr-FR"/>
        </w:rPr>
        <w:t>o</w:t>
      </w:r>
      <w:r w:rsidRPr="00C92F30">
        <w:rPr>
          <w:lang w:val="fr-FR" w:eastAsia="fr-FR"/>
        </w:rPr>
        <w:t>tamienne en trois groupes d’individus : les notables (</w:t>
      </w:r>
      <w:r w:rsidRPr="00C92F30">
        <w:rPr>
          <w:i/>
          <w:iCs/>
          <w:lang w:val="fr-FR" w:eastAsia="fr-FR"/>
        </w:rPr>
        <w:t>awīlum</w:t>
      </w:r>
      <w:r w:rsidRPr="00C92F30">
        <w:rPr>
          <w:iCs/>
          <w:lang w:val="fr-FR" w:eastAsia="fr-FR"/>
        </w:rPr>
        <w:t>), les gens du pe</w:t>
      </w:r>
      <w:r w:rsidRPr="00C92F30">
        <w:rPr>
          <w:iCs/>
          <w:lang w:val="fr-FR" w:eastAsia="fr-FR"/>
        </w:rPr>
        <w:t>u</w:t>
      </w:r>
      <w:r w:rsidRPr="00C92F30">
        <w:rPr>
          <w:iCs/>
          <w:lang w:val="fr-FR" w:eastAsia="fr-FR"/>
        </w:rPr>
        <w:t xml:space="preserve">ple </w:t>
      </w:r>
      <w:r w:rsidRPr="00C92F30">
        <w:rPr>
          <w:lang w:val="fr-FR" w:eastAsia="fr-FR"/>
        </w:rPr>
        <w:t>(</w:t>
      </w:r>
      <w:r w:rsidRPr="00C92F30">
        <w:rPr>
          <w:i/>
          <w:iCs/>
          <w:lang w:val="fr-FR" w:eastAsia="fr-FR"/>
        </w:rPr>
        <w:t>muškēnum</w:t>
      </w:r>
      <w:r w:rsidRPr="00C92F30">
        <w:rPr>
          <w:lang w:val="fr-FR" w:eastAsia="fr-FR"/>
        </w:rPr>
        <w:t>) et les esclaves (</w:t>
      </w:r>
      <w:r w:rsidRPr="00C92F30">
        <w:rPr>
          <w:i/>
          <w:iCs/>
          <w:lang w:val="fr-FR" w:eastAsia="fr-FR"/>
        </w:rPr>
        <w:t>wardum</w:t>
      </w:r>
      <w:r w:rsidRPr="00C92F30">
        <w:rPr>
          <w:lang w:val="fr-FR" w:eastAsia="fr-FR"/>
        </w:rPr>
        <w:t>). Les esclaves avaient un statut partic</w:t>
      </w:r>
      <w:r w:rsidRPr="00C92F30">
        <w:rPr>
          <w:lang w:val="fr-FR" w:eastAsia="fr-FR"/>
        </w:rPr>
        <w:t>u</w:t>
      </w:r>
      <w:r w:rsidRPr="00C92F30">
        <w:rPr>
          <w:lang w:val="fr-FR" w:eastAsia="fr-FR"/>
        </w:rPr>
        <w:t>lier qui les assimilait aux animaux et aux objets. Selon l’article 7 du Code d’Hammourabi : « Si un homme a acheté ou reçu en dépôt, sans témoins ni contrat, de l’or, de l’argent, esclave mâle ou femelle, bœuf ou mouton, âne ou quoi que ce soit, des mains d’un fils d’autrui ou d’un esclave d’autrui, cet homme est assimilable à un voleur et passible de mort » ; lire aussi l’article 15 :« Si un homme a fait sortir des portes un esclave ou une esclave du palais, un esclave ou une esclave d’un mouchkîno, il est passible de mort » ; cité par Vincent Scheil, La Loi de Hammourabi (vers 2000 av. J.-C.), deuxième éd</w:t>
      </w:r>
      <w:r w:rsidRPr="00C92F30">
        <w:rPr>
          <w:lang w:val="fr-FR" w:eastAsia="fr-FR"/>
        </w:rPr>
        <w:t>i</w:t>
      </w:r>
      <w:r w:rsidRPr="00C92F30">
        <w:rPr>
          <w:lang w:val="fr-FR" w:eastAsia="fr-FR"/>
        </w:rPr>
        <w:t>tion, Paris, Ernest Leroux,</w:t>
      </w:r>
      <w:r w:rsidRPr="00C92F30">
        <w:rPr>
          <w:lang w:val="fr-FR"/>
        </w:rPr>
        <w:t xml:space="preserve"> 1904, en l</w:t>
      </w:r>
      <w:r w:rsidRPr="00C92F30">
        <w:rPr>
          <w:lang w:val="fr-FR"/>
        </w:rPr>
        <w:t>i</w:t>
      </w:r>
      <w:r w:rsidRPr="00C92F30">
        <w:rPr>
          <w:lang w:val="fr-FR"/>
        </w:rPr>
        <w:t>gne,</w:t>
      </w:r>
      <w:r>
        <w:rPr>
          <w:lang w:val="fr-FR"/>
        </w:rPr>
        <w:br/>
      </w:r>
      <w:hyperlink r:id="rId19" w:history="1">
        <w:r w:rsidRPr="00C92F30">
          <w:rPr>
            <w:rStyle w:val="Lienhypertexte"/>
            <w:lang w:val="fr-FR"/>
          </w:rPr>
          <w:t>http://remacle.org/bloodwolf/erudits/amourabi/code.htm</w:t>
        </w:r>
      </w:hyperlink>
      <w:r w:rsidRPr="00C92F30">
        <w:rPr>
          <w:lang w:val="fr-FR"/>
        </w:rPr>
        <w:t>, consulté le 6 déce</w:t>
      </w:r>
      <w:r w:rsidRPr="00C92F30">
        <w:rPr>
          <w:lang w:val="fr-FR"/>
        </w:rPr>
        <w:t>m</w:t>
      </w:r>
      <w:r w:rsidRPr="00C92F30">
        <w:rPr>
          <w:lang w:val="fr-FR"/>
        </w:rPr>
        <w:t xml:space="preserve">bre 2015. </w:t>
      </w:r>
    </w:p>
  </w:footnote>
  <w:footnote w:id="181">
    <w:p w:rsidR="004C50DC" w:rsidRDefault="004C50DC">
      <w:pPr>
        <w:pStyle w:val="Notedebasdepage"/>
      </w:pPr>
      <w:r>
        <w:rPr>
          <w:rStyle w:val="Appelnotedebasdep"/>
        </w:rPr>
        <w:footnoteRef/>
      </w:r>
      <w:r>
        <w:t xml:space="preserve"> </w:t>
      </w:r>
      <w:r>
        <w:tab/>
      </w:r>
      <w:r w:rsidRPr="00C92F30">
        <w:rPr>
          <w:lang w:val="fr-FR"/>
        </w:rPr>
        <w:t xml:space="preserve">Voir à ce sujet les analyses de </w:t>
      </w:r>
      <w:r w:rsidRPr="00C92F30">
        <w:rPr>
          <w:rFonts w:eastAsia="Calibri"/>
          <w:lang w:val="fr-FR" w:eastAsia="fr-FR"/>
        </w:rPr>
        <w:t xml:space="preserve">Christian Delacampagne, </w:t>
      </w:r>
      <w:r w:rsidRPr="00C92F30">
        <w:rPr>
          <w:rFonts w:eastAsia="Calibri"/>
          <w:i/>
          <w:lang w:val="fr-FR" w:eastAsia="fr-FR"/>
        </w:rPr>
        <w:t>Une</w:t>
      </w:r>
      <w:r w:rsidRPr="00C92F30">
        <w:rPr>
          <w:rFonts w:eastAsia="Calibri"/>
          <w:i/>
          <w:iCs/>
          <w:lang w:val="fr-FR" w:eastAsia="fr-FR"/>
        </w:rPr>
        <w:t>histoire de l’esclavage, de l’Antiquité à nos jours</w:t>
      </w:r>
      <w:r w:rsidRPr="00C92F30">
        <w:rPr>
          <w:rFonts w:eastAsia="Calibri"/>
          <w:lang w:val="fr-FR" w:eastAsia="fr-FR"/>
        </w:rPr>
        <w:t>, Paris, Le livre de poche, 3</w:t>
      </w:r>
      <w:r w:rsidRPr="00C92F30">
        <w:rPr>
          <w:rFonts w:eastAsia="Calibri"/>
          <w:vertAlign w:val="superscript"/>
          <w:lang w:val="fr-FR" w:eastAsia="fr-FR"/>
        </w:rPr>
        <w:t>e</w:t>
      </w:r>
      <w:r w:rsidRPr="00C92F30">
        <w:rPr>
          <w:rFonts w:eastAsia="Calibri"/>
          <w:lang w:val="fr-FR" w:eastAsia="fr-FR"/>
        </w:rPr>
        <w:t xml:space="preserve"> éd., 2002 ; </w:t>
      </w:r>
      <w:r w:rsidRPr="00C92F30">
        <w:rPr>
          <w:lang w:val="fr-FR"/>
        </w:rPr>
        <w:t xml:space="preserve">de Mathilde Giard, </w:t>
      </w:r>
      <w:r w:rsidRPr="00C92F30">
        <w:rPr>
          <w:i/>
          <w:lang w:val="fr-FR"/>
        </w:rPr>
        <w:t>L’esclavage de l’Antiquité à nos jours</w:t>
      </w:r>
      <w:r w:rsidRPr="00C92F30">
        <w:rPr>
          <w:lang w:val="fr-FR"/>
        </w:rPr>
        <w:t xml:space="preserve">, Paris, Flammarion, 2013 ; et de Youval Rotman, </w:t>
      </w:r>
      <w:r w:rsidRPr="00C92F30">
        <w:rPr>
          <w:i/>
          <w:lang w:val="fr-FR"/>
        </w:rPr>
        <w:t>Les esclaves et l’esclavage, de la Méditerranée antique à la Méditerranée médiévale,VI</w:t>
      </w:r>
      <w:r w:rsidRPr="00C92F30">
        <w:rPr>
          <w:i/>
          <w:vertAlign w:val="superscript"/>
          <w:lang w:val="fr-FR"/>
        </w:rPr>
        <w:t>e</w:t>
      </w:r>
      <w:r w:rsidRPr="00C92F30">
        <w:rPr>
          <w:i/>
          <w:lang w:val="fr-FR"/>
        </w:rPr>
        <w:t>-XI</w:t>
      </w:r>
      <w:r w:rsidRPr="00C92F30">
        <w:rPr>
          <w:i/>
          <w:vertAlign w:val="superscript"/>
          <w:lang w:val="fr-FR"/>
        </w:rPr>
        <w:t>e</w:t>
      </w:r>
      <w:r w:rsidRPr="00C92F30">
        <w:rPr>
          <w:i/>
          <w:lang w:val="fr-FR"/>
        </w:rPr>
        <w:t> siècles</w:t>
      </w:r>
      <w:r w:rsidRPr="00C92F30">
        <w:rPr>
          <w:lang w:val="fr-FR"/>
        </w:rPr>
        <w:t>, Paris, Les Belles Lettres, 2004.</w:t>
      </w:r>
    </w:p>
  </w:footnote>
  <w:footnote w:id="182">
    <w:p w:rsidR="004C50DC" w:rsidRDefault="004C50DC">
      <w:pPr>
        <w:pStyle w:val="Notedebasdepage"/>
      </w:pPr>
      <w:r>
        <w:rPr>
          <w:rStyle w:val="Appelnotedebasdep"/>
        </w:rPr>
        <w:footnoteRef/>
      </w:r>
      <w:r>
        <w:t xml:space="preserve"> </w:t>
      </w:r>
      <w:r>
        <w:tab/>
      </w:r>
      <w:r w:rsidRPr="00C92F30">
        <w:rPr>
          <w:lang w:val="fr-FR"/>
        </w:rPr>
        <w:t xml:space="preserve">Pierre Brulé, Raymond Descat, Patrice Brun, Jean-Luc Lamboley, Sylvie Le Bohec et Jacques Oulhen, </w:t>
      </w:r>
      <w:r w:rsidRPr="00C92F30">
        <w:rPr>
          <w:i/>
          <w:lang w:val="fr-FR"/>
        </w:rPr>
        <w:t>Le Monde grec aux temps classiques</w:t>
      </w:r>
      <w:r w:rsidRPr="00C92F30">
        <w:rPr>
          <w:lang w:val="fr-FR"/>
        </w:rPr>
        <w:t xml:space="preserve">, tome 2, </w:t>
      </w:r>
      <w:r w:rsidRPr="00C92F30">
        <w:rPr>
          <w:i/>
          <w:lang w:val="fr-FR"/>
        </w:rPr>
        <w:t>Le IV</w:t>
      </w:r>
      <w:r w:rsidRPr="00C92F30">
        <w:rPr>
          <w:i/>
          <w:vertAlign w:val="superscript"/>
          <w:lang w:val="fr-FR"/>
        </w:rPr>
        <w:t>e</w:t>
      </w:r>
      <w:r w:rsidRPr="00C92F30">
        <w:rPr>
          <w:i/>
          <w:lang w:val="fr-FR"/>
        </w:rPr>
        <w:t> siècle</w:t>
      </w:r>
      <w:r w:rsidRPr="00C92F30">
        <w:rPr>
          <w:lang w:val="fr-FR"/>
        </w:rPr>
        <w:t xml:space="preserve">, Paris, PUF, « Nouvelle Clio », 2004, p. 367-370, dans « Comptes rendus », </w:t>
      </w:r>
      <w:r w:rsidRPr="00C92F30">
        <w:rPr>
          <w:rStyle w:val="Accentuation"/>
          <w:lang w:val="fr-FR"/>
        </w:rPr>
        <w:t>Revue historique</w:t>
      </w:r>
      <w:r w:rsidRPr="00C92F30">
        <w:rPr>
          <w:lang w:val="fr-FR"/>
        </w:rPr>
        <w:t>, n</w:t>
      </w:r>
      <w:r w:rsidRPr="00C92F30">
        <w:rPr>
          <w:vertAlign w:val="superscript"/>
          <w:lang w:val="fr-FR"/>
        </w:rPr>
        <w:t>o</w:t>
      </w:r>
      <w:r w:rsidRPr="00C92F30">
        <w:rPr>
          <w:lang w:val="fr-FR"/>
        </w:rPr>
        <w:t> 637, 2006, p</w:t>
      </w:r>
      <w:r>
        <w:rPr>
          <w:lang w:val="fr-FR"/>
        </w:rPr>
        <w:t>p</w:t>
      </w:r>
      <w:r w:rsidRPr="00C92F30">
        <w:rPr>
          <w:lang w:val="fr-FR"/>
        </w:rPr>
        <w:t>. 139-235, en l</w:t>
      </w:r>
      <w:r w:rsidRPr="00C92F30">
        <w:rPr>
          <w:lang w:val="fr-FR"/>
        </w:rPr>
        <w:t>i</w:t>
      </w:r>
      <w:r w:rsidRPr="00C92F30">
        <w:rPr>
          <w:lang w:val="fr-FR"/>
        </w:rPr>
        <w:t>gne,</w:t>
      </w:r>
      <w:hyperlink r:id="rId20" w:history="1">
        <w:r w:rsidRPr="00C92F30">
          <w:rPr>
            <w:rStyle w:val="Lienhypertexte"/>
            <w:lang w:val="fr-FR"/>
          </w:rPr>
          <w:t>www.cairn.info/revue-historique-2006-1-page-139.htm</w:t>
        </w:r>
      </w:hyperlink>
      <w:r w:rsidRPr="00C92F30">
        <w:rPr>
          <w:lang w:val="fr-FR"/>
        </w:rPr>
        <w:t>.</w:t>
      </w:r>
      <w:r w:rsidRPr="00C92F30">
        <w:rPr>
          <w:rStyle w:val="apple-converted-space"/>
          <w:lang w:val="fr-FR"/>
        </w:rPr>
        <w:t xml:space="preserve">, </w:t>
      </w:r>
      <w:r w:rsidRPr="00C92F30">
        <w:rPr>
          <w:lang w:val="fr-FR"/>
        </w:rPr>
        <w:t>DOI:</w:t>
      </w:r>
      <w:hyperlink r:id="rId21" w:history="1">
        <w:r w:rsidRPr="00C92F30">
          <w:rPr>
            <w:rStyle w:val="Lienhypertexte"/>
            <w:lang w:val="fr-FR"/>
          </w:rPr>
          <w:t>10.3917/rhis.061.0139</w:t>
        </w:r>
      </w:hyperlink>
      <w:r w:rsidRPr="00C92F30">
        <w:rPr>
          <w:lang w:val="fr-FR"/>
        </w:rPr>
        <w:t>, consulté le 8 d</w:t>
      </w:r>
      <w:r w:rsidRPr="00C92F30">
        <w:rPr>
          <w:lang w:val="fr-FR"/>
        </w:rPr>
        <w:t>é</w:t>
      </w:r>
      <w:r w:rsidRPr="00C92F30">
        <w:rPr>
          <w:lang w:val="fr-FR"/>
        </w:rPr>
        <w:t xml:space="preserve">cembre 2015 ; voir aussi Raymond Descat et Jean Andreau, </w:t>
      </w:r>
      <w:r w:rsidRPr="00C92F30">
        <w:rPr>
          <w:i/>
          <w:iCs/>
          <w:lang w:val="fr-FR" w:eastAsia="fr-FR"/>
        </w:rPr>
        <w:t>Esclave en Grèce et à Rome</w:t>
      </w:r>
      <w:r w:rsidRPr="00C92F30">
        <w:rPr>
          <w:lang w:val="fr-FR" w:eastAsia="fr-FR"/>
        </w:rPr>
        <w:t>, Hachette Li</w:t>
      </w:r>
      <w:r w:rsidRPr="00C92F30">
        <w:rPr>
          <w:lang w:val="fr-FR" w:eastAsia="fr-FR"/>
        </w:rPr>
        <w:t>t</w:t>
      </w:r>
      <w:r w:rsidRPr="00C92F30">
        <w:rPr>
          <w:lang w:val="fr-FR" w:eastAsia="fr-FR"/>
        </w:rPr>
        <w:t>tératures, Paris, 2006.</w:t>
      </w:r>
    </w:p>
  </w:footnote>
  <w:footnote w:id="183">
    <w:p w:rsidR="004C50DC" w:rsidRDefault="004C50DC">
      <w:pPr>
        <w:pStyle w:val="Notedebasdepage"/>
      </w:pPr>
      <w:r>
        <w:rPr>
          <w:rStyle w:val="Appelnotedebasdep"/>
        </w:rPr>
        <w:footnoteRef/>
      </w:r>
      <w:r>
        <w:t xml:space="preserve"> </w:t>
      </w:r>
      <w:r>
        <w:tab/>
      </w:r>
      <w:r w:rsidRPr="00C92F30">
        <w:rPr>
          <w:lang w:val="fr-FR"/>
        </w:rPr>
        <w:t>Cette même considération géopolitique était aussi applicable chez les a</w:t>
      </w:r>
      <w:r w:rsidRPr="00C92F30">
        <w:rPr>
          <w:lang w:val="fr-FR"/>
        </w:rPr>
        <w:t>n</w:t>
      </w:r>
      <w:r w:rsidRPr="00C92F30">
        <w:rPr>
          <w:lang w:val="fr-FR"/>
        </w:rPr>
        <w:t xml:space="preserve">ciens Hébreux. Seuls les individus extérieurs ou étrangers à la nation pouvaient être réduits en esclavage. Voir dans la Bible du Semeur, Lévitique, 25 : 44-46 : </w:t>
      </w:r>
      <w:r w:rsidRPr="00C92F30">
        <w:rPr>
          <w:b/>
          <w:bCs/>
          <w:lang w:val="fr-FR" w:eastAsia="fr-FR"/>
        </w:rPr>
        <w:t>«  </w:t>
      </w:r>
      <w:r w:rsidRPr="00C92F30">
        <w:rPr>
          <w:lang w:val="fr-FR" w:eastAsia="fr-FR"/>
        </w:rPr>
        <w:t>Les esclaves, hommes ou femmes, qui vous appartiendront, proviendront des nations qui vous entourent. C’est d’elles que vous pourrez acquérir des e</w:t>
      </w:r>
      <w:r w:rsidRPr="00C92F30">
        <w:rPr>
          <w:lang w:val="fr-FR" w:eastAsia="fr-FR"/>
        </w:rPr>
        <w:t>s</w:t>
      </w:r>
      <w:r w:rsidRPr="00C92F30">
        <w:rPr>
          <w:lang w:val="fr-FR" w:eastAsia="fr-FR"/>
        </w:rPr>
        <w:t>claves et des servantes. De plus, vous pourrez acheter des étrangers résidant chez vous et des membres de leurs familles qui vivent parmi vous et qui sont nés dans votre pays, et ils deviendront votre propriété. Vous pourrez les léguer en héritage à vos enfants pour qu’ils en aient la propriété. Ils seront vos escl</w:t>
      </w:r>
      <w:r w:rsidRPr="00C92F30">
        <w:rPr>
          <w:lang w:val="fr-FR" w:eastAsia="fr-FR"/>
        </w:rPr>
        <w:t>a</w:t>
      </w:r>
      <w:r w:rsidRPr="00C92F30">
        <w:rPr>
          <w:lang w:val="fr-FR" w:eastAsia="fr-FR"/>
        </w:rPr>
        <w:t>ves à perpétuité ; mais vous ne traiterez pas avec brutalité vos compatriotes, les Israélites </w:t>
      </w:r>
      <w:r w:rsidRPr="00C92F30">
        <w:rPr>
          <w:bCs/>
          <w:lang w:val="fr-FR" w:eastAsia="fr-FR"/>
        </w:rPr>
        <w:t>».</w:t>
      </w:r>
    </w:p>
  </w:footnote>
  <w:footnote w:id="184">
    <w:p w:rsidR="004C50DC" w:rsidRDefault="004C50DC">
      <w:pPr>
        <w:pStyle w:val="Notedebasdepage"/>
      </w:pPr>
      <w:r>
        <w:rPr>
          <w:rStyle w:val="Appelnotedebasdep"/>
        </w:rPr>
        <w:footnoteRef/>
      </w:r>
      <w:r>
        <w:t xml:space="preserve"> </w:t>
      </w:r>
      <w:r>
        <w:tab/>
      </w:r>
      <w:r w:rsidRPr="00C92F30">
        <w:rPr>
          <w:lang w:val="fr-FR"/>
        </w:rPr>
        <w:t xml:space="preserve">Max Weber, </w:t>
      </w:r>
      <w:r w:rsidRPr="00C92F30">
        <w:rPr>
          <w:rStyle w:val="Accentuation"/>
        </w:rPr>
        <w:t>Gesammelte Aufsätze zur Sozial- und Wirtschaftsgeschic</w:t>
      </w:r>
      <w:r w:rsidRPr="00C92F30">
        <w:rPr>
          <w:rStyle w:val="Accentuation"/>
        </w:rPr>
        <w:t>h</w:t>
      </w:r>
      <w:r w:rsidRPr="00C92F30">
        <w:rPr>
          <w:rStyle w:val="Accentuation"/>
        </w:rPr>
        <w:t>te</w:t>
      </w:r>
      <w:r w:rsidRPr="00C92F30">
        <w:rPr>
          <w:lang w:val="fr-FR"/>
        </w:rPr>
        <w:t xml:space="preserve">,[1924], cité par WilfriedNippel, « Marx, Weber et l’esclavage », </w:t>
      </w:r>
      <w:r w:rsidRPr="00C92F30">
        <w:rPr>
          <w:i/>
          <w:lang w:val="fr-FR"/>
        </w:rPr>
        <w:t>Anabases</w:t>
      </w:r>
      <w:r w:rsidRPr="00C92F30">
        <w:rPr>
          <w:lang w:val="fr-FR"/>
        </w:rPr>
        <w:t xml:space="preserve">, no 2, 2005, en ligne : </w:t>
      </w:r>
      <w:hyperlink r:id="rId22" w:history="1">
        <w:r w:rsidRPr="00C92F30">
          <w:rPr>
            <w:rStyle w:val="Lienhypertexte"/>
            <w:lang w:val="fr-FR"/>
          </w:rPr>
          <w:t>http://anabases.revues.org/1531</w:t>
        </w:r>
      </w:hyperlink>
      <w:r w:rsidRPr="00C92F30">
        <w:rPr>
          <w:lang w:val="fr-FR"/>
        </w:rPr>
        <w:t>, consulté le 08 déce</w:t>
      </w:r>
      <w:r w:rsidRPr="00C92F30">
        <w:rPr>
          <w:lang w:val="fr-FR"/>
        </w:rPr>
        <w:t>m</w:t>
      </w:r>
      <w:r w:rsidRPr="00C92F30">
        <w:rPr>
          <w:lang w:val="fr-FR"/>
        </w:rPr>
        <w:t>bre 2015.</w:t>
      </w:r>
    </w:p>
  </w:footnote>
  <w:footnote w:id="185">
    <w:p w:rsidR="004C50DC" w:rsidRDefault="004C50DC">
      <w:pPr>
        <w:pStyle w:val="Notedebasdepage"/>
      </w:pPr>
      <w:r>
        <w:rPr>
          <w:rStyle w:val="Appelnotedebasdep"/>
        </w:rPr>
        <w:footnoteRef/>
      </w:r>
      <w:r>
        <w:t xml:space="preserve"> </w:t>
      </w:r>
      <w:r>
        <w:tab/>
      </w:r>
      <w:r w:rsidRPr="00C92F30">
        <w:t xml:space="preserve">Aristote, </w:t>
      </w:r>
      <w:r w:rsidRPr="00C92F30">
        <w:rPr>
          <w:i/>
        </w:rPr>
        <w:t>Politique</w:t>
      </w:r>
      <w:r w:rsidRPr="00C92F30">
        <w:t xml:space="preserve">, </w:t>
      </w:r>
      <w:r w:rsidRPr="00C92F30">
        <w:rPr>
          <w:iCs/>
          <w:lang w:eastAsia="fr-FR"/>
        </w:rPr>
        <w:t>LivresI et V</w:t>
      </w:r>
      <w:r w:rsidRPr="00C92F30">
        <w:rPr>
          <w:i/>
          <w:iCs/>
          <w:lang w:eastAsia="fr-FR"/>
        </w:rPr>
        <w:t>,</w:t>
      </w:r>
      <w:r w:rsidRPr="00C92F30">
        <w:rPr>
          <w:lang w:eastAsia="fr-FR"/>
        </w:rPr>
        <w:t xml:space="preserve"> traduction de J. Barthélemy Saint-Hilaire, P</w:t>
      </w:r>
      <w:r w:rsidRPr="00C92F30">
        <w:rPr>
          <w:lang w:eastAsia="fr-FR"/>
        </w:rPr>
        <w:t>a</w:t>
      </w:r>
      <w:r w:rsidRPr="00C92F30">
        <w:rPr>
          <w:lang w:eastAsia="fr-FR"/>
        </w:rPr>
        <w:t>ris, Librairie philosophique de Lagrange, 1863</w:t>
      </w:r>
      <w:r w:rsidRPr="00C92F30">
        <w:rPr>
          <w:i/>
          <w:iCs/>
          <w:lang w:eastAsia="fr-FR"/>
        </w:rPr>
        <w:t>,</w:t>
      </w:r>
      <w:r w:rsidRPr="00C92F30">
        <w:t xml:space="preserve"> 1254 b27-1255 a2.</w:t>
      </w:r>
    </w:p>
  </w:footnote>
  <w:footnote w:id="186">
    <w:p w:rsidR="004C50DC" w:rsidRPr="00C92F30" w:rsidRDefault="004C50DC" w:rsidP="004C50DC">
      <w:pPr>
        <w:pStyle w:val="Notedebasdepage"/>
      </w:pPr>
      <w:r w:rsidRPr="00AB4182">
        <w:rPr>
          <w:rStyle w:val="Appelnotedebasdep"/>
        </w:rPr>
        <w:footnoteRef/>
      </w:r>
      <w:r>
        <w:tab/>
      </w:r>
      <w:r w:rsidRPr="00C92F30">
        <w:t xml:space="preserve">Aristote, </w:t>
      </w:r>
      <w:r w:rsidRPr="00C92F30">
        <w:rPr>
          <w:i/>
          <w:iCs/>
          <w:lang w:eastAsia="fr-FR"/>
        </w:rPr>
        <w:t xml:space="preserve">Politique, </w:t>
      </w:r>
      <w:r w:rsidRPr="00C92F30">
        <w:rPr>
          <w:iCs/>
          <w:lang w:eastAsia="fr-FR"/>
        </w:rPr>
        <w:t xml:space="preserve">op. cit., </w:t>
      </w:r>
      <w:r w:rsidRPr="00C92F30">
        <w:rPr>
          <w:lang w:eastAsia="fr-FR"/>
        </w:rPr>
        <w:t>1254 a21-1255 a2.</w:t>
      </w:r>
    </w:p>
  </w:footnote>
  <w:footnote w:id="187">
    <w:p w:rsidR="004C50DC" w:rsidRPr="00C92F30" w:rsidRDefault="004C50DC" w:rsidP="004C50DC">
      <w:pPr>
        <w:pStyle w:val="Notedebasdepage"/>
      </w:pPr>
      <w:r w:rsidRPr="00AB4182">
        <w:rPr>
          <w:rStyle w:val="Appelnotedebasdep"/>
        </w:rPr>
        <w:footnoteRef/>
      </w:r>
      <w:r>
        <w:tab/>
      </w:r>
      <w:r w:rsidRPr="00C92F30">
        <w:t xml:space="preserve">Voir </w:t>
      </w:r>
      <w:r w:rsidRPr="00C92F30">
        <w:rPr>
          <w:lang w:eastAsia="fr-FR"/>
        </w:rPr>
        <w:t xml:space="preserve">Aristote, </w:t>
      </w:r>
      <w:r w:rsidRPr="00C92F30">
        <w:rPr>
          <w:i/>
          <w:lang w:eastAsia="fr-FR"/>
        </w:rPr>
        <w:t>Éthique à Nicomaque</w:t>
      </w:r>
      <w:r w:rsidRPr="00C92F30">
        <w:rPr>
          <w:lang w:eastAsia="fr-FR"/>
        </w:rPr>
        <w:t xml:space="preserve">, Livre VI, « Les vertus intellectuelles », chap. VIII-XIII, Paris, </w:t>
      </w:r>
      <w:r w:rsidRPr="00C92F30">
        <w:rPr>
          <w:rFonts w:eastAsia="Calibri"/>
          <w:lang w:eastAsia="fr-FR"/>
        </w:rPr>
        <w:t>Vrin, 1979.</w:t>
      </w:r>
    </w:p>
  </w:footnote>
  <w:footnote w:id="188">
    <w:p w:rsidR="004C50DC" w:rsidRDefault="004C50DC">
      <w:pPr>
        <w:pStyle w:val="Notedebasdepage"/>
      </w:pPr>
      <w:r>
        <w:rPr>
          <w:rStyle w:val="Appelnotedebasdep"/>
        </w:rPr>
        <w:footnoteRef/>
      </w:r>
      <w:r>
        <w:t xml:space="preserve"> </w:t>
      </w:r>
      <w:r>
        <w:tab/>
      </w:r>
      <w:r w:rsidRPr="00C92F30">
        <w:rPr>
          <w:lang w:val="fr-FR" w:eastAsia="fr-FR"/>
        </w:rPr>
        <w:t>Voir l’étymologie (</w:t>
      </w:r>
      <w:r w:rsidRPr="00C92F30">
        <w:rPr>
          <w:i/>
          <w:iCs/>
          <w:lang w:val="fr-FR" w:eastAsia="fr-FR"/>
        </w:rPr>
        <w:t>servus</w:t>
      </w:r>
      <w:r w:rsidRPr="00C92F30">
        <w:rPr>
          <w:lang w:val="fr-FR" w:eastAsia="fr-FR"/>
        </w:rPr>
        <w:t>, esclave, de s</w:t>
      </w:r>
      <w:r w:rsidRPr="00C92F30">
        <w:rPr>
          <w:i/>
          <w:iCs/>
          <w:lang w:val="fr-FR" w:eastAsia="fr-FR"/>
        </w:rPr>
        <w:t>erbare</w:t>
      </w:r>
      <w:r w:rsidRPr="00C92F30">
        <w:rPr>
          <w:lang w:val="fr-FR" w:eastAsia="fr-FR"/>
        </w:rPr>
        <w:t>, conserver) donnée par le juri</w:t>
      </w:r>
      <w:r w:rsidRPr="00C92F30">
        <w:rPr>
          <w:lang w:val="fr-FR" w:eastAsia="fr-FR"/>
        </w:rPr>
        <w:t>s</w:t>
      </w:r>
      <w:r w:rsidRPr="00C92F30">
        <w:rPr>
          <w:lang w:val="fr-FR" w:eastAsia="fr-FR"/>
        </w:rPr>
        <w:t xml:space="preserve">consulte Florentinus commentant le Digeste (lib. I, tit. V,  § 5). C’est le nom que l’on donnait aux esclaves prisonniers de guerre destinés à être vendus. C’est dans la même veine que Donatus fait ses remarques sur les </w:t>
      </w:r>
      <w:r w:rsidRPr="00C92F30">
        <w:rPr>
          <w:i/>
          <w:iCs/>
          <w:lang w:val="fr-FR" w:eastAsia="fr-FR"/>
        </w:rPr>
        <w:t>Adelphes</w:t>
      </w:r>
      <w:r w:rsidRPr="00C92F30">
        <w:rPr>
          <w:lang w:val="fr-FR" w:eastAsia="fr-FR"/>
        </w:rPr>
        <w:t xml:space="preserve"> de Térence (acte II, scène I, v. 28). Dans l’</w:t>
      </w:r>
      <w:r w:rsidRPr="00C92F30">
        <w:rPr>
          <w:i/>
          <w:iCs/>
          <w:lang w:val="fr-FR" w:eastAsia="fr-FR"/>
        </w:rPr>
        <w:t>Esprit des Lois,</w:t>
      </w:r>
      <w:r w:rsidRPr="00C92F30">
        <w:rPr>
          <w:lang w:val="fr-FR" w:eastAsia="fr-FR"/>
        </w:rPr>
        <w:t xml:space="preserve"> Montesquieu réfute aussi la doctrine des jurisconsultes romains et prouve que l’esclavage, égal</w:t>
      </w:r>
      <w:r w:rsidRPr="00C92F30">
        <w:rPr>
          <w:lang w:val="fr-FR" w:eastAsia="fr-FR"/>
        </w:rPr>
        <w:t>e</w:t>
      </w:r>
      <w:r w:rsidRPr="00C92F30">
        <w:rPr>
          <w:lang w:val="fr-FR" w:eastAsia="fr-FR"/>
        </w:rPr>
        <w:t>ment nuisible au maître et à l’esclave, est aussi contraire au droit des gens qu’au droit naturel (</w:t>
      </w:r>
      <w:r w:rsidRPr="00C92F30">
        <w:rPr>
          <w:i/>
          <w:iCs/>
          <w:lang w:val="fr-FR" w:eastAsia="fr-FR"/>
        </w:rPr>
        <w:t>E</w:t>
      </w:r>
      <w:r w:rsidRPr="00C92F30">
        <w:rPr>
          <w:i/>
          <w:iCs/>
          <w:lang w:val="fr-FR" w:eastAsia="fr-FR"/>
        </w:rPr>
        <w:t>s</w:t>
      </w:r>
      <w:r w:rsidRPr="00C92F30">
        <w:rPr>
          <w:i/>
          <w:iCs/>
          <w:lang w:val="fr-FR" w:eastAsia="fr-FR"/>
        </w:rPr>
        <w:t>prit des Lois</w:t>
      </w:r>
      <w:r w:rsidRPr="00C92F30">
        <w:rPr>
          <w:lang w:val="fr-FR" w:eastAsia="fr-FR"/>
        </w:rPr>
        <w:t>, livre XV, ch. 2).</w:t>
      </w:r>
    </w:p>
  </w:footnote>
  <w:footnote w:id="189">
    <w:p w:rsidR="004C50DC" w:rsidRPr="00C92F30" w:rsidRDefault="004C50DC" w:rsidP="004C50DC">
      <w:pPr>
        <w:pStyle w:val="Notedebasdepage"/>
      </w:pPr>
      <w:r w:rsidRPr="00C92F30">
        <w:rPr>
          <w:rStyle w:val="Appelnotedebasdep"/>
          <w:sz w:val="24"/>
        </w:rPr>
        <w:footnoteRef/>
      </w:r>
      <w:r>
        <w:tab/>
      </w:r>
      <w:r w:rsidRPr="00C92F30">
        <w:t xml:space="preserve">Saint Augustin, </w:t>
      </w:r>
      <w:r w:rsidRPr="00C92F30">
        <w:rPr>
          <w:i/>
        </w:rPr>
        <w:t>La cité de Dieu</w:t>
      </w:r>
      <w:r w:rsidRPr="00C92F30">
        <w:t>, Livre 19</w:t>
      </w:r>
      <w:r w:rsidRPr="00C92F30">
        <w:rPr>
          <w:vertAlign w:val="superscript"/>
        </w:rPr>
        <w:t>e</w:t>
      </w:r>
      <w:r w:rsidRPr="00C92F30">
        <w:t>, « Le souverain bien », chapitre XIV, en ligne,</w:t>
      </w:r>
      <w:r>
        <w:br/>
      </w:r>
      <w:hyperlink r:id="rId23" w:history="1">
        <w:r w:rsidRPr="00C92F30">
          <w:rPr>
            <w:rStyle w:val="Lienhypertexte"/>
            <w:color w:val="auto"/>
            <w:lang w:eastAsia="fr-FR"/>
          </w:rPr>
          <w:t>http://www.abbaye-saint-benoit.ch/saints/augustin/citededieu/livre19.htm#</w:t>
        </w:r>
      </w:hyperlink>
      <w:r w:rsidRPr="00C92F30">
        <w:rPr>
          <w:lang w:eastAsia="fr-FR"/>
        </w:rPr>
        <w:t>, consulté le 26 juin 2013.</w:t>
      </w:r>
    </w:p>
  </w:footnote>
  <w:footnote w:id="190">
    <w:p w:rsidR="004C50DC" w:rsidRPr="00C92F30" w:rsidRDefault="004C50DC" w:rsidP="004C50DC">
      <w:pPr>
        <w:pStyle w:val="Notedebasdepage"/>
      </w:pPr>
      <w:r w:rsidRPr="00AB4182">
        <w:rPr>
          <w:rStyle w:val="Appelnotedebasdep"/>
        </w:rPr>
        <w:footnoteRef/>
      </w:r>
      <w:r>
        <w:tab/>
      </w:r>
      <w:r w:rsidRPr="00AB4182">
        <w:rPr>
          <w:i/>
        </w:rPr>
        <w:t>Ibid</w:t>
      </w:r>
      <w:r w:rsidRPr="00C92F30">
        <w:rPr>
          <w:lang w:eastAsia="fr-FR"/>
        </w:rPr>
        <w:t>.</w:t>
      </w:r>
    </w:p>
  </w:footnote>
  <w:footnote w:id="191">
    <w:p w:rsidR="004C50DC" w:rsidRDefault="004C50DC">
      <w:pPr>
        <w:pStyle w:val="Notedebasdepage"/>
      </w:pPr>
      <w:r w:rsidRPr="00AB4182">
        <w:rPr>
          <w:rStyle w:val="Appelnotedebasdep"/>
        </w:rPr>
        <w:footnoteRef/>
      </w:r>
      <w:r w:rsidRPr="00AB4182">
        <w:rPr>
          <w:sz w:val="20"/>
        </w:rPr>
        <w:t xml:space="preserve"> </w:t>
      </w:r>
      <w:r>
        <w:tab/>
      </w:r>
      <w:r w:rsidRPr="00C92F30">
        <w:rPr>
          <w:lang w:val="fr-FR"/>
        </w:rPr>
        <w:t>Delacampagne</w:t>
      </w:r>
      <w:r w:rsidRPr="00C92F30">
        <w:rPr>
          <w:lang w:val="fr-FR" w:eastAsia="fr-FR"/>
        </w:rPr>
        <w:t xml:space="preserve">, </w:t>
      </w:r>
      <w:r w:rsidRPr="00C92F30">
        <w:rPr>
          <w:i/>
          <w:iCs/>
          <w:lang w:val="fr-FR" w:eastAsia="fr-FR"/>
        </w:rPr>
        <w:t>Histoire de l’esclavage…</w:t>
      </w:r>
      <w:r w:rsidRPr="00C92F30">
        <w:rPr>
          <w:lang w:val="fr-FR" w:eastAsia="fr-FR"/>
        </w:rPr>
        <w:t>, op. cit., p. 108.</w:t>
      </w:r>
    </w:p>
  </w:footnote>
  <w:footnote w:id="192">
    <w:p w:rsidR="004C50DC" w:rsidRPr="00C92F30" w:rsidRDefault="004C50DC" w:rsidP="004C50DC">
      <w:pPr>
        <w:pStyle w:val="Notedebasdepage"/>
      </w:pPr>
      <w:r w:rsidRPr="00AB4182">
        <w:rPr>
          <w:rStyle w:val="Appelnotedebasdep"/>
        </w:rPr>
        <w:footnoteRef/>
      </w:r>
      <w:r>
        <w:rPr>
          <w:lang w:eastAsia="fr-FR"/>
        </w:rPr>
        <w:tab/>
      </w:r>
      <w:r w:rsidRPr="00C92F30">
        <w:rPr>
          <w:lang w:eastAsia="fr-FR"/>
        </w:rPr>
        <w:t xml:space="preserve">Thomas Roderick, </w:t>
      </w:r>
      <w:r w:rsidRPr="00C92F30">
        <w:rPr>
          <w:i/>
          <w:lang w:eastAsia="fr-FR"/>
        </w:rPr>
        <w:t>Abolition of Negro slavery</w:t>
      </w:r>
      <w:r w:rsidRPr="00C92F30">
        <w:rPr>
          <w:lang w:eastAsia="fr-FR"/>
        </w:rPr>
        <w:t>, 1832, cité par Dorigny et Ga</w:t>
      </w:r>
      <w:r w:rsidRPr="00C92F30">
        <w:rPr>
          <w:lang w:eastAsia="fr-FR"/>
        </w:rPr>
        <w:t>i</w:t>
      </w:r>
      <w:r w:rsidRPr="00C92F30">
        <w:rPr>
          <w:lang w:eastAsia="fr-FR"/>
        </w:rPr>
        <w:t>not dans</w:t>
      </w:r>
      <w:r w:rsidRPr="00C92F30">
        <w:rPr>
          <w:i/>
          <w:lang w:eastAsia="fr-FR"/>
        </w:rPr>
        <w:t>Atlas des esclavages de l’Antiquité à nos jours</w:t>
      </w:r>
      <w:r w:rsidRPr="00C92F30">
        <w:rPr>
          <w:lang w:eastAsia="fr-FR"/>
        </w:rPr>
        <w:t>, op. cit., p. 7.</w:t>
      </w:r>
    </w:p>
  </w:footnote>
  <w:footnote w:id="193">
    <w:p w:rsidR="004C50DC" w:rsidRPr="00C92F30" w:rsidRDefault="004C50DC" w:rsidP="004C50DC">
      <w:pPr>
        <w:pStyle w:val="Notedebasdepage"/>
      </w:pPr>
      <w:r w:rsidRPr="00AB4182">
        <w:rPr>
          <w:rStyle w:val="Appelnotedebasdep"/>
        </w:rPr>
        <w:footnoteRef/>
      </w:r>
      <w:r>
        <w:tab/>
      </w:r>
      <w:r w:rsidRPr="00C92F30">
        <w:t>Al-Andalus</w:t>
      </w:r>
      <w:r w:rsidRPr="00C92F30">
        <w:rPr>
          <w:lang w:eastAsia="fr-FR"/>
        </w:rPr>
        <w:t xml:space="preserve"> désigne l’ensemble des terres de la péninsule ibérique et de la Se</w:t>
      </w:r>
      <w:r w:rsidRPr="00C92F30">
        <w:rPr>
          <w:lang w:eastAsia="fr-FR"/>
        </w:rPr>
        <w:t>p</w:t>
      </w:r>
      <w:r w:rsidRPr="00C92F30">
        <w:rPr>
          <w:lang w:eastAsia="fr-FR"/>
        </w:rPr>
        <w:t>timanie qui furent sous domination musulmane au Moyen Âge (711-1492).</w:t>
      </w:r>
    </w:p>
  </w:footnote>
  <w:footnote w:id="194">
    <w:p w:rsidR="004C50DC" w:rsidRDefault="004C50DC">
      <w:pPr>
        <w:pStyle w:val="Notedebasdepage"/>
      </w:pPr>
      <w:r w:rsidRPr="00AB4182">
        <w:rPr>
          <w:rStyle w:val="Appelnotedebasdep"/>
        </w:rPr>
        <w:footnoteRef/>
      </w:r>
      <w:r w:rsidRPr="00AB4182">
        <w:rPr>
          <w:sz w:val="20"/>
        </w:rPr>
        <w:t xml:space="preserve"> </w:t>
      </w:r>
      <w:r>
        <w:tab/>
      </w:r>
      <w:r w:rsidRPr="00C92F30">
        <w:rPr>
          <w:lang w:val="fr-FR"/>
        </w:rPr>
        <w:t>Dominique Barthélémy</w:t>
      </w:r>
      <w:r w:rsidRPr="00C92F30">
        <w:rPr>
          <w:lang w:val="fr-FR" w:eastAsia="fr-FR"/>
        </w:rPr>
        <w:t xml:space="preserve">, « serf », dans Claude Gauvard, Alain de Libera et Michel Zink (dir.), </w:t>
      </w:r>
      <w:r w:rsidRPr="00C92F30">
        <w:rPr>
          <w:i/>
          <w:iCs/>
          <w:lang w:val="fr-FR" w:eastAsia="fr-FR"/>
        </w:rPr>
        <w:t>Dictionnaire du Moyen Âge</w:t>
      </w:r>
      <w:r w:rsidRPr="00C92F30">
        <w:rPr>
          <w:lang w:val="fr-FR" w:eastAsia="fr-FR"/>
        </w:rPr>
        <w:t>, Paris, Presses Universitaires de France, 2002, p. 1325.</w:t>
      </w:r>
    </w:p>
  </w:footnote>
  <w:footnote w:id="195">
    <w:p w:rsidR="004C50DC" w:rsidRDefault="004C50DC">
      <w:pPr>
        <w:pStyle w:val="Notedebasdepage"/>
      </w:pPr>
      <w:r>
        <w:rPr>
          <w:rStyle w:val="Appelnotedebasdep"/>
        </w:rPr>
        <w:footnoteRef/>
      </w:r>
      <w:r>
        <w:t xml:space="preserve"> </w:t>
      </w:r>
      <w:r>
        <w:tab/>
      </w:r>
      <w:r w:rsidRPr="00C92F30">
        <w:t xml:space="preserve">Christian Delacampagne, op. cit., </w:t>
      </w:r>
      <w:r w:rsidRPr="00C92F30">
        <w:rPr>
          <w:rFonts w:eastAsia="Calibri"/>
          <w:lang w:eastAsia="fr-FR"/>
        </w:rPr>
        <w:t xml:space="preserve">2002 ; </w:t>
      </w:r>
      <w:r w:rsidRPr="00C92F30">
        <w:t xml:space="preserve">Mathilde Giard, </w:t>
      </w:r>
      <w:r w:rsidRPr="00C92F30">
        <w:rPr>
          <w:i/>
        </w:rPr>
        <w:t>L’esclavage de l’Antiquité à nos jours</w:t>
      </w:r>
      <w:r w:rsidRPr="00C92F30">
        <w:t>, Paris, Flammarion, 2013.</w:t>
      </w:r>
    </w:p>
  </w:footnote>
  <w:footnote w:id="196">
    <w:p w:rsidR="004C50DC" w:rsidRDefault="004C50DC">
      <w:pPr>
        <w:pStyle w:val="Notedebasdepage"/>
      </w:pPr>
      <w:r>
        <w:rPr>
          <w:rStyle w:val="Appelnotedebasdep"/>
        </w:rPr>
        <w:footnoteRef/>
      </w:r>
      <w:r>
        <w:t xml:space="preserve"> </w:t>
      </w:r>
      <w:r>
        <w:tab/>
      </w:r>
      <w:r w:rsidRPr="00C92F30">
        <w:rPr>
          <w:lang w:val="fr-FR"/>
        </w:rPr>
        <w:t xml:space="preserve">Nations unies, Convention supplémentaire relative à l’abolition de l'esclavage, de la traite des esclaves et des institutions et pratiques analogues à l’esclavage, </w:t>
      </w:r>
      <w:r w:rsidRPr="00C92F30">
        <w:rPr>
          <w:rStyle w:val="reference-text"/>
          <w:lang w:val="fr-FR"/>
        </w:rPr>
        <w:t>7 septembre 1956.</w:t>
      </w:r>
    </w:p>
  </w:footnote>
  <w:footnote w:id="197">
    <w:p w:rsidR="004C50DC" w:rsidRDefault="004C50DC">
      <w:pPr>
        <w:pStyle w:val="Notedebasdepage"/>
      </w:pPr>
      <w:r>
        <w:rPr>
          <w:rStyle w:val="Appelnotedebasdep"/>
        </w:rPr>
        <w:footnoteRef/>
      </w:r>
      <w:r>
        <w:t xml:space="preserve"> </w:t>
      </w:r>
      <w:r>
        <w:tab/>
      </w:r>
      <w:r w:rsidRPr="00C92F30">
        <w:t>Le terme « découverte de l’Amérique en 1492 » souvent employé dans les manuels d’histoire et que l’on commémore encore chaque 5 décembre en Ha</w:t>
      </w:r>
      <w:r w:rsidRPr="00C92F30">
        <w:t>ï</w:t>
      </w:r>
      <w:r w:rsidRPr="00C92F30">
        <w:t>ti est inapproprié. L’on ne saurait parler de « découverte » de l’Amérique puisqu’elle était déjà habitée par les Amérindiens depuis des millénaires lor</w:t>
      </w:r>
      <w:r w:rsidRPr="00C92F30">
        <w:t>s</w:t>
      </w:r>
      <w:r w:rsidRPr="00C92F30">
        <w:t>que Christophe Colomb y a débarqué. Toutefois, cet événement fut capital pour le continent am</w:t>
      </w:r>
      <w:r w:rsidRPr="00C92F30">
        <w:t>é</w:t>
      </w:r>
      <w:r w:rsidRPr="00C92F30">
        <w:t>ricain parce qu’il l’a projeté sur la scène de l’histoire mondiale et a fourni les pr</w:t>
      </w:r>
      <w:r w:rsidRPr="00C92F30">
        <w:t>é</w:t>
      </w:r>
      <w:r w:rsidRPr="00C92F30">
        <w:t>textes d’ouverture de rapports avec l’Europe et l’Afrique. Il a débouché aussi sur des situations malheureuses qui conduisirent à un « ethnocide » (destruction de la plupart des cultures amérindiennes) et un génocide (disparition brutale d’Amérindiens au cours des dizaines d’années qui suivirent la conquête) ; voir  sur cette question l’ouvrage de Christian D</w:t>
      </w:r>
      <w:r w:rsidRPr="00C92F30">
        <w:t>e</w:t>
      </w:r>
      <w:r w:rsidRPr="00C92F30">
        <w:t>lacampagne, op. cit., p</w:t>
      </w:r>
      <w:r>
        <w:t>p</w:t>
      </w:r>
      <w:r w:rsidRPr="00C92F30">
        <w:t>. 127, 143.</w:t>
      </w:r>
    </w:p>
  </w:footnote>
  <w:footnote w:id="198">
    <w:p w:rsidR="004C50DC" w:rsidRDefault="004C50DC">
      <w:pPr>
        <w:pStyle w:val="Notedebasdepage"/>
      </w:pPr>
      <w:r>
        <w:rPr>
          <w:rStyle w:val="Appelnotedebasdep"/>
        </w:rPr>
        <w:footnoteRef/>
      </w:r>
      <w:r>
        <w:t xml:space="preserve"> </w:t>
      </w:r>
      <w:r>
        <w:tab/>
      </w:r>
      <w:r w:rsidRPr="00C92F30">
        <w:t>« Engagé » est le nom donné aux Européens ayant un contrat d’engagement fixé à trois ans (trente-six mois).</w:t>
      </w:r>
    </w:p>
  </w:footnote>
  <w:footnote w:id="199">
    <w:p w:rsidR="004C50DC" w:rsidRDefault="004C50DC">
      <w:pPr>
        <w:pStyle w:val="Notedebasdepage"/>
      </w:pPr>
      <w:r>
        <w:rPr>
          <w:rStyle w:val="Appelnotedebasdep"/>
        </w:rPr>
        <w:footnoteRef/>
      </w:r>
      <w:r>
        <w:t xml:space="preserve"> </w:t>
      </w:r>
      <w:r>
        <w:tab/>
      </w:r>
      <w:r w:rsidRPr="00C92F30">
        <w:rPr>
          <w:lang w:val="fr-FR"/>
        </w:rPr>
        <w:t xml:space="preserve">Voir Gabriel Debien, « Les engagés pour le Canada partis de Nantes (1725-1732) », </w:t>
      </w:r>
      <w:r w:rsidRPr="00C92F30">
        <w:rPr>
          <w:i/>
          <w:lang w:val="fr-FR"/>
        </w:rPr>
        <w:t>Revue d’histoire de l’Amérique française,</w:t>
      </w:r>
      <w:r w:rsidRPr="00C92F30">
        <w:rPr>
          <w:lang w:val="fr-FR"/>
        </w:rPr>
        <w:t xml:space="preserve"> vol. 33, n</w:t>
      </w:r>
      <w:r w:rsidRPr="00C92F30">
        <w:rPr>
          <w:vertAlign w:val="superscript"/>
          <w:lang w:val="fr-FR"/>
        </w:rPr>
        <w:t>o</w:t>
      </w:r>
      <w:r w:rsidRPr="00C92F30">
        <w:rPr>
          <w:lang w:val="fr-FR"/>
        </w:rPr>
        <w:t xml:space="preserve"> 4, 1980, p. 583-586, en ligne, </w:t>
      </w:r>
      <w:hyperlink r:id="rId24" w:history="1">
        <w:r w:rsidRPr="00C92F30">
          <w:rPr>
            <w:rStyle w:val="Lienhypertexte"/>
            <w:lang w:val="fr-FR"/>
          </w:rPr>
          <w:t>http://id.erudit.org/iderudit/303814ar</w:t>
        </w:r>
      </w:hyperlink>
      <w:r w:rsidRPr="00C92F30">
        <w:rPr>
          <w:lang w:val="fr-FR"/>
        </w:rPr>
        <w:t>, consulté le 20mai 2015 ; voir aussi Aristide Beaugrand-Champagne, compte rendu de l’ouvrage de G</w:t>
      </w:r>
      <w:r w:rsidRPr="00C92F30">
        <w:rPr>
          <w:lang w:val="fr-FR"/>
        </w:rPr>
        <w:t>a</w:t>
      </w:r>
      <w:r w:rsidRPr="00C92F30">
        <w:rPr>
          <w:lang w:val="fr-FR"/>
        </w:rPr>
        <w:t>briel D</w:t>
      </w:r>
      <w:r w:rsidRPr="00C92F30">
        <w:rPr>
          <w:lang w:val="fr-FR"/>
        </w:rPr>
        <w:t>e</w:t>
      </w:r>
      <w:r w:rsidRPr="00C92F30">
        <w:rPr>
          <w:lang w:val="fr-FR"/>
        </w:rPr>
        <w:t xml:space="preserve">bien, </w:t>
      </w:r>
      <w:r w:rsidRPr="00C92F30">
        <w:rPr>
          <w:i/>
          <w:lang w:val="fr-FR"/>
        </w:rPr>
        <w:t>Le peuplement des Antilles françaises. Les engagés partis du port de la Rochelle, 1683-1715</w:t>
      </w:r>
      <w:r w:rsidRPr="00C92F30">
        <w:rPr>
          <w:lang w:val="fr-FR"/>
        </w:rPr>
        <w:t xml:space="preserve">, dans </w:t>
      </w:r>
      <w:r w:rsidRPr="00C92F30">
        <w:rPr>
          <w:i/>
          <w:lang w:val="fr-FR"/>
        </w:rPr>
        <w:t>Revue d’histoire de l’Amérique frança</w:t>
      </w:r>
      <w:r w:rsidRPr="00C92F30">
        <w:rPr>
          <w:i/>
          <w:lang w:val="fr-FR"/>
        </w:rPr>
        <w:t>i</w:t>
      </w:r>
      <w:r w:rsidRPr="00C92F30">
        <w:rPr>
          <w:i/>
          <w:lang w:val="fr-FR"/>
        </w:rPr>
        <w:t>se</w:t>
      </w:r>
      <w:r w:rsidRPr="00C92F30">
        <w:rPr>
          <w:lang w:val="fr-FR"/>
        </w:rPr>
        <w:t>, vol. 2, n</w:t>
      </w:r>
      <w:r w:rsidRPr="00C92F30">
        <w:rPr>
          <w:vertAlign w:val="superscript"/>
          <w:lang w:val="fr-FR"/>
        </w:rPr>
        <w:t>o</w:t>
      </w:r>
      <w:r w:rsidRPr="00C92F30">
        <w:rPr>
          <w:lang w:val="fr-FR"/>
        </w:rPr>
        <w:t> 4, 1949, p. 601-603, en l</w:t>
      </w:r>
      <w:r w:rsidRPr="00C92F30">
        <w:rPr>
          <w:lang w:val="fr-FR"/>
        </w:rPr>
        <w:t>i</w:t>
      </w:r>
      <w:r w:rsidRPr="00C92F30">
        <w:rPr>
          <w:lang w:val="fr-FR"/>
        </w:rPr>
        <w:t>gne,</w:t>
      </w:r>
      <w:r>
        <w:rPr>
          <w:lang w:val="fr-FR"/>
        </w:rPr>
        <w:br/>
      </w:r>
      <w:hyperlink r:id="rId25" w:history="1">
        <w:r w:rsidRPr="00C92F30">
          <w:rPr>
            <w:rStyle w:val="Lienhypertexte"/>
            <w:lang w:val="fr-FR"/>
          </w:rPr>
          <w:t>http://id.erudit.org/iderudit/801510ar</w:t>
        </w:r>
      </w:hyperlink>
      <w:r w:rsidRPr="00C92F30">
        <w:rPr>
          <w:lang w:val="fr-FR"/>
        </w:rPr>
        <w:t>, consulté le 20mai 2015.</w:t>
      </w:r>
    </w:p>
  </w:footnote>
  <w:footnote w:id="200">
    <w:p w:rsidR="004C50DC" w:rsidRDefault="004C50DC">
      <w:pPr>
        <w:pStyle w:val="Notedebasdepage"/>
      </w:pPr>
      <w:r>
        <w:rPr>
          <w:rStyle w:val="Appelnotedebasdep"/>
        </w:rPr>
        <w:footnoteRef/>
      </w:r>
      <w:r>
        <w:t xml:space="preserve"> </w:t>
      </w:r>
      <w:r>
        <w:tab/>
      </w:r>
      <w:r w:rsidRPr="00C92F30">
        <w:rPr>
          <w:bCs/>
          <w:lang w:eastAsia="en-CA"/>
        </w:rPr>
        <w:t xml:space="preserve">Noam </w:t>
      </w:r>
      <w:r w:rsidRPr="00C92F30">
        <w:rPr>
          <w:rFonts w:eastAsia="Arial Unicode MS"/>
          <w:lang w:eastAsia="hi-IN" w:bidi="hi-IN"/>
        </w:rPr>
        <w:t>Chomsky, « La tragédie d’Haïti, chapitre 8 », dans L’an 501, la conqu</w:t>
      </w:r>
      <w:r w:rsidRPr="00C92F30">
        <w:rPr>
          <w:rFonts w:eastAsia="Arial Unicode MS"/>
          <w:lang w:eastAsia="hi-IN" w:bidi="hi-IN"/>
        </w:rPr>
        <w:t>ê</w:t>
      </w:r>
      <w:r w:rsidRPr="00C92F30">
        <w:rPr>
          <w:rFonts w:eastAsia="Arial Unicode MS"/>
          <w:lang w:eastAsia="hi-IN" w:bidi="hi-IN"/>
        </w:rPr>
        <w:t xml:space="preserve">te continue, Paris, L’Herne, 2006. L’auteur se base sur des estimations faites par Sherburne Cook et Woodrow Borah, </w:t>
      </w:r>
      <w:r w:rsidRPr="00C92F30">
        <w:rPr>
          <w:rFonts w:eastAsia="Arial Unicode MS"/>
          <w:i/>
          <w:lang w:eastAsia="hi-IN" w:bidi="hi-IN"/>
        </w:rPr>
        <w:t>Essays in Population History : Mexico and the Carribean</w:t>
      </w:r>
      <w:r w:rsidRPr="00C92F30">
        <w:rPr>
          <w:rFonts w:eastAsia="Arial Unicode MS"/>
          <w:lang w:eastAsia="hi-IN" w:bidi="hi-IN"/>
        </w:rPr>
        <w:t>, Berkeley, University of California Press, 1971 ; voir aussi David E. Stannard, American Holocaust : Columbus and The Conquest of the New World, New York, Oxford University Press, 1992.</w:t>
      </w:r>
    </w:p>
  </w:footnote>
  <w:footnote w:id="201">
    <w:p w:rsidR="004C50DC" w:rsidRDefault="004C50DC">
      <w:pPr>
        <w:pStyle w:val="Notedebasdepage"/>
      </w:pPr>
      <w:r>
        <w:rPr>
          <w:rStyle w:val="Appelnotedebasdep"/>
        </w:rPr>
        <w:footnoteRef/>
      </w:r>
      <w:r>
        <w:t xml:space="preserve"> </w:t>
      </w:r>
      <w:r>
        <w:tab/>
      </w:r>
      <w:r w:rsidRPr="00C92F30">
        <w:rPr>
          <w:lang w:val="fr-FR"/>
        </w:rPr>
        <w:t>Voir le journal de Christophe Colomb, à la date du 12 octobre 1492, dans l</w:t>
      </w:r>
      <w:r w:rsidRPr="00C92F30">
        <w:rPr>
          <w:lang w:val="fr-FR"/>
        </w:rPr>
        <w:t>e</w:t>
      </w:r>
      <w:r w:rsidRPr="00C92F30">
        <w:rPr>
          <w:lang w:val="fr-FR"/>
        </w:rPr>
        <w:t>quel Christophe Colomb consigne ses premières impressions des Indiens qu’il compare à des bêtes en les voyant vivre sans Église, ni gouvernement inst</w:t>
      </w:r>
      <w:r w:rsidRPr="00C92F30">
        <w:rPr>
          <w:lang w:val="fr-FR"/>
        </w:rPr>
        <w:t>i</w:t>
      </w:r>
      <w:r w:rsidRPr="00C92F30">
        <w:rPr>
          <w:lang w:val="fr-FR"/>
        </w:rPr>
        <w:t xml:space="preserve">tué ; Rinaldo Cadeo, </w:t>
      </w:r>
      <w:r w:rsidRPr="00C92F30">
        <w:rPr>
          <w:i/>
          <w:lang w:val="fr-FR"/>
        </w:rPr>
        <w:t xml:space="preserve"> Journal de Christophe Colomb (1412-1493),</w:t>
      </w:r>
      <w:r w:rsidRPr="00C92F30">
        <w:rPr>
          <w:lang w:val="fr-FR"/>
        </w:rPr>
        <w:t xml:space="preserve"> traduit de l’italien par Georges Petit, Paris-Bruxelles, Charles Dessart, 1943, p. 144.</w:t>
      </w:r>
    </w:p>
  </w:footnote>
  <w:footnote w:id="202">
    <w:p w:rsidR="004C50DC" w:rsidRDefault="004C50DC">
      <w:pPr>
        <w:pStyle w:val="Notedebasdepage"/>
      </w:pPr>
      <w:r>
        <w:rPr>
          <w:rStyle w:val="Appelnotedebasdep"/>
        </w:rPr>
        <w:footnoteRef/>
      </w:r>
      <w:r>
        <w:t xml:space="preserve"> </w:t>
      </w:r>
      <w:r>
        <w:tab/>
      </w:r>
      <w:r w:rsidRPr="00C92F30">
        <w:t>Des historiens (Jacques de Cauna et autres) s’accordent pour dire qu’il n’y avait pas eu, lors de la colonisation française à Saint-Domingue, d’esclaves améri</w:t>
      </w:r>
      <w:r w:rsidRPr="00C92F30">
        <w:t>n</w:t>
      </w:r>
      <w:r w:rsidRPr="00C92F30">
        <w:t>diens à travailler dans les plantations. Toutefois, dans un registre trouvé aux Archives municipales de Bordeaux, Fonds Barbes, 210 S 112, « État g</w:t>
      </w:r>
      <w:r w:rsidRPr="00C92F30">
        <w:t>é</w:t>
      </w:r>
      <w:r w:rsidRPr="00C92F30">
        <w:t>néral des Nègres et négresses en date du 1</w:t>
      </w:r>
      <w:r w:rsidRPr="00C92F30">
        <w:rPr>
          <w:vertAlign w:val="superscript"/>
        </w:rPr>
        <w:t>er</w:t>
      </w:r>
      <w:r w:rsidRPr="00C92F30">
        <w:t xml:space="preserve"> janvier 1791 de l’habitation appa</w:t>
      </w:r>
      <w:r w:rsidRPr="00C92F30">
        <w:t>r</w:t>
      </w:r>
      <w:r w:rsidRPr="00C92F30">
        <w:t>tenant à la famille Ménoire et Beaujau au quartier Morin », on trouve un Am</w:t>
      </w:r>
      <w:r w:rsidRPr="00C92F30">
        <w:t>é</w:t>
      </w:r>
      <w:r w:rsidRPr="00C92F30">
        <w:t>rindien dénommé Actis, âgé de 36 ans, comme maître s</w:t>
      </w:r>
      <w:r w:rsidRPr="00C92F30">
        <w:t>u</w:t>
      </w:r>
      <w:r w:rsidRPr="00C92F30">
        <w:t>crier ; voir annexe 1.</w:t>
      </w:r>
    </w:p>
  </w:footnote>
  <w:footnote w:id="203">
    <w:p w:rsidR="004C50DC" w:rsidRDefault="004C50DC">
      <w:pPr>
        <w:pStyle w:val="Notedebasdepage"/>
      </w:pPr>
      <w:r>
        <w:rPr>
          <w:rStyle w:val="Appelnotedebasdep"/>
        </w:rPr>
        <w:footnoteRef/>
      </w:r>
      <w:r>
        <w:t xml:space="preserve"> </w:t>
      </w:r>
      <w:r>
        <w:tab/>
        <w:t>J</w:t>
      </w:r>
      <w:r w:rsidRPr="00C92F30">
        <w:rPr>
          <w:lang w:val="fr-FR"/>
        </w:rPr>
        <w:t xml:space="preserve">ean Price-Mars, </w:t>
      </w:r>
      <w:r w:rsidRPr="00C92F30">
        <w:rPr>
          <w:i/>
          <w:lang w:val="fr-FR"/>
        </w:rPr>
        <w:t>La République d’Haïti et la République Dominicaine</w:t>
      </w:r>
      <w:r w:rsidRPr="00C92F30">
        <w:rPr>
          <w:lang w:val="fr-FR"/>
        </w:rPr>
        <w:t xml:space="preserve">, tome I, Port-au-Prince, Coll. du Tricinquentaire de l’indépendance d’Haïti, 1953, en ligne, </w:t>
      </w:r>
      <w:hyperlink r:id="rId26" w:history="1">
        <w:r w:rsidRPr="00C92F30">
          <w:t>http://classiques.uqac.ca/</w:t>
        </w:r>
      </w:hyperlink>
      <w:r w:rsidRPr="00C92F30">
        <w:t>classiques/...Haïti.../Republique_Haiti_tome_1.doc, consulté le 22 avril 2013, p. 12.</w:t>
      </w:r>
      <w:r w:rsidRPr="00C92F30">
        <w:rPr>
          <w:lang w:val="fr-FR"/>
        </w:rPr>
        <w:t xml:space="preserve"> </w:t>
      </w:r>
    </w:p>
  </w:footnote>
  <w:footnote w:id="204">
    <w:p w:rsidR="004C50DC" w:rsidRPr="00C92F30" w:rsidRDefault="004C50DC" w:rsidP="004C50DC">
      <w:pPr>
        <w:pStyle w:val="Notedebasdepage"/>
      </w:pPr>
      <w:r w:rsidRPr="00AB4182">
        <w:rPr>
          <w:rStyle w:val="Appelnotedebasdep"/>
        </w:rPr>
        <w:footnoteRef/>
      </w:r>
      <w:r>
        <w:tab/>
      </w:r>
      <w:r w:rsidRPr="00C92F30">
        <w:t>Christian Delacampagne, op. cit., p</w:t>
      </w:r>
      <w:r>
        <w:t>p</w:t>
      </w:r>
      <w:r w:rsidRPr="00C92F30">
        <w:t>. 148-149.</w:t>
      </w:r>
    </w:p>
  </w:footnote>
  <w:footnote w:id="205">
    <w:p w:rsidR="004C50DC" w:rsidRDefault="004C50DC">
      <w:pPr>
        <w:pStyle w:val="Notedebasdepage"/>
      </w:pPr>
      <w:r>
        <w:rPr>
          <w:rStyle w:val="Appelnotedebasdep"/>
        </w:rPr>
        <w:footnoteRef/>
      </w:r>
      <w:r>
        <w:t xml:space="preserve"> </w:t>
      </w:r>
      <w:r>
        <w:tab/>
      </w:r>
      <w:r w:rsidRPr="00C92F30">
        <w:rPr>
          <w:lang w:val="fr-FR"/>
        </w:rPr>
        <w:t>Un « Essai [anonyme] sur l’esclavage et l’observation sur l’état présent des colonies européennes en Amérique » publié en 1799 souligne la présence de sept métropoles à colonies en Amérique : France, Espagne, Angleterre, Port</w:t>
      </w:r>
      <w:r w:rsidRPr="00C92F30">
        <w:rPr>
          <w:lang w:val="fr-FR"/>
        </w:rPr>
        <w:t>u</w:t>
      </w:r>
      <w:r w:rsidRPr="00C92F30">
        <w:rPr>
          <w:lang w:val="fr-FR"/>
        </w:rPr>
        <w:t>gal, Ho</w:t>
      </w:r>
      <w:r w:rsidRPr="00C92F30">
        <w:rPr>
          <w:lang w:val="fr-FR"/>
        </w:rPr>
        <w:t>l</w:t>
      </w:r>
      <w:r w:rsidRPr="00C92F30">
        <w:rPr>
          <w:lang w:val="fr-FR"/>
        </w:rPr>
        <w:t xml:space="preserve">lande, Danemark, Suède ; voir </w:t>
      </w:r>
      <w:r w:rsidRPr="00C92F30">
        <w:rPr>
          <w:noProof/>
          <w:lang w:val="fr-FR"/>
        </w:rPr>
        <w:t xml:space="preserve">Franklin Midy, « Vers l’indépendance des colonies à esclaves d’Amérique : l’exception haïtienne », dans Marcel Dorigny (dir.), </w:t>
      </w:r>
      <w:r w:rsidRPr="00C92F30">
        <w:rPr>
          <w:i/>
          <w:noProof/>
          <w:lang w:val="fr-FR"/>
        </w:rPr>
        <w:t>Haïti première république noire</w:t>
      </w:r>
      <w:r w:rsidRPr="00C92F30">
        <w:rPr>
          <w:noProof/>
          <w:lang w:val="fr-FR"/>
        </w:rPr>
        <w:t>, Saint-Denis, Société française d’histoire d’outre-mer, 2003, p. 124.</w:t>
      </w:r>
    </w:p>
  </w:footnote>
  <w:footnote w:id="206">
    <w:p w:rsidR="004C50DC" w:rsidRPr="00C92F30" w:rsidRDefault="004C50DC" w:rsidP="004C50DC">
      <w:pPr>
        <w:pStyle w:val="Notedebasdepage"/>
      </w:pPr>
      <w:r w:rsidRPr="00C92F30">
        <w:rPr>
          <w:rStyle w:val="Appelnotedebasdep"/>
          <w:sz w:val="24"/>
        </w:rPr>
        <w:footnoteRef/>
      </w:r>
      <w:r>
        <w:rPr>
          <w:lang w:eastAsia="fr-FR"/>
        </w:rPr>
        <w:tab/>
      </w:r>
      <w:r w:rsidRPr="00C92F30">
        <w:rPr>
          <w:lang w:eastAsia="fr-FR"/>
        </w:rPr>
        <w:t xml:space="preserve">Jacques Savary des Bruslons, dans le </w:t>
      </w:r>
      <w:r w:rsidRPr="00C92F30">
        <w:rPr>
          <w:i/>
          <w:lang w:eastAsia="fr-FR"/>
        </w:rPr>
        <w:t>Dictionnaire universel de Commerce</w:t>
      </w:r>
      <w:r w:rsidRPr="00C92F30">
        <w:rPr>
          <w:lang w:eastAsia="fr-FR"/>
        </w:rPr>
        <w:t xml:space="preserve"> p</w:t>
      </w:r>
      <w:r w:rsidRPr="00C92F30">
        <w:rPr>
          <w:lang w:eastAsia="fr-FR"/>
        </w:rPr>
        <w:t>u</w:t>
      </w:r>
      <w:r w:rsidRPr="00C92F30">
        <w:rPr>
          <w:lang w:eastAsia="fr-FR"/>
        </w:rPr>
        <w:t>blié en 1730, estime à propos de la traite des Noirs que  « les Européens font depuis des siècles le commerce de ces malheureux esclaves, qu’ils t</w:t>
      </w:r>
      <w:r w:rsidRPr="00C92F30">
        <w:rPr>
          <w:lang w:eastAsia="fr-FR"/>
        </w:rPr>
        <w:t>i</w:t>
      </w:r>
      <w:r w:rsidRPr="00C92F30">
        <w:rPr>
          <w:lang w:eastAsia="fr-FR"/>
        </w:rPr>
        <w:t>rent de Guinée et des autres côtes d’Afrique, pour soutenir les Colonies qu’ils ont établies dans plusieurs endroits de l’Amérique et dans les Anti</w:t>
      </w:r>
      <w:r w:rsidRPr="00C92F30">
        <w:rPr>
          <w:lang w:eastAsia="fr-FR"/>
        </w:rPr>
        <w:t>l</w:t>
      </w:r>
      <w:r w:rsidRPr="00C92F30">
        <w:rPr>
          <w:lang w:eastAsia="fr-FR"/>
        </w:rPr>
        <w:t>les ».</w:t>
      </w:r>
    </w:p>
  </w:footnote>
  <w:footnote w:id="207">
    <w:p w:rsidR="004C50DC" w:rsidRPr="00C92F30" w:rsidRDefault="004C50DC" w:rsidP="004C50DC">
      <w:pPr>
        <w:pStyle w:val="Notedebasdepage"/>
      </w:pPr>
      <w:r w:rsidRPr="00AB4182">
        <w:rPr>
          <w:rStyle w:val="Appelnotedebasdep"/>
        </w:rPr>
        <w:footnoteRef/>
      </w:r>
      <w:r>
        <w:tab/>
      </w:r>
      <w:r w:rsidRPr="00C92F30">
        <w:t>Voir le récent ouvrage de D</w:t>
      </w:r>
      <w:r w:rsidRPr="00C92F30">
        <w:rPr>
          <w:lang w:eastAsia="fr-FR"/>
        </w:rPr>
        <w:t xml:space="preserve">origny et Gainot, </w:t>
      </w:r>
      <w:r w:rsidRPr="00C92F30">
        <w:rPr>
          <w:i/>
          <w:lang w:eastAsia="fr-FR"/>
        </w:rPr>
        <w:t>Atlas des esclavages de l’Antiquité à nos jours</w:t>
      </w:r>
      <w:r w:rsidRPr="00C92F30">
        <w:rPr>
          <w:lang w:eastAsia="fr-FR"/>
        </w:rPr>
        <w:t xml:space="preserve">, op. cit., </w:t>
      </w:r>
      <w:r>
        <w:rPr>
          <w:lang w:eastAsia="fr-FR"/>
        </w:rPr>
        <w:t>p</w:t>
      </w:r>
      <w:r w:rsidRPr="00C92F30">
        <w:rPr>
          <w:lang w:eastAsia="fr-FR"/>
        </w:rPr>
        <w:t xml:space="preserve">p. 23-40. En 1642, </w:t>
      </w:r>
      <w:r w:rsidRPr="00C92F30">
        <w:t>la « traite des Noirs » est autorisée par un édit de Louis XIII pour la France. Plus tard, en 1685, le C</w:t>
      </w:r>
      <w:r w:rsidRPr="00C92F30">
        <w:t>o</w:t>
      </w:r>
      <w:r w:rsidRPr="00C92F30">
        <w:t>de noir français viendra réglementer l’esclavage dans les colonies frança</w:t>
      </w:r>
      <w:r w:rsidRPr="00C92F30">
        <w:t>i</w:t>
      </w:r>
      <w:r w:rsidRPr="00C92F30">
        <w:t>ses. Il a fallu attendre le Code noir espagnol en 1786 pour l’encadrer dans les col</w:t>
      </w:r>
      <w:r w:rsidRPr="00C92F30">
        <w:t>o</w:t>
      </w:r>
      <w:r w:rsidRPr="00C92F30">
        <w:t>nies espagnoles.</w:t>
      </w:r>
    </w:p>
  </w:footnote>
  <w:footnote w:id="208">
    <w:p w:rsidR="004C50DC" w:rsidRPr="00C92F30" w:rsidRDefault="004C50DC" w:rsidP="004C50DC">
      <w:pPr>
        <w:pStyle w:val="Notedebasdepage"/>
      </w:pPr>
      <w:r w:rsidRPr="00AB4182">
        <w:rPr>
          <w:rStyle w:val="Appelnotedebasdep"/>
        </w:rPr>
        <w:footnoteRef/>
      </w:r>
      <w:r>
        <w:tab/>
      </w:r>
      <w:r w:rsidRPr="00C92F30">
        <w:t>Le fonctionnement du commerce triangulaire nord ou traite transatlantique nord fut ainsi organisé : les navires  chargés de marchandises destinées à l’achat des esclaves se rendaient, depuis l’Europe, sur les côtes d’Afrique où avaient lieu les transactions. Puis ils traversaient l’Atlantique pour gagner les Antilles ou le continent américain où étaient vendus les captifs. Enfin, les n</w:t>
      </w:r>
      <w:r w:rsidRPr="00C92F30">
        <w:t>a</w:t>
      </w:r>
      <w:r w:rsidRPr="00C92F30">
        <w:t xml:space="preserve">vires chargés de productions coloniales rentraient en Europe. </w:t>
      </w:r>
      <w:r w:rsidRPr="00C92F30">
        <w:rPr>
          <w:lang w:eastAsia="fr-FR"/>
        </w:rPr>
        <w:t>C’était un co</w:t>
      </w:r>
      <w:r w:rsidRPr="00C92F30">
        <w:rPr>
          <w:lang w:eastAsia="fr-FR"/>
        </w:rPr>
        <w:t>m</w:t>
      </w:r>
      <w:r w:rsidRPr="00C92F30">
        <w:rPr>
          <w:lang w:eastAsia="fr-FR"/>
        </w:rPr>
        <w:t>merce très lucratif </w:t>
      </w:r>
      <w:r w:rsidRPr="00C92F30">
        <w:t xml:space="preserve">; voir </w:t>
      </w:r>
      <w:r w:rsidRPr="00C92F30">
        <w:rPr>
          <w:lang w:eastAsia="fr-FR"/>
        </w:rPr>
        <w:t xml:space="preserve">Dorigny et Gainot, op. cit., p. 24. </w:t>
      </w:r>
    </w:p>
  </w:footnote>
  <w:footnote w:id="209">
    <w:p w:rsidR="004C50DC" w:rsidRPr="00C92F30" w:rsidRDefault="004C50DC" w:rsidP="004C50DC">
      <w:pPr>
        <w:pStyle w:val="Notedebasdepage"/>
      </w:pPr>
      <w:r w:rsidRPr="00C92F30">
        <w:rPr>
          <w:rStyle w:val="Appelnotedebasdep"/>
          <w:sz w:val="24"/>
        </w:rPr>
        <w:footnoteRef/>
      </w:r>
      <w:r>
        <w:rPr>
          <w:lang w:eastAsia="fr-FR"/>
        </w:rPr>
        <w:tab/>
      </w:r>
      <w:r w:rsidRPr="00C92F30">
        <w:rPr>
          <w:lang w:eastAsia="fr-FR"/>
        </w:rPr>
        <w:t>Dorigny et Gainot, op. cit., p. 18.</w:t>
      </w:r>
    </w:p>
  </w:footnote>
  <w:footnote w:id="210">
    <w:p w:rsidR="004C50DC" w:rsidRPr="00C92F30" w:rsidRDefault="004C50DC" w:rsidP="004C50DC">
      <w:pPr>
        <w:pStyle w:val="Notedebasdepage"/>
        <w:rPr>
          <w:rFonts w:eastAsia="Arial Unicode MS"/>
          <w:lang w:eastAsia="hi-IN" w:bidi="hi-IN"/>
        </w:rPr>
      </w:pPr>
      <w:r w:rsidRPr="00C92F30">
        <w:rPr>
          <w:rStyle w:val="Appelnotedebasdep"/>
          <w:sz w:val="24"/>
        </w:rPr>
        <w:footnoteRef/>
      </w:r>
      <w:r>
        <w:tab/>
      </w:r>
      <w:r w:rsidRPr="00AB4182">
        <w:rPr>
          <w:i/>
        </w:rPr>
        <w:t>Ibid</w:t>
      </w:r>
      <w:r w:rsidRPr="00C92F30">
        <w:rPr>
          <w:rFonts w:eastAsia="Arial Unicode MS"/>
          <w:lang w:eastAsia="hi-IN" w:bidi="hi-IN"/>
        </w:rPr>
        <w:t>., p. 18-19 ; voir aussi Olivier Pétré-Grenouilleau, </w:t>
      </w:r>
      <w:r w:rsidRPr="00C92F30">
        <w:rPr>
          <w:rFonts w:eastAsia="Arial Unicode MS"/>
          <w:i/>
          <w:lang w:eastAsia="hi-IN" w:bidi="hi-IN"/>
        </w:rPr>
        <w:t>La Traite des noirs</w:t>
      </w:r>
      <w:r w:rsidRPr="00C92F30">
        <w:rPr>
          <w:rFonts w:eastAsia="Arial Unicode MS"/>
          <w:lang w:eastAsia="hi-IN" w:bidi="hi-IN"/>
        </w:rPr>
        <w:t>, P</w:t>
      </w:r>
      <w:r w:rsidRPr="00C92F30">
        <w:rPr>
          <w:rFonts w:eastAsia="Arial Unicode MS"/>
          <w:lang w:eastAsia="hi-IN" w:bidi="hi-IN"/>
        </w:rPr>
        <w:t>a</w:t>
      </w:r>
      <w:r w:rsidRPr="00C92F30">
        <w:rPr>
          <w:rFonts w:eastAsia="Arial Unicode MS"/>
          <w:lang w:eastAsia="hi-IN" w:bidi="hi-IN"/>
        </w:rPr>
        <w:t>ris, Que sais-je ?, 1997, p</w:t>
      </w:r>
      <w:r>
        <w:rPr>
          <w:rFonts w:eastAsia="Arial Unicode MS"/>
          <w:lang w:eastAsia="hi-IN" w:bidi="hi-IN"/>
        </w:rPr>
        <w:t>p</w:t>
      </w:r>
      <w:r w:rsidRPr="00C92F30">
        <w:rPr>
          <w:rFonts w:eastAsia="Arial Unicode MS"/>
          <w:lang w:eastAsia="hi-IN" w:bidi="hi-IN"/>
        </w:rPr>
        <w:t xml:space="preserve">. 6-26. </w:t>
      </w:r>
    </w:p>
  </w:footnote>
  <w:footnote w:id="211">
    <w:p w:rsidR="004C50DC" w:rsidRPr="00C92F30" w:rsidRDefault="004C50DC" w:rsidP="004C50DC">
      <w:pPr>
        <w:pStyle w:val="Notedebasdepage"/>
      </w:pPr>
      <w:r w:rsidRPr="00AB4182">
        <w:rPr>
          <w:rStyle w:val="Appelnotedebasdep"/>
        </w:rPr>
        <w:footnoteRef/>
      </w:r>
      <w:r>
        <w:tab/>
      </w:r>
      <w:r w:rsidRPr="00C92F30">
        <w:t xml:space="preserve">Voir </w:t>
      </w:r>
      <w:r w:rsidRPr="00C92F30">
        <w:rPr>
          <w:lang w:eastAsia="fr-FR"/>
        </w:rPr>
        <w:t>Dorigny et Gainot, op. cit., p. 25. Les États-Unis, en englobant aussi l’époque anglaise, en reçurent 500 000 environ et l’ensemble de l’Amérique espagnole, 1,6 millions.</w:t>
      </w:r>
    </w:p>
  </w:footnote>
  <w:footnote w:id="212">
    <w:p w:rsidR="004C50DC" w:rsidRPr="00C92F30" w:rsidRDefault="004C50DC" w:rsidP="004C50DC">
      <w:pPr>
        <w:pStyle w:val="Notedebasdepage"/>
      </w:pPr>
      <w:r w:rsidRPr="00AB4182">
        <w:rPr>
          <w:rStyle w:val="Appelnotedebasdep"/>
        </w:rPr>
        <w:footnoteRef/>
      </w:r>
      <w:r>
        <w:tab/>
      </w:r>
      <w:r w:rsidRPr="00C92F30">
        <w:t xml:space="preserve">Un « Répertoiredes expéditions négrières françaises » publié en 1978 rapporte qu’entre 1716 et 1793, les Français ont lancé 3343 expéditions. Presque tous les ports y ont participé. Au total, la France est responsable de la réduction en esclavage de plus d’un million de Noirs africains qui furent transportés en Amérique ; voir  Denis Tillinac, </w:t>
      </w:r>
      <w:r w:rsidRPr="00C92F30">
        <w:rPr>
          <w:i/>
        </w:rPr>
        <w:t>Rapport officiel du Comité de réflexion et de propositions sur la Traite des Noirs à Bordeaux</w:t>
      </w:r>
      <w:r w:rsidRPr="00C92F30">
        <w:t>, 10 mai 2006.</w:t>
      </w:r>
    </w:p>
  </w:footnote>
  <w:footnote w:id="213">
    <w:p w:rsidR="004C50DC" w:rsidRDefault="004C50DC">
      <w:pPr>
        <w:pStyle w:val="Notedebasdepage"/>
      </w:pPr>
      <w:r>
        <w:rPr>
          <w:rStyle w:val="Appelnotedebasdep"/>
        </w:rPr>
        <w:footnoteRef/>
      </w:r>
      <w:r>
        <w:t xml:space="preserve"> </w:t>
      </w:r>
      <w:r>
        <w:tab/>
      </w:r>
      <w:r w:rsidRPr="00C92F30">
        <w:t xml:space="preserve">Le cauris est un coquillage du groupe des cyprées (ou porcelaines), qui a servi longtemps de monnaie à diverses populations, notamment en Afrique noire et en Asie ; voir, </w:t>
      </w:r>
      <w:r>
        <w:t>en ligne,</w:t>
      </w:r>
      <w:r>
        <w:br/>
      </w:r>
      <w:r w:rsidRPr="00C92F30">
        <w:t>http://www.larousse.fr/dictionnaires/francais/cauri/13851?q=cauris#13686, consulté le 9 mars 2013.</w:t>
      </w:r>
    </w:p>
  </w:footnote>
  <w:footnote w:id="214">
    <w:p w:rsidR="004C50DC" w:rsidRDefault="004C50DC">
      <w:pPr>
        <w:pStyle w:val="Notedebasdepage"/>
      </w:pPr>
      <w:r>
        <w:rPr>
          <w:rStyle w:val="Appelnotedebasdep"/>
        </w:rPr>
        <w:footnoteRef/>
      </w:r>
      <w:r>
        <w:t xml:space="preserve"> </w:t>
      </w:r>
      <w:r>
        <w:tab/>
      </w:r>
      <w:r w:rsidRPr="00C92F30">
        <w:rPr>
          <w:color w:val="auto"/>
          <w:lang w:val="fr-FR"/>
        </w:rPr>
        <w:t>En fait, c’est une idée erronée de comprendre qu’un esclave ne coûtait rien, ou ne valait que de la pacotille. Le terme « pacotille » est une invention eur</w:t>
      </w:r>
      <w:r w:rsidRPr="00C92F30">
        <w:rPr>
          <w:color w:val="auto"/>
          <w:lang w:val="fr-FR"/>
        </w:rPr>
        <w:t>o</w:t>
      </w:r>
      <w:r w:rsidRPr="00C92F30">
        <w:rPr>
          <w:color w:val="auto"/>
          <w:lang w:val="fr-FR"/>
        </w:rPr>
        <w:t>péenne du XIX</w:t>
      </w:r>
      <w:r w:rsidRPr="00C92F30">
        <w:rPr>
          <w:color w:val="auto"/>
          <w:vertAlign w:val="superscript"/>
          <w:lang w:val="fr-FR"/>
        </w:rPr>
        <w:t>e</w:t>
      </w:r>
      <w:r w:rsidRPr="00C92F30">
        <w:rPr>
          <w:color w:val="auto"/>
          <w:lang w:val="fr-FR"/>
        </w:rPr>
        <w:t xml:space="preserve"> siècle pour montrer que les Africains sont peu intelligents par rapport aux Européens dans les transactions commerciales. En réalité, la pac</w:t>
      </w:r>
      <w:r w:rsidRPr="00C92F30">
        <w:rPr>
          <w:color w:val="auto"/>
          <w:lang w:val="fr-FR"/>
        </w:rPr>
        <w:t>o</w:t>
      </w:r>
      <w:r w:rsidRPr="00C92F30">
        <w:rPr>
          <w:color w:val="auto"/>
          <w:lang w:val="fr-FR"/>
        </w:rPr>
        <w:t>tille, au XVIII</w:t>
      </w:r>
      <w:r w:rsidRPr="00C92F30">
        <w:rPr>
          <w:color w:val="auto"/>
          <w:vertAlign w:val="superscript"/>
          <w:lang w:val="fr-FR"/>
        </w:rPr>
        <w:t>e</w:t>
      </w:r>
      <w:r w:rsidRPr="00C92F30">
        <w:rPr>
          <w:color w:val="auto"/>
          <w:lang w:val="fr-FR"/>
        </w:rPr>
        <w:t xml:space="preserve"> siècle est constituée d’objets de valeur échangés contre les captifs.</w:t>
      </w:r>
    </w:p>
  </w:footnote>
  <w:footnote w:id="215">
    <w:p w:rsidR="004C50DC" w:rsidRDefault="004C50DC">
      <w:pPr>
        <w:pStyle w:val="Notedebasdepage"/>
      </w:pPr>
      <w:r>
        <w:rPr>
          <w:rStyle w:val="Appelnotedebasdep"/>
        </w:rPr>
        <w:footnoteRef/>
      </w:r>
      <w:r>
        <w:t xml:space="preserve"> </w:t>
      </w:r>
      <w:r>
        <w:tab/>
      </w:r>
      <w:r w:rsidRPr="00C92F30">
        <w:t xml:space="preserve">Pour une plus grande information sur l’importance de Saint-Domingue pour les Aquitains, voir Jacques de Cauna, </w:t>
      </w:r>
      <w:r w:rsidRPr="00C92F30">
        <w:rPr>
          <w:i/>
        </w:rPr>
        <w:t xml:space="preserve">L’Eldorado des Aquitains. </w:t>
      </w:r>
      <w:r w:rsidRPr="00C92F30">
        <w:rPr>
          <w:bCs/>
          <w:i/>
        </w:rPr>
        <w:t>Gascons, Ba</w:t>
      </w:r>
      <w:r w:rsidRPr="00C92F30">
        <w:rPr>
          <w:bCs/>
          <w:i/>
        </w:rPr>
        <w:t>s</w:t>
      </w:r>
      <w:r w:rsidRPr="00C92F30">
        <w:rPr>
          <w:bCs/>
          <w:i/>
        </w:rPr>
        <w:t>ques et Béarnais aux îles d’Amérique (XVII</w:t>
      </w:r>
      <w:r w:rsidRPr="00C92F30">
        <w:rPr>
          <w:bCs/>
          <w:i/>
          <w:vertAlign w:val="superscript"/>
        </w:rPr>
        <w:t>e</w:t>
      </w:r>
      <w:r w:rsidRPr="00C92F30">
        <w:rPr>
          <w:bCs/>
          <w:i/>
        </w:rPr>
        <w:t>-XVIII</w:t>
      </w:r>
      <w:r w:rsidRPr="00C92F30">
        <w:rPr>
          <w:bCs/>
          <w:i/>
          <w:vertAlign w:val="superscript"/>
        </w:rPr>
        <w:t>e</w:t>
      </w:r>
      <w:r w:rsidRPr="00C92F30">
        <w:rPr>
          <w:bCs/>
          <w:i/>
        </w:rPr>
        <w:t xml:space="preserve"> siècles</w:t>
      </w:r>
      <w:r w:rsidRPr="00C92F30">
        <w:rPr>
          <w:rFonts w:eastAsia="Calibri"/>
        </w:rPr>
        <w:t>), Biarritz, Atlantica, 1998.</w:t>
      </w:r>
    </w:p>
  </w:footnote>
  <w:footnote w:id="216">
    <w:p w:rsidR="004C50DC" w:rsidRPr="00C92F30" w:rsidRDefault="004C50DC" w:rsidP="004C50DC">
      <w:pPr>
        <w:pStyle w:val="Notedebasdepage"/>
      </w:pPr>
      <w:r w:rsidRPr="00AB4182">
        <w:rPr>
          <w:rStyle w:val="Appelnotedebasdep"/>
        </w:rPr>
        <w:footnoteRef/>
      </w:r>
      <w:r>
        <w:rPr>
          <w:lang w:eastAsia="fr-FR"/>
        </w:rPr>
        <w:tab/>
      </w:r>
      <w:r w:rsidRPr="00C92F30">
        <w:rPr>
          <w:lang w:eastAsia="fr-FR"/>
        </w:rPr>
        <w:t>Dorigny et Gainot, op. cit., p. 25.</w:t>
      </w:r>
    </w:p>
  </w:footnote>
  <w:footnote w:id="217">
    <w:p w:rsidR="004C50DC" w:rsidRPr="00C92F30" w:rsidRDefault="004C50DC" w:rsidP="004C50DC">
      <w:pPr>
        <w:pStyle w:val="Notedebasdepage"/>
      </w:pPr>
      <w:r w:rsidRPr="00AB4182">
        <w:rPr>
          <w:rStyle w:val="Appelnotedebasdep"/>
        </w:rPr>
        <w:footnoteRef/>
      </w:r>
      <w:r>
        <w:tab/>
      </w:r>
      <w:r w:rsidRPr="00C92F30">
        <w:t>Michel Hector et Claude Moïse, Colonisation et esclavage en Haïti. Le régime colonial français à Saint-Domingue (1625-1789), Port-au-Prince, Henri De</w:t>
      </w:r>
      <w:r w:rsidRPr="00C92F30">
        <w:t>s</w:t>
      </w:r>
      <w:r w:rsidRPr="00C92F30">
        <w:t>champs, 1990, p. 80.</w:t>
      </w:r>
    </w:p>
  </w:footnote>
  <w:footnote w:id="218">
    <w:p w:rsidR="004C50DC" w:rsidRDefault="004C50DC">
      <w:pPr>
        <w:pStyle w:val="Notedebasdepage"/>
      </w:pPr>
      <w:r>
        <w:rPr>
          <w:rStyle w:val="Appelnotedebasdep"/>
        </w:rPr>
        <w:footnoteRef/>
      </w:r>
      <w:r>
        <w:t xml:space="preserve"> </w:t>
      </w:r>
      <w:r>
        <w:tab/>
      </w:r>
      <w:r w:rsidRPr="00C92F30">
        <w:rPr>
          <w:lang w:val="fr-FR"/>
        </w:rPr>
        <w:t>Jacques de Cauna, « Les comptes de la sucrerie Fleuriau. Analyse de la rent</w:t>
      </w:r>
      <w:r w:rsidRPr="00C92F30">
        <w:rPr>
          <w:lang w:val="fr-FR"/>
        </w:rPr>
        <w:t>a</w:t>
      </w:r>
      <w:r w:rsidRPr="00C92F30">
        <w:rPr>
          <w:lang w:val="fr-FR"/>
        </w:rPr>
        <w:t>bilité d’une plantation de Saint-Domingue au XVIII</w:t>
      </w:r>
      <w:r w:rsidRPr="00C92F30">
        <w:rPr>
          <w:vertAlign w:val="superscript"/>
          <w:lang w:val="fr-FR"/>
        </w:rPr>
        <w:t>e</w:t>
      </w:r>
      <w:r w:rsidRPr="00C92F30">
        <w:rPr>
          <w:lang w:val="fr-FR"/>
        </w:rPr>
        <w:t xml:space="preserve"> siècle », dans Paul B</w:t>
      </w:r>
      <w:r w:rsidRPr="00C92F30">
        <w:rPr>
          <w:lang w:val="fr-FR"/>
        </w:rPr>
        <w:t>u</w:t>
      </w:r>
      <w:r w:rsidRPr="00C92F30">
        <w:rPr>
          <w:lang w:val="fr-FR"/>
        </w:rPr>
        <w:t xml:space="preserve">tel (dir.), </w:t>
      </w:r>
      <w:r w:rsidRPr="00C92F30">
        <w:rPr>
          <w:i/>
          <w:iCs/>
          <w:lang w:val="fr-FR"/>
        </w:rPr>
        <w:t>Commerce et plantation dans la Caraïbe, XVIII</w:t>
      </w:r>
      <w:r w:rsidRPr="00C92F30">
        <w:rPr>
          <w:i/>
          <w:iCs/>
          <w:vertAlign w:val="superscript"/>
          <w:lang w:val="fr-FR"/>
        </w:rPr>
        <w:t>e</w:t>
      </w:r>
      <w:r w:rsidRPr="00C92F30">
        <w:rPr>
          <w:i/>
          <w:iCs/>
          <w:lang w:val="fr-FR"/>
        </w:rPr>
        <w:t>-XIX</w:t>
      </w:r>
      <w:r w:rsidRPr="00C92F30">
        <w:rPr>
          <w:i/>
          <w:iCs/>
          <w:vertAlign w:val="superscript"/>
          <w:lang w:val="fr-FR"/>
        </w:rPr>
        <w:t>e</w:t>
      </w:r>
      <w:r w:rsidRPr="00C92F30">
        <w:rPr>
          <w:i/>
          <w:iCs/>
          <w:lang w:val="fr-FR"/>
        </w:rPr>
        <w:t xml:space="preserve"> siècles</w:t>
      </w:r>
      <w:r w:rsidRPr="00C92F30">
        <w:rPr>
          <w:i/>
          <w:lang w:val="fr-FR"/>
        </w:rPr>
        <w:t>, Actes du colloque de Bordeaux, 15-16 mars 1991</w:t>
      </w:r>
      <w:r w:rsidRPr="00C92F30">
        <w:rPr>
          <w:lang w:val="fr-FR"/>
        </w:rPr>
        <w:t>, Bordeaux, Maison des pays ibér</w:t>
      </w:r>
      <w:r w:rsidRPr="00C92F30">
        <w:rPr>
          <w:lang w:val="fr-FR"/>
        </w:rPr>
        <w:t>i</w:t>
      </w:r>
      <w:r w:rsidRPr="00C92F30">
        <w:rPr>
          <w:lang w:val="fr-FR"/>
        </w:rPr>
        <w:t>ques, 1992, p</w:t>
      </w:r>
      <w:r>
        <w:rPr>
          <w:lang w:val="fr-FR"/>
        </w:rPr>
        <w:t>p</w:t>
      </w:r>
      <w:r w:rsidRPr="00C92F30">
        <w:rPr>
          <w:lang w:val="fr-FR"/>
        </w:rPr>
        <w:t>. 143-156.</w:t>
      </w:r>
    </w:p>
  </w:footnote>
  <w:footnote w:id="219">
    <w:p w:rsidR="004C50DC" w:rsidRDefault="004C50DC">
      <w:pPr>
        <w:pStyle w:val="Notedebasdepage"/>
      </w:pPr>
      <w:r>
        <w:rPr>
          <w:rStyle w:val="Appelnotedebasdep"/>
        </w:rPr>
        <w:footnoteRef/>
      </w:r>
      <w:r>
        <w:t xml:space="preserve"> </w:t>
      </w:r>
      <w:r>
        <w:tab/>
      </w:r>
      <w:r w:rsidRPr="00C92F30">
        <w:rPr>
          <w:lang w:val="fr-FR"/>
        </w:rPr>
        <w:t>Voir Nadine Baggioni-Lopez, « De la Perle des Antilles au temps de la pr</w:t>
      </w:r>
      <w:r w:rsidRPr="00C92F30">
        <w:rPr>
          <w:lang w:val="fr-FR"/>
        </w:rPr>
        <w:t>e</w:t>
      </w:r>
      <w:r w:rsidRPr="00C92F30">
        <w:rPr>
          <w:lang w:val="fr-FR"/>
        </w:rPr>
        <w:t>mière colonisation au pays le plus pauvre du continent américain. De l’esclavage au sous-développement, une construction de la domination », dans le cours Saint-Domingue/Haïti : histoire, géographie, enseignement (collèges, lycée professio</w:t>
      </w:r>
      <w:r w:rsidRPr="00C92F30">
        <w:rPr>
          <w:lang w:val="fr-FR"/>
        </w:rPr>
        <w:t>n</w:t>
      </w:r>
      <w:r w:rsidRPr="00C92F30">
        <w:rPr>
          <w:lang w:val="fr-FR"/>
        </w:rPr>
        <w:t>nel), en ligne,</w:t>
      </w:r>
      <w:r>
        <w:rPr>
          <w:lang w:val="fr-FR"/>
        </w:rPr>
        <w:br/>
      </w:r>
      <w:hyperlink r:id="rId27" w:history="1">
        <w:r w:rsidRPr="00C92F30">
          <w:rPr>
            <w:rStyle w:val="Lienhypertexte"/>
            <w:lang w:val="fr-FR"/>
          </w:rPr>
          <w:t>https://www2.ac-lyon.fr/.../Haïti_histoire_geographie_enseignement_1_.do</w:t>
        </w:r>
      </w:hyperlink>
      <w:r w:rsidRPr="00C92F30">
        <w:rPr>
          <w:lang w:val="fr-FR"/>
        </w:rPr>
        <w:t xml:space="preserve">..., consulté le 12 février 2014.  </w:t>
      </w:r>
    </w:p>
  </w:footnote>
  <w:footnote w:id="220">
    <w:p w:rsidR="004C50DC" w:rsidRDefault="004C50DC">
      <w:pPr>
        <w:pStyle w:val="Notedebasdepage"/>
      </w:pPr>
      <w:r>
        <w:rPr>
          <w:rStyle w:val="Appelnotedebasdep"/>
        </w:rPr>
        <w:footnoteRef/>
      </w:r>
      <w:r>
        <w:t xml:space="preserve"> </w:t>
      </w:r>
      <w:r>
        <w:tab/>
      </w:r>
      <w:r w:rsidRPr="000B5E84">
        <w:rPr>
          <w:i/>
          <w:lang w:val="fr-FR"/>
        </w:rPr>
        <w:t>Ibid</w:t>
      </w:r>
      <w:r w:rsidRPr="00C92F30">
        <w:rPr>
          <w:lang w:val="fr-FR"/>
        </w:rPr>
        <w:t xml:space="preserve">.  </w:t>
      </w:r>
    </w:p>
  </w:footnote>
  <w:footnote w:id="221">
    <w:p w:rsidR="004C50DC" w:rsidRPr="00C92F30" w:rsidRDefault="004C50DC" w:rsidP="004C50DC">
      <w:pPr>
        <w:pStyle w:val="Notedebasdepage"/>
      </w:pPr>
      <w:r w:rsidRPr="000B5E84">
        <w:rPr>
          <w:rStyle w:val="Appelnotedebasdep"/>
        </w:rPr>
        <w:footnoteRef/>
      </w:r>
      <w:r>
        <w:tab/>
      </w:r>
      <w:r w:rsidRPr="00C92F30">
        <w:t xml:space="preserve">Pour Peter Garnsey, c’est le rôle déterminant que jouent les esclaves dans la production dans une société qui définit une société esclavagiste et non le nombre d’esclaves, par opposition à une société ayant des esclaves ; </w:t>
      </w:r>
      <w:r w:rsidRPr="00C92F30">
        <w:rPr>
          <w:lang w:eastAsia="fr-FR"/>
        </w:rPr>
        <w:t xml:space="preserve">Peter Garnsey, </w:t>
      </w:r>
      <w:r w:rsidRPr="00C92F30">
        <w:rPr>
          <w:i/>
          <w:lang w:eastAsia="fr-FR"/>
        </w:rPr>
        <w:t>Conceptions de l’esclavage d’Aristote à saint Augustin</w:t>
      </w:r>
      <w:r w:rsidRPr="00C92F30">
        <w:rPr>
          <w:lang w:eastAsia="fr-FR"/>
        </w:rPr>
        <w:t>, Paris, Les Belles Lettres, 2004.</w:t>
      </w:r>
    </w:p>
  </w:footnote>
  <w:footnote w:id="222">
    <w:p w:rsidR="004C50DC" w:rsidRPr="00C92F30" w:rsidRDefault="004C50DC" w:rsidP="004C50DC">
      <w:pPr>
        <w:pStyle w:val="Notedebasdepage"/>
      </w:pPr>
      <w:r w:rsidRPr="000B5E84">
        <w:rPr>
          <w:rStyle w:val="Appelnotedebasdep"/>
        </w:rPr>
        <w:footnoteRef/>
      </w:r>
      <w:r>
        <w:tab/>
      </w:r>
      <w:r w:rsidRPr="00C92F30">
        <w:t>Un premier arrêt du 26 octobre 1784 concéda une gratification de quarante l</w:t>
      </w:r>
      <w:r w:rsidRPr="00C92F30">
        <w:t>i</w:t>
      </w:r>
      <w:r w:rsidRPr="00C92F30">
        <w:t>vres par tonneau de jauge à tout navire négrier avant son départ. Au retour, une prime additionnelle de soixante livres était attribuée par Noir débarqué aux Antilles ou en Guyane ; voir le rapport de Denis Tillinac, op. cit.</w:t>
      </w:r>
    </w:p>
  </w:footnote>
  <w:footnote w:id="223">
    <w:p w:rsidR="004C50DC" w:rsidRDefault="004C50DC">
      <w:pPr>
        <w:pStyle w:val="Notedebasdepage"/>
      </w:pPr>
      <w:r>
        <w:rPr>
          <w:rStyle w:val="Appelnotedebasdep"/>
        </w:rPr>
        <w:footnoteRef/>
      </w:r>
      <w:r>
        <w:t xml:space="preserve"> </w:t>
      </w:r>
      <w:r>
        <w:tab/>
      </w:r>
      <w:r w:rsidRPr="00C92F30">
        <w:rPr>
          <w:lang w:val="fr-FR"/>
        </w:rPr>
        <w:t xml:space="preserve">Voir Bernard Michon, « Nantes au temps de l’apogée négrier : la place de la traite dans le commerce nantais », dans Éric Saunier (dir.), </w:t>
      </w:r>
      <w:r w:rsidRPr="00C92F30">
        <w:rPr>
          <w:i/>
          <w:lang w:eastAsia="fr-FR"/>
        </w:rPr>
        <w:t>Villes portuaires du commerce triangulaire à l’abolition, Cahiers de l’histoire et des mémoires de la traite négrière, de l’esclavage et de leurs abolitions en Normandie</w:t>
      </w:r>
      <w:r w:rsidRPr="00C92F30">
        <w:rPr>
          <w:lang w:eastAsia="fr-FR"/>
        </w:rPr>
        <w:t>, n° 1, Actes du colloque du Havre (9-10 mai 2008), Le Havre, Les Routes du Ph</w:t>
      </w:r>
      <w:r w:rsidRPr="00C92F30">
        <w:rPr>
          <w:lang w:eastAsia="fr-FR"/>
        </w:rPr>
        <w:t>i</w:t>
      </w:r>
      <w:r w:rsidRPr="00C92F30">
        <w:rPr>
          <w:lang w:eastAsia="fr-FR"/>
        </w:rPr>
        <w:t>lanthrope - CIRTAI, 2009</w:t>
      </w:r>
      <w:r w:rsidRPr="00C92F30">
        <w:rPr>
          <w:lang w:val="fr-FR"/>
        </w:rPr>
        <w:t xml:space="preserve">, </w:t>
      </w:r>
      <w:r>
        <w:rPr>
          <w:lang w:val="fr-FR"/>
        </w:rPr>
        <w:t>p</w:t>
      </w:r>
      <w:r w:rsidRPr="00C92F30">
        <w:rPr>
          <w:lang w:val="fr-FR"/>
        </w:rPr>
        <w:t>p. 71-96.</w:t>
      </w:r>
    </w:p>
  </w:footnote>
  <w:footnote w:id="224">
    <w:p w:rsidR="004C50DC" w:rsidRDefault="004C50DC">
      <w:pPr>
        <w:pStyle w:val="Notedebasdepage"/>
      </w:pPr>
      <w:r>
        <w:rPr>
          <w:rStyle w:val="Appelnotedebasdep"/>
        </w:rPr>
        <w:footnoteRef/>
      </w:r>
      <w:r>
        <w:t xml:space="preserve"> </w:t>
      </w:r>
      <w:r>
        <w:tab/>
      </w:r>
      <w:r w:rsidRPr="00C92F30">
        <w:t>On peut voir dans les documents des Archives de Bordeaux des noms de nav</w:t>
      </w:r>
      <w:r w:rsidRPr="00C92F30">
        <w:t>i</w:t>
      </w:r>
      <w:r w:rsidRPr="00C92F30">
        <w:t xml:space="preserve">res tels que la </w:t>
      </w:r>
      <w:r w:rsidRPr="00C92F30">
        <w:rPr>
          <w:i/>
        </w:rPr>
        <w:t>Conduite de Dieu</w:t>
      </w:r>
      <w:r w:rsidRPr="00C92F30">
        <w:t xml:space="preserve">, appartenant à une famille catholique, le </w:t>
      </w:r>
      <w:r w:rsidRPr="00C92F30">
        <w:rPr>
          <w:i/>
        </w:rPr>
        <w:t>P</w:t>
      </w:r>
      <w:r w:rsidRPr="00C92F30">
        <w:rPr>
          <w:i/>
        </w:rPr>
        <w:t>a</w:t>
      </w:r>
      <w:r w:rsidRPr="00C92F30">
        <w:rPr>
          <w:i/>
        </w:rPr>
        <w:t>tria</w:t>
      </w:r>
      <w:r w:rsidRPr="00C92F30">
        <w:rPr>
          <w:i/>
        </w:rPr>
        <w:t>r</w:t>
      </w:r>
      <w:r w:rsidRPr="00C92F30">
        <w:rPr>
          <w:i/>
        </w:rPr>
        <w:t>che</w:t>
      </w:r>
      <w:r w:rsidRPr="00C92F30">
        <w:t xml:space="preserve">, pour une famille juive, ou le </w:t>
      </w:r>
      <w:r w:rsidRPr="00C92F30">
        <w:rPr>
          <w:i/>
        </w:rPr>
        <w:t>Nerac</w:t>
      </w:r>
      <w:r w:rsidRPr="00C92F30">
        <w:t>, nom d’une famille de fervents prote</w:t>
      </w:r>
      <w:r w:rsidRPr="00C92F30">
        <w:t>s</w:t>
      </w:r>
      <w:r w:rsidRPr="00C92F30">
        <w:t>tants.</w:t>
      </w:r>
    </w:p>
  </w:footnote>
  <w:footnote w:id="225">
    <w:p w:rsidR="004C50DC" w:rsidRDefault="004C50DC">
      <w:pPr>
        <w:pStyle w:val="Notedebasdepage"/>
      </w:pPr>
      <w:r>
        <w:rPr>
          <w:rStyle w:val="Appelnotedebasdep"/>
        </w:rPr>
        <w:footnoteRef/>
      </w:r>
      <w:r>
        <w:t xml:space="preserve"> </w:t>
      </w:r>
      <w:r>
        <w:tab/>
      </w:r>
      <w:r w:rsidRPr="00C92F30">
        <w:rPr>
          <w:lang w:val="fr-FR"/>
        </w:rPr>
        <w:t xml:space="preserve">Guy Saupin, </w:t>
      </w:r>
      <w:r w:rsidRPr="00C92F30">
        <w:rPr>
          <w:i/>
          <w:lang w:val="fr-FR"/>
        </w:rPr>
        <w:t>Les villes en France à l’époque moderne</w:t>
      </w:r>
      <w:r w:rsidRPr="00C92F30">
        <w:rPr>
          <w:lang w:val="fr-FR"/>
        </w:rPr>
        <w:t>, Paris, Belin, 2002, p. 18.</w:t>
      </w:r>
    </w:p>
  </w:footnote>
  <w:footnote w:id="226">
    <w:p w:rsidR="004C50DC" w:rsidRDefault="004C50DC">
      <w:pPr>
        <w:pStyle w:val="Notedebasdepage"/>
      </w:pPr>
      <w:r>
        <w:rPr>
          <w:rStyle w:val="Appelnotedebasdep"/>
        </w:rPr>
        <w:footnoteRef/>
      </w:r>
      <w:r>
        <w:t xml:space="preserve"> </w:t>
      </w:r>
      <w:r>
        <w:tab/>
      </w:r>
      <w:r w:rsidRPr="00C92F30">
        <w:t>Certains négociants bordelais pratiquaient le« commerce en droiture » avec Saint-Domingue ; c’est-à-dire que les navires partaient du port de Bordeaux et allaient directement aux Antilles pour y apporter principalement des produits français (vin, farine, produits manufacturiers, chaudières pour la fabrication de sucre, etc.), rapportant par la suite en importation les produits coloniaux (s</w:t>
      </w:r>
      <w:r w:rsidRPr="00C92F30">
        <w:t>u</w:t>
      </w:r>
      <w:r w:rsidRPr="00C92F30">
        <w:t>cre, café, cacao, indigo…). Ces denrées coloniales étaient cultivées et produ</w:t>
      </w:r>
      <w:r w:rsidRPr="00C92F30">
        <w:t>i</w:t>
      </w:r>
      <w:r w:rsidRPr="00C92F30">
        <w:t>tes par les esclaves.</w:t>
      </w:r>
    </w:p>
  </w:footnote>
  <w:footnote w:id="227">
    <w:p w:rsidR="004C50DC" w:rsidRDefault="004C50DC">
      <w:pPr>
        <w:pStyle w:val="Notedebasdepage"/>
      </w:pPr>
      <w:r>
        <w:rPr>
          <w:rStyle w:val="Appelnotedebasdep"/>
        </w:rPr>
        <w:footnoteRef/>
      </w:r>
      <w:r>
        <w:t xml:space="preserve"> </w:t>
      </w:r>
      <w:r>
        <w:tab/>
      </w:r>
      <w:r w:rsidRPr="00C92F30">
        <w:t xml:space="preserve">Gaston Martin, </w:t>
      </w:r>
      <w:r w:rsidRPr="00C92F30">
        <w:rPr>
          <w:i/>
        </w:rPr>
        <w:t>Nantes au XVIII</w:t>
      </w:r>
      <w:r w:rsidRPr="00C92F30">
        <w:rPr>
          <w:i/>
          <w:vertAlign w:val="superscript"/>
        </w:rPr>
        <w:t>e</w:t>
      </w:r>
      <w:r w:rsidRPr="00C92F30">
        <w:rPr>
          <w:i/>
        </w:rPr>
        <w:t xml:space="preserve"> siècle. L’ère des négriers (1717-1774)</w:t>
      </w:r>
      <w:r w:rsidRPr="00C92F30">
        <w:t xml:space="preserve">, Paris, Karthala, 1993 [Félix Alcan, 1931]. </w:t>
      </w:r>
    </w:p>
  </w:footnote>
  <w:footnote w:id="228">
    <w:p w:rsidR="004C50DC" w:rsidRDefault="004C50DC">
      <w:pPr>
        <w:pStyle w:val="Notedebasdepage"/>
      </w:pPr>
      <w:r>
        <w:rPr>
          <w:rStyle w:val="Appelnotedebasdep"/>
        </w:rPr>
        <w:footnoteRef/>
      </w:r>
      <w:r>
        <w:t xml:space="preserve"> </w:t>
      </w:r>
      <w:r>
        <w:tab/>
      </w:r>
      <w:r w:rsidRPr="00C92F30">
        <w:t>Voir ce court métrage dans la salle d’exposition permanente consacrée au XVIII</w:t>
      </w:r>
      <w:r w:rsidRPr="00C92F30">
        <w:rPr>
          <w:vertAlign w:val="superscript"/>
        </w:rPr>
        <w:t>e</w:t>
      </w:r>
      <w:r w:rsidRPr="00C92F30">
        <w:t xml:space="preserve"> siècle bordelais et la traite et l’esclavage.</w:t>
      </w:r>
    </w:p>
  </w:footnote>
  <w:footnote w:id="229">
    <w:p w:rsidR="004C50DC" w:rsidRPr="00C92F30" w:rsidRDefault="004C50DC" w:rsidP="004C50DC">
      <w:pPr>
        <w:pStyle w:val="Notedebasdepage"/>
      </w:pPr>
      <w:r w:rsidRPr="000B5E84">
        <w:rPr>
          <w:rStyle w:val="Appelnotedebasdep"/>
        </w:rPr>
        <w:footnoteRef/>
      </w:r>
      <w:r>
        <w:tab/>
      </w:r>
      <w:r w:rsidRPr="00C92F30">
        <w:t>Voir l’exposition « Bordeaux, le commerce Atlantique et l’esclavage », exp</w:t>
      </w:r>
      <w:r w:rsidRPr="00C92F30">
        <w:t>o</w:t>
      </w:r>
      <w:r w:rsidRPr="00C92F30">
        <w:t>sition permanente consacrée à l’histoire de la ville de Bordeaux au XVII</w:t>
      </w:r>
      <w:r w:rsidRPr="00C92F30">
        <w:rPr>
          <w:vertAlign w:val="superscript"/>
        </w:rPr>
        <w:t>e</w:t>
      </w:r>
      <w:r w:rsidRPr="00C92F30">
        <w:t xml:space="preserve"> si</w:t>
      </w:r>
      <w:r w:rsidRPr="00C92F30">
        <w:t>è</w:t>
      </w:r>
      <w:r w:rsidRPr="00C92F30">
        <w:t xml:space="preserve">cle et à son implication dans la Traite des Noirs et l’esclavage. </w:t>
      </w:r>
    </w:p>
  </w:footnote>
  <w:footnote w:id="230">
    <w:p w:rsidR="004C50DC" w:rsidRPr="00C92F30" w:rsidRDefault="004C50DC" w:rsidP="004C50DC">
      <w:pPr>
        <w:pStyle w:val="Notedebasdepage"/>
      </w:pPr>
      <w:r w:rsidRPr="000B5E84">
        <w:rPr>
          <w:rStyle w:val="Appelnotedebasdep"/>
        </w:rPr>
        <w:footnoteRef/>
      </w:r>
      <w:r>
        <w:tab/>
      </w:r>
      <w:r w:rsidRPr="00C92F30">
        <w:t xml:space="preserve">Olivier Pétré-Grenouilleau, </w:t>
      </w:r>
      <w:r w:rsidRPr="00C92F30">
        <w:rPr>
          <w:i/>
        </w:rPr>
        <w:t>Les Traites négrières, essai d'histoire globale</w:t>
      </w:r>
      <w:r w:rsidRPr="00C92F30">
        <w:t>, Paris, Gallimard,‎2004, p. 137-139.</w:t>
      </w:r>
    </w:p>
  </w:footnote>
  <w:footnote w:id="231">
    <w:p w:rsidR="004C50DC" w:rsidRPr="00C92F30" w:rsidRDefault="004C50DC" w:rsidP="004C50DC">
      <w:pPr>
        <w:pStyle w:val="Notedebasdepage"/>
      </w:pPr>
      <w:r w:rsidRPr="000B5E84">
        <w:rPr>
          <w:rStyle w:val="Appelnotedebasdep"/>
        </w:rPr>
        <w:footnoteRef/>
      </w:r>
      <w:r>
        <w:tab/>
      </w:r>
      <w:r w:rsidRPr="00C92F30">
        <w:t xml:space="preserve">Serge Daget, </w:t>
      </w:r>
      <w:r w:rsidRPr="00C92F30">
        <w:rPr>
          <w:i/>
        </w:rPr>
        <w:t>La Traite des Noirs</w:t>
      </w:r>
      <w:r w:rsidRPr="00C92F30">
        <w:t>, Rennes, Ouest-France Université,</w:t>
      </w:r>
      <w:r>
        <w:t xml:space="preserve"> </w:t>
      </w:r>
      <w:r w:rsidRPr="00C92F30">
        <w:t>1990,</w:t>
      </w:r>
      <w:r>
        <w:t xml:space="preserve"> p</w:t>
      </w:r>
      <w:r w:rsidRPr="00C92F30">
        <w:rPr>
          <w:rFonts w:eastAsia="Calibri"/>
          <w:lang w:eastAsia="fr-FR"/>
        </w:rPr>
        <w:t>p. 163-165.</w:t>
      </w:r>
    </w:p>
  </w:footnote>
  <w:footnote w:id="232">
    <w:p w:rsidR="004C50DC" w:rsidRPr="00C92F30" w:rsidRDefault="004C50DC" w:rsidP="004C50DC">
      <w:pPr>
        <w:pStyle w:val="Notedebasdepage"/>
      </w:pPr>
      <w:r w:rsidRPr="000B5E84">
        <w:rPr>
          <w:rStyle w:val="Appelnotedebasdep"/>
        </w:rPr>
        <w:footnoteRef/>
      </w:r>
      <w:r>
        <w:tab/>
      </w:r>
      <w:r w:rsidRPr="00C92F30">
        <w:t xml:space="preserve">Hugh Thomas, </w:t>
      </w:r>
      <w:r w:rsidRPr="00C92F30">
        <w:rPr>
          <w:i/>
        </w:rPr>
        <w:t>La Traite des Noirs, 1440-1870</w:t>
      </w:r>
      <w:r w:rsidRPr="00C92F30">
        <w:t>, Paris, Robert Laffont, 2006, p. 442.</w:t>
      </w:r>
    </w:p>
  </w:footnote>
  <w:footnote w:id="233">
    <w:p w:rsidR="004C50DC" w:rsidRDefault="004C50DC">
      <w:pPr>
        <w:pStyle w:val="Notedebasdepage"/>
      </w:pPr>
      <w:r>
        <w:rPr>
          <w:rStyle w:val="Appelnotedebasdep"/>
        </w:rPr>
        <w:footnoteRef/>
      </w:r>
      <w:r>
        <w:t xml:space="preserve"> </w:t>
      </w:r>
      <w:r>
        <w:tab/>
      </w:r>
      <w:r w:rsidRPr="00C92F30">
        <w:rPr>
          <w:lang w:val="fr-FR"/>
        </w:rPr>
        <w:t xml:space="preserve">Voir Marcus Rediker, </w:t>
      </w:r>
      <w:r w:rsidRPr="00C92F30">
        <w:rPr>
          <w:i/>
          <w:lang w:val="fr-FR"/>
        </w:rPr>
        <w:t>À bord du négrier. Une histoire atlantique de la tra</w:t>
      </w:r>
      <w:r w:rsidRPr="00C92F30">
        <w:rPr>
          <w:i/>
          <w:lang w:val="fr-FR"/>
        </w:rPr>
        <w:t>i</w:t>
      </w:r>
      <w:r w:rsidRPr="00C92F30">
        <w:rPr>
          <w:i/>
          <w:lang w:val="fr-FR"/>
        </w:rPr>
        <w:t>te</w:t>
      </w:r>
      <w:r w:rsidRPr="00C92F30">
        <w:rPr>
          <w:lang w:val="fr-FR"/>
        </w:rPr>
        <w:t xml:space="preserve">, traduit de l’américain par Aurélien Blanchard, Paris, Seuil, 2013, cité par </w:t>
      </w:r>
      <w:hyperlink r:id="rId28" w:history="1">
        <w:r w:rsidRPr="00C92F30">
          <w:rPr>
            <w:rStyle w:val="Lienhypertexte"/>
            <w:lang w:val="fr-FR"/>
          </w:rPr>
          <w:t>http://www.jeuneafrique.com/Article/</w:t>
        </w:r>
      </w:hyperlink>
      <w:r w:rsidRPr="00C92F30">
        <w:rPr>
          <w:lang w:val="fr-FR"/>
        </w:rPr>
        <w:t>, consulté le 2 février 2014.</w:t>
      </w:r>
    </w:p>
  </w:footnote>
  <w:footnote w:id="234">
    <w:p w:rsidR="004C50DC" w:rsidRDefault="004C50DC">
      <w:pPr>
        <w:pStyle w:val="Notedebasdepage"/>
      </w:pPr>
      <w:r>
        <w:rPr>
          <w:rStyle w:val="Appelnotedebasdep"/>
        </w:rPr>
        <w:footnoteRef/>
      </w:r>
      <w:r>
        <w:t xml:space="preserve"> </w:t>
      </w:r>
      <w:r>
        <w:tab/>
      </w:r>
      <w:r w:rsidRPr="000B5E84">
        <w:rPr>
          <w:i/>
          <w:lang w:val="fr-FR"/>
        </w:rPr>
        <w:t>Ibid</w:t>
      </w:r>
      <w:r w:rsidRPr="00C92F30">
        <w:rPr>
          <w:lang w:val="fr-FR"/>
        </w:rPr>
        <w:t>.</w:t>
      </w:r>
    </w:p>
  </w:footnote>
  <w:footnote w:id="235">
    <w:p w:rsidR="004C50DC" w:rsidRDefault="004C50DC" w:rsidP="004C50DC">
      <w:pPr>
        <w:pStyle w:val="Notedebasdepage"/>
      </w:pPr>
      <w:r>
        <w:rPr>
          <w:rStyle w:val="Appelnotedebasdep"/>
        </w:rPr>
        <w:footnoteRef/>
      </w:r>
      <w:r>
        <w:t xml:space="preserve"> </w:t>
      </w:r>
      <w:r>
        <w:tab/>
      </w:r>
      <w:r w:rsidRPr="00C92F30">
        <w:t>Voir l’exposition permanente « Bordeaux, le commerce Atlantique et l’esclavage », op. cit.</w:t>
      </w:r>
    </w:p>
  </w:footnote>
  <w:footnote w:id="236">
    <w:p w:rsidR="004C50DC" w:rsidRDefault="004C50DC" w:rsidP="004C50DC">
      <w:pPr>
        <w:pStyle w:val="Notedebasdepage"/>
      </w:pPr>
      <w:r>
        <w:rPr>
          <w:rStyle w:val="Appelnotedebasdep"/>
        </w:rPr>
        <w:footnoteRef/>
      </w:r>
      <w:r>
        <w:t xml:space="preserve"> </w:t>
      </w:r>
      <w:r>
        <w:tab/>
      </w:r>
      <w:r w:rsidRPr="00C92F30">
        <w:t xml:space="preserve">Voir Ahmed Reid, « The </w:t>
      </w:r>
      <w:r w:rsidRPr="00C92F30">
        <w:rPr>
          <w:rStyle w:val="yshortcuts"/>
        </w:rPr>
        <w:t>Transatlantic Trade</w:t>
      </w:r>
      <w:r w:rsidRPr="00C92F30">
        <w:t xml:space="preserve"> in Africans : Recognition through Data Analysis », Communication à la 12</w:t>
      </w:r>
      <w:r w:rsidRPr="00C92F30">
        <w:rPr>
          <w:vertAlign w:val="superscript"/>
        </w:rPr>
        <w:t>e</w:t>
      </w:r>
      <w:r w:rsidRPr="00C92F30">
        <w:t xml:space="preserve"> session du Groupe de tr</w:t>
      </w:r>
      <w:r w:rsidRPr="00C92F30">
        <w:t>a</w:t>
      </w:r>
      <w:r w:rsidRPr="00C92F30">
        <w:t>vail sur les peuples d’origine africaine, Bureau du Haut-Commissariat aux Droits de l’homme, Genève, 22-26 avril 2013, en ligne,</w:t>
      </w:r>
      <w:r>
        <w:br/>
      </w:r>
      <w:r w:rsidRPr="00C92F30">
        <w:rPr>
          <w:iCs/>
          <w:lang w:eastAsia="fr-FR"/>
        </w:rPr>
        <w:t>www.ohchr.org/Documents/Issues/Racism/.../AhmedReid.docx</w:t>
      </w:r>
    </w:p>
  </w:footnote>
  <w:footnote w:id="237">
    <w:p w:rsidR="004C50DC" w:rsidRDefault="004C50DC">
      <w:pPr>
        <w:pStyle w:val="Notedebasdepage"/>
      </w:pPr>
      <w:r>
        <w:rPr>
          <w:rStyle w:val="Appelnotedebasdep"/>
        </w:rPr>
        <w:footnoteRef/>
      </w:r>
      <w:r>
        <w:t xml:space="preserve"> </w:t>
      </w:r>
      <w:r>
        <w:tab/>
      </w:r>
      <w:r w:rsidRPr="00C92F30">
        <w:rPr>
          <w:lang w:val="en-US"/>
        </w:rPr>
        <w:t>Voir Alexander Falconbridge,</w:t>
      </w:r>
      <w:r w:rsidRPr="00C92F30">
        <w:rPr>
          <w:i/>
          <w:lang w:val="en-US"/>
        </w:rPr>
        <w:t>An Account of the Slave Trade on the Coast of Africa</w:t>
      </w:r>
      <w:r w:rsidRPr="00C92F30">
        <w:rPr>
          <w:lang w:val="en-US"/>
        </w:rPr>
        <w:t xml:space="preserve">, Londres, James Phillips, 1788, p. 23-24, cité par Ahmed Reid, « The </w:t>
      </w:r>
      <w:r w:rsidRPr="00C92F30">
        <w:rPr>
          <w:rStyle w:val="yshortcuts"/>
          <w:lang w:val="en-US"/>
        </w:rPr>
        <w:t>Transatlantic Trade</w:t>
      </w:r>
      <w:r w:rsidRPr="00C92F30">
        <w:rPr>
          <w:lang w:val="en-US"/>
        </w:rPr>
        <w:t xml:space="preserve"> in Africans: Recognition through Data Analysis », op. cit.</w:t>
      </w:r>
    </w:p>
  </w:footnote>
  <w:footnote w:id="238">
    <w:p w:rsidR="004C50DC" w:rsidRDefault="004C50DC">
      <w:pPr>
        <w:pStyle w:val="Notedebasdepage"/>
      </w:pPr>
      <w:r>
        <w:rPr>
          <w:rStyle w:val="Appelnotedebasdep"/>
        </w:rPr>
        <w:footnoteRef/>
      </w:r>
      <w:r>
        <w:t xml:space="preserve"> </w:t>
      </w:r>
      <w:r>
        <w:tab/>
      </w:r>
      <w:r w:rsidRPr="00C92F30">
        <w:rPr>
          <w:lang w:val="fr-FR"/>
        </w:rPr>
        <w:t xml:space="preserve">L’Édit de Louis X affranchissait quiconque foulait le sol de France; voir Yves Benot, </w:t>
      </w:r>
      <w:r w:rsidRPr="00C92F30">
        <w:rPr>
          <w:i/>
          <w:lang w:val="fr-FR"/>
        </w:rPr>
        <w:t>La modernité de l’esclavage. Essai sur la servitude au cœur du capit</w:t>
      </w:r>
      <w:r w:rsidRPr="00C92F30">
        <w:rPr>
          <w:i/>
          <w:lang w:val="fr-FR"/>
        </w:rPr>
        <w:t>a</w:t>
      </w:r>
      <w:r w:rsidRPr="00C92F30">
        <w:rPr>
          <w:i/>
          <w:lang w:val="fr-FR"/>
        </w:rPr>
        <w:t>lisme</w:t>
      </w:r>
      <w:r w:rsidRPr="00C92F30">
        <w:rPr>
          <w:lang w:val="fr-FR"/>
        </w:rPr>
        <w:t xml:space="preserve">, Paris, La Découverte, 2003, p. 31. </w:t>
      </w:r>
    </w:p>
  </w:footnote>
  <w:footnote w:id="239">
    <w:p w:rsidR="004C50DC" w:rsidRDefault="004C50DC">
      <w:pPr>
        <w:pStyle w:val="Notedebasdepage"/>
      </w:pPr>
      <w:r>
        <w:rPr>
          <w:rStyle w:val="Appelnotedebasdep"/>
        </w:rPr>
        <w:footnoteRef/>
      </w:r>
      <w:r>
        <w:t xml:space="preserve"> </w:t>
      </w:r>
      <w:r>
        <w:tab/>
      </w:r>
      <w:r w:rsidRPr="00C92F30">
        <w:rPr>
          <w:lang w:val="fr-FR"/>
        </w:rPr>
        <w:t>Voir l’Édit concernant les esclaves nègres des colonies, Paris, oct</w:t>
      </w:r>
      <w:r w:rsidRPr="00C92F30">
        <w:rPr>
          <w:lang w:val="fr-FR"/>
        </w:rPr>
        <w:t>o</w:t>
      </w:r>
      <w:r w:rsidRPr="00C92F30">
        <w:rPr>
          <w:lang w:val="fr-FR"/>
        </w:rPr>
        <w:t>bre1716,  Archives de Moreau de Saint-Méry, II, 525, dans Alphonse-Honoré Tailla</w:t>
      </w:r>
      <w:r w:rsidRPr="00C92F30">
        <w:rPr>
          <w:lang w:val="fr-FR"/>
        </w:rPr>
        <w:t>n</w:t>
      </w:r>
      <w:r w:rsidRPr="00C92F30">
        <w:rPr>
          <w:lang w:val="fr-FR"/>
        </w:rPr>
        <w:t xml:space="preserve">dier, </w:t>
      </w:r>
      <w:r w:rsidRPr="00C92F30">
        <w:rPr>
          <w:i/>
          <w:lang w:val="fr-FR"/>
        </w:rPr>
        <w:t xml:space="preserve">Recueil général des anciennes lois françaises, depuis l’an 420 jusqu’à la révolution de 1789, </w:t>
      </w:r>
      <w:r w:rsidRPr="00C92F30">
        <w:rPr>
          <w:lang w:val="fr-FR"/>
        </w:rPr>
        <w:t>Paris, Belin-Le-Prieur, Verdière,‎ 1830 ; voir, égal</w:t>
      </w:r>
      <w:r w:rsidRPr="00C92F30">
        <w:rPr>
          <w:lang w:val="fr-FR"/>
        </w:rPr>
        <w:t>e</w:t>
      </w:r>
      <w:r w:rsidRPr="00C92F30">
        <w:rPr>
          <w:lang w:val="fr-FR"/>
        </w:rPr>
        <w:t xml:space="preserve">ment le </w:t>
      </w:r>
      <w:r w:rsidRPr="00C92F30">
        <w:rPr>
          <w:bCs/>
          <w:i/>
        </w:rPr>
        <w:t>Recueil des édits, déclarations, lettres patentes, &amp;c. enregistrés au parlement de Flandres ; des arrêts du Conseil d'État particuliers à son ressort ; ense</w:t>
      </w:r>
      <w:r w:rsidRPr="00C92F30">
        <w:rPr>
          <w:bCs/>
          <w:i/>
        </w:rPr>
        <w:t>m</w:t>
      </w:r>
      <w:r w:rsidRPr="00C92F30">
        <w:rPr>
          <w:bCs/>
          <w:i/>
        </w:rPr>
        <w:t>ble des arrêts de réglements rendus par cette cour ed. by Six and P.A.S.J. Plouvain</w:t>
      </w:r>
      <w:r w:rsidRPr="00C92F30">
        <w:rPr>
          <w:bCs/>
        </w:rPr>
        <w:t xml:space="preserve">, </w:t>
      </w:r>
      <w:r w:rsidRPr="00C92F30">
        <w:rPr>
          <w:lang w:val="fr-FR"/>
        </w:rPr>
        <w:t>Douai, I</w:t>
      </w:r>
      <w:r w:rsidRPr="00C92F30">
        <w:rPr>
          <w:lang w:val="fr-FR"/>
        </w:rPr>
        <w:t>m</w:t>
      </w:r>
      <w:r w:rsidRPr="00C92F30">
        <w:rPr>
          <w:lang w:val="fr-FR"/>
        </w:rPr>
        <w:t>primerie de Derbaix, 1786, en ligne,</w:t>
      </w:r>
      <w:r>
        <w:rPr>
          <w:lang w:val="fr-FR"/>
        </w:rPr>
        <w:br/>
      </w:r>
      <w:r w:rsidRPr="00C92F30">
        <w:rPr>
          <w:lang w:val="fr-FR"/>
        </w:rPr>
        <w:t>https://archive.org/details/bub_gb_SXcPAAAAQAAJ.</w:t>
      </w:r>
    </w:p>
  </w:footnote>
  <w:footnote w:id="240">
    <w:p w:rsidR="004C50DC" w:rsidRDefault="004C50DC">
      <w:pPr>
        <w:pStyle w:val="Notedebasdepage"/>
      </w:pPr>
      <w:r>
        <w:rPr>
          <w:rStyle w:val="Appelnotedebasdep"/>
        </w:rPr>
        <w:footnoteRef/>
      </w:r>
      <w:r>
        <w:t xml:space="preserve"> </w:t>
      </w:r>
      <w:r>
        <w:tab/>
      </w:r>
      <w:r w:rsidRPr="00C92F30">
        <w:rPr>
          <w:lang w:val="fr-FR"/>
        </w:rPr>
        <w:t>Pour ce qui est de la Déclaration de Versailles concernant les nègres escl</w:t>
      </w:r>
      <w:r w:rsidRPr="00C92F30">
        <w:rPr>
          <w:lang w:val="fr-FR"/>
        </w:rPr>
        <w:t>a</w:t>
      </w:r>
      <w:r w:rsidRPr="00C92F30">
        <w:rPr>
          <w:lang w:val="fr-FR"/>
        </w:rPr>
        <w:t>ves des Colonies, du 15 décembre 1738, voir Valin, I, 436, Code de la Martin</w:t>
      </w:r>
      <w:r w:rsidRPr="00C92F30">
        <w:rPr>
          <w:lang w:val="fr-FR"/>
        </w:rPr>
        <w:t>i</w:t>
      </w:r>
      <w:r w:rsidRPr="00C92F30">
        <w:rPr>
          <w:lang w:val="fr-FR"/>
        </w:rPr>
        <w:t>que, dans Alphonse-Honoré Taillandier,</w:t>
      </w:r>
      <w:r w:rsidRPr="00C92F30">
        <w:rPr>
          <w:i/>
          <w:lang w:val="fr-FR"/>
        </w:rPr>
        <w:t xml:space="preserve"> Recueil général des anciennes lois fra</w:t>
      </w:r>
      <w:r w:rsidRPr="00C92F30">
        <w:rPr>
          <w:i/>
          <w:lang w:val="fr-FR"/>
        </w:rPr>
        <w:t>n</w:t>
      </w:r>
      <w:r w:rsidRPr="00C92F30">
        <w:rPr>
          <w:i/>
          <w:lang w:val="fr-FR"/>
        </w:rPr>
        <w:t xml:space="preserve">çaises depuis l’an 420 jusqu’à la révolution de 1789, </w:t>
      </w:r>
      <w:r w:rsidRPr="00C92F30">
        <w:rPr>
          <w:lang w:val="fr-FR"/>
        </w:rPr>
        <w:t>op. cit. ; voir aussi C</w:t>
      </w:r>
      <w:r w:rsidRPr="00C92F30">
        <w:rPr>
          <w:lang w:val="fr-FR"/>
        </w:rPr>
        <w:t>a</w:t>
      </w:r>
      <w:r w:rsidRPr="00C92F30">
        <w:rPr>
          <w:lang w:val="fr-FR"/>
        </w:rPr>
        <w:t>therine C</w:t>
      </w:r>
      <w:r w:rsidRPr="00C92F30">
        <w:rPr>
          <w:lang w:val="fr-FR"/>
        </w:rPr>
        <w:t>o</w:t>
      </w:r>
      <w:r w:rsidRPr="00C92F30">
        <w:rPr>
          <w:lang w:val="fr-FR"/>
        </w:rPr>
        <w:t xml:space="preserve">query-Vidrovitch, « Le postulat de la supériorité blanche et de l’infériorité noire », dans Marc Ferro (dir.), </w:t>
      </w:r>
      <w:r w:rsidRPr="00C92F30">
        <w:rPr>
          <w:i/>
          <w:lang w:val="fr-FR"/>
        </w:rPr>
        <w:t>Le livre noir du colonialisme</w:t>
      </w:r>
      <w:r w:rsidRPr="00C92F30">
        <w:rPr>
          <w:lang w:val="fr-FR"/>
        </w:rPr>
        <w:t>, P</w:t>
      </w:r>
      <w:r w:rsidRPr="00C92F30">
        <w:rPr>
          <w:lang w:val="fr-FR"/>
        </w:rPr>
        <w:t>a</w:t>
      </w:r>
      <w:r w:rsidRPr="00C92F30">
        <w:rPr>
          <w:lang w:val="fr-FR"/>
        </w:rPr>
        <w:t>ris, Robert La</w:t>
      </w:r>
      <w:r w:rsidRPr="00C92F30">
        <w:rPr>
          <w:lang w:val="fr-FR"/>
        </w:rPr>
        <w:t>f</w:t>
      </w:r>
      <w:r w:rsidRPr="00C92F30">
        <w:rPr>
          <w:lang w:val="fr-FR"/>
        </w:rPr>
        <w:t>font, 2003, p. 877.</w:t>
      </w:r>
    </w:p>
  </w:footnote>
  <w:footnote w:id="241">
    <w:p w:rsidR="004C50DC" w:rsidRDefault="004C50DC">
      <w:pPr>
        <w:pStyle w:val="Notedebasdepage"/>
      </w:pPr>
      <w:r>
        <w:rPr>
          <w:rStyle w:val="Appelnotedebasdep"/>
        </w:rPr>
        <w:footnoteRef/>
      </w:r>
      <w:r>
        <w:t xml:space="preserve"> </w:t>
      </w:r>
      <w:r>
        <w:tab/>
      </w:r>
      <w:r w:rsidRPr="00C92F30">
        <w:rPr>
          <w:lang w:val="fr-FR"/>
        </w:rPr>
        <w:t>L’Édit d’octobre 1716 sur le séjour des esclaves en France en son article 5 stipule que : «  Les esclaves nègres, de l’un et de l’autre sexe, qui seront conduits en France par leurs maîtres, ou qui y seront par eux envoyés, ne pourront préte</w:t>
      </w:r>
      <w:r w:rsidRPr="00C92F30">
        <w:rPr>
          <w:lang w:val="fr-FR"/>
        </w:rPr>
        <w:t>n</w:t>
      </w:r>
      <w:r w:rsidRPr="00C92F30">
        <w:rPr>
          <w:lang w:val="fr-FR"/>
        </w:rPr>
        <w:t>dre avoir acquis leur liberté sous prétexte de leur arrivée dans le royaume, et s</w:t>
      </w:r>
      <w:r w:rsidRPr="00C92F30">
        <w:rPr>
          <w:lang w:val="fr-FR"/>
        </w:rPr>
        <w:t>e</w:t>
      </w:r>
      <w:r w:rsidRPr="00C92F30">
        <w:rPr>
          <w:lang w:val="fr-FR"/>
        </w:rPr>
        <w:t>ront tenus de retourner dans nos colonies quand leurs maîtres le jugeront à propos […] » ; en ligne,</w:t>
      </w:r>
      <w:r>
        <w:rPr>
          <w:lang w:val="fr-FR"/>
        </w:rPr>
        <w:t xml:space="preserve"> </w:t>
      </w:r>
      <w:hyperlink r:id="rId29" w:history="1">
        <w:r w:rsidRPr="00C92F30">
          <w:rPr>
            <w:rStyle w:val="Lienhypertexte"/>
            <w:lang w:val="fr-FR"/>
          </w:rPr>
          <w:t>http://haiti.upmf-grenoble.fr/?page_id=2367</w:t>
        </w:r>
      </w:hyperlink>
      <w:r w:rsidRPr="00C92F30">
        <w:rPr>
          <w:lang w:val="fr-FR"/>
        </w:rPr>
        <w:t>, consulté le 1</w:t>
      </w:r>
      <w:r w:rsidRPr="00C92F30">
        <w:rPr>
          <w:vertAlign w:val="superscript"/>
          <w:lang w:val="fr-FR"/>
        </w:rPr>
        <w:t>er</w:t>
      </w:r>
      <w:r w:rsidRPr="00C92F30">
        <w:rPr>
          <w:lang w:val="fr-FR"/>
        </w:rPr>
        <w:t xml:space="preserve"> d</w:t>
      </w:r>
      <w:r w:rsidRPr="00C92F30">
        <w:rPr>
          <w:lang w:val="fr-FR"/>
        </w:rPr>
        <w:t>é</w:t>
      </w:r>
      <w:r w:rsidRPr="00C92F30">
        <w:rPr>
          <w:lang w:val="fr-FR"/>
        </w:rPr>
        <w:t>cembre 2015.</w:t>
      </w:r>
    </w:p>
  </w:footnote>
  <w:footnote w:id="242">
    <w:p w:rsidR="004C50DC" w:rsidRDefault="004C50DC">
      <w:pPr>
        <w:pStyle w:val="Notedebasdepage"/>
      </w:pPr>
      <w:r>
        <w:rPr>
          <w:rStyle w:val="Appelnotedebasdep"/>
        </w:rPr>
        <w:footnoteRef/>
      </w:r>
      <w:r>
        <w:t xml:space="preserve"> </w:t>
      </w:r>
      <w:r>
        <w:tab/>
      </w:r>
      <w:r w:rsidRPr="00C92F30">
        <w:t xml:space="preserve">Voir </w:t>
      </w:r>
      <w:r w:rsidRPr="00C92F30">
        <w:rPr>
          <w:rFonts w:eastAsia="Calibri"/>
          <w:lang w:eastAsia="en-CA"/>
        </w:rPr>
        <w:t xml:space="preserve">Éric Saugera, </w:t>
      </w:r>
      <w:r w:rsidRPr="00C92F30">
        <w:rPr>
          <w:rFonts w:eastAsia="Calibri"/>
          <w:i/>
          <w:lang w:eastAsia="en-CA"/>
        </w:rPr>
        <w:t>Bordeaux port négrier, XVII</w:t>
      </w:r>
      <w:r w:rsidRPr="00C92F30">
        <w:rPr>
          <w:rFonts w:eastAsia="Calibri"/>
          <w:i/>
          <w:vertAlign w:val="superscript"/>
          <w:lang w:eastAsia="en-CA"/>
        </w:rPr>
        <w:t>e</w:t>
      </w:r>
      <w:r w:rsidRPr="00C92F30">
        <w:rPr>
          <w:rFonts w:eastAsia="Calibri"/>
          <w:i/>
          <w:lang w:eastAsia="en-CA"/>
        </w:rPr>
        <w:t>-XIX</w:t>
      </w:r>
      <w:r w:rsidRPr="00C92F30">
        <w:rPr>
          <w:rFonts w:eastAsia="Calibri"/>
          <w:i/>
          <w:vertAlign w:val="superscript"/>
          <w:lang w:eastAsia="en-CA"/>
        </w:rPr>
        <w:t>e</w:t>
      </w:r>
      <w:r w:rsidRPr="00C92F30">
        <w:rPr>
          <w:rFonts w:eastAsia="Calibri"/>
          <w:i/>
          <w:lang w:eastAsia="en-CA"/>
        </w:rPr>
        <w:t xml:space="preserve"> siècles</w:t>
      </w:r>
      <w:r w:rsidRPr="00C92F30">
        <w:rPr>
          <w:rFonts w:eastAsia="Calibri"/>
          <w:lang w:eastAsia="en-CA"/>
        </w:rPr>
        <w:t>, Paris, Karth</w:t>
      </w:r>
      <w:r w:rsidRPr="00C92F30">
        <w:rPr>
          <w:rFonts w:eastAsia="Calibri"/>
          <w:lang w:eastAsia="en-CA"/>
        </w:rPr>
        <w:t>a</w:t>
      </w:r>
      <w:r w:rsidRPr="00C92F30">
        <w:rPr>
          <w:rFonts w:eastAsia="Calibri"/>
          <w:lang w:eastAsia="en-CA"/>
        </w:rPr>
        <w:t xml:space="preserve">la, 1995, p. 291; voir aussi </w:t>
      </w:r>
      <w:r w:rsidRPr="00C92F30">
        <w:t xml:space="preserve">Félix Martin-Doisy, </w:t>
      </w:r>
      <w:r w:rsidRPr="00C92F30">
        <w:rPr>
          <w:i/>
        </w:rPr>
        <w:t>Dictionnaire d’Économie Char</w:t>
      </w:r>
      <w:r w:rsidRPr="00C92F30">
        <w:rPr>
          <w:i/>
        </w:rPr>
        <w:t>i</w:t>
      </w:r>
      <w:r w:rsidRPr="00C92F30">
        <w:rPr>
          <w:i/>
        </w:rPr>
        <w:t>table ou Exposé Historique, théorique et pratique de l’assistance religieuse, p</w:t>
      </w:r>
      <w:r w:rsidRPr="00C92F30">
        <w:rPr>
          <w:i/>
        </w:rPr>
        <w:t>u</w:t>
      </w:r>
      <w:r w:rsidRPr="00C92F30">
        <w:rPr>
          <w:i/>
        </w:rPr>
        <w:t>blique et privée</w:t>
      </w:r>
      <w:r w:rsidRPr="00C92F30">
        <w:t xml:space="preserve">, vol.7, Paris, J.P. Migné, 1836, p. 1094. </w:t>
      </w:r>
    </w:p>
  </w:footnote>
  <w:footnote w:id="243">
    <w:p w:rsidR="004C50DC" w:rsidRDefault="004C50DC">
      <w:pPr>
        <w:pStyle w:val="Notedebasdepage"/>
      </w:pPr>
      <w:r>
        <w:rPr>
          <w:rStyle w:val="Appelnotedebasdep"/>
        </w:rPr>
        <w:footnoteRef/>
      </w:r>
      <w:r>
        <w:t xml:space="preserve"> </w:t>
      </w:r>
      <w:r>
        <w:tab/>
      </w:r>
      <w:r w:rsidRPr="00C92F30">
        <w:rPr>
          <w:color w:val="auto"/>
          <w:lang w:val="fr-FR"/>
        </w:rPr>
        <w:t>Il suffit qu’il y ait une union mixte (d’un Blanc et d’une Noire) et s’il en résu</w:t>
      </w:r>
      <w:r w:rsidRPr="00C92F30">
        <w:rPr>
          <w:color w:val="auto"/>
          <w:lang w:val="fr-FR"/>
        </w:rPr>
        <w:t>l</w:t>
      </w:r>
      <w:r w:rsidRPr="00C92F30">
        <w:rPr>
          <w:color w:val="auto"/>
          <w:lang w:val="fr-FR"/>
        </w:rPr>
        <w:t>te un enfant, celui-ci, quelle que soit sa couleur, sera un libre de couleur sile père reconnaît l’enfant ; si l’enfant demeure illégitime (n’est pas reconnu), il restera esclave même si sa mère est libre de couleur. Des procès ont été eng</w:t>
      </w:r>
      <w:r w:rsidRPr="00C92F30">
        <w:rPr>
          <w:color w:val="auto"/>
          <w:lang w:val="fr-FR"/>
        </w:rPr>
        <w:t>a</w:t>
      </w:r>
      <w:r w:rsidRPr="00C92F30">
        <w:rPr>
          <w:color w:val="auto"/>
          <w:lang w:val="fr-FR"/>
        </w:rPr>
        <w:t xml:space="preserve">gés par des hommes de couleur, avec l’aide du courant abolitionniste, au sujet de leur statut en vertu de l’Édit de Louis X contre leurs maîtres et ont obtenu parfois gain de cause. </w:t>
      </w:r>
    </w:p>
  </w:footnote>
  <w:footnote w:id="244">
    <w:p w:rsidR="004C50DC" w:rsidRDefault="004C50DC">
      <w:pPr>
        <w:pStyle w:val="Notedebasdepage"/>
      </w:pPr>
      <w:r>
        <w:rPr>
          <w:rStyle w:val="Appelnotedebasdep"/>
        </w:rPr>
        <w:footnoteRef/>
      </w:r>
      <w:r>
        <w:t xml:space="preserve"> </w:t>
      </w:r>
      <w:r>
        <w:tab/>
      </w:r>
      <w:r w:rsidRPr="00C92F30">
        <w:t>Haïti a mis fin à l’esclavage après la victoire de l’Armée indigène contre les troupes françaises le 18 novembre 1803 et a proclamé son indépendance off</w:t>
      </w:r>
      <w:r w:rsidRPr="00C92F30">
        <w:t>i</w:t>
      </w:r>
      <w:r w:rsidRPr="00C92F30">
        <w:t>cielle le 1</w:t>
      </w:r>
      <w:r w:rsidRPr="00C92F30">
        <w:rPr>
          <w:vertAlign w:val="superscript"/>
        </w:rPr>
        <w:t>er</w:t>
      </w:r>
      <w:r w:rsidRPr="00C92F30">
        <w:t xml:space="preserve"> janvier 1804. L’histoire d’Haïti et la mémoire collective haïtienne sont fo</w:t>
      </w:r>
      <w:r w:rsidRPr="00C92F30">
        <w:t>n</w:t>
      </w:r>
      <w:r w:rsidRPr="00C92F30">
        <w:t>cièrement marquées par le passé colonial esclavagiste.</w:t>
      </w:r>
    </w:p>
  </w:footnote>
  <w:footnote w:id="245">
    <w:p w:rsidR="004C50DC" w:rsidRDefault="004C50DC">
      <w:pPr>
        <w:pStyle w:val="Notedebasdepage"/>
      </w:pPr>
      <w:r>
        <w:rPr>
          <w:rStyle w:val="Appelnotedebasdep"/>
        </w:rPr>
        <w:footnoteRef/>
      </w:r>
      <w:r>
        <w:t xml:space="preserve"> </w:t>
      </w:r>
      <w:r>
        <w:tab/>
      </w:r>
      <w:r w:rsidRPr="00C92F30">
        <w:t xml:space="preserve">Cette abolition ne concernait pas </w:t>
      </w:r>
      <w:r w:rsidRPr="00C92F30">
        <w:rPr>
          <w:lang w:eastAsia="en-CA"/>
        </w:rPr>
        <w:t>l’île Bourbon et les Mascareignes </w:t>
      </w:r>
      <w:r w:rsidRPr="00C92F30">
        <w:t xml:space="preserve">; voir le site de l’Assemblée nationale française, en ligne, </w:t>
      </w:r>
      <w:hyperlink r:id="rId30" w:history="1">
        <w:r w:rsidRPr="00C92F30">
          <w:rPr>
            <w:rStyle w:val="Lienhypertexte"/>
            <w:lang w:eastAsia="en-CA"/>
          </w:rPr>
          <w:t>http://www.assemblee-nationale.fr/histoire/esclavage/abolition.asp</w:t>
        </w:r>
      </w:hyperlink>
      <w:r w:rsidRPr="00C92F30">
        <w:rPr>
          <w:lang w:eastAsia="en-CA"/>
        </w:rPr>
        <w:t>, consulté le 23 avril 2013.</w:t>
      </w:r>
    </w:p>
  </w:footnote>
  <w:footnote w:id="246">
    <w:p w:rsidR="004C50DC" w:rsidRDefault="004C50DC">
      <w:pPr>
        <w:pStyle w:val="Notedebasdepage"/>
      </w:pPr>
      <w:r>
        <w:rPr>
          <w:rStyle w:val="Appelnotedebasdep"/>
        </w:rPr>
        <w:footnoteRef/>
      </w:r>
      <w:r>
        <w:t xml:space="preserve"> </w:t>
      </w:r>
      <w:r>
        <w:tab/>
      </w:r>
      <w:r w:rsidRPr="00C92F30">
        <w:rPr>
          <w:lang w:eastAsia="en-CA"/>
        </w:rPr>
        <w:t xml:space="preserve">Le décret en son article 7 stipule que : « Le sol de France affranchit l’esclave qui le touche ». </w:t>
      </w:r>
    </w:p>
  </w:footnote>
  <w:footnote w:id="247">
    <w:p w:rsidR="004C50DC" w:rsidRDefault="004C50DC">
      <w:pPr>
        <w:pStyle w:val="Notedebasdepage"/>
      </w:pPr>
      <w:r>
        <w:rPr>
          <w:rStyle w:val="Appelnotedebasdep"/>
        </w:rPr>
        <w:footnoteRef/>
      </w:r>
      <w:r>
        <w:t xml:space="preserve"> </w:t>
      </w:r>
      <w:r>
        <w:tab/>
      </w:r>
      <w:r w:rsidRPr="00C92F30">
        <w:rPr>
          <w:lang w:val="fr-FR"/>
        </w:rPr>
        <w:t>En 2006, l</w:t>
      </w:r>
      <w:r w:rsidRPr="00C92F30">
        <w:rPr>
          <w:lang w:val="fr-FR" w:eastAsia="fr-FR"/>
        </w:rPr>
        <w:t>ors de la commémoration de la « Journée des mémoires de la tra</w:t>
      </w:r>
      <w:r w:rsidRPr="00C92F30">
        <w:rPr>
          <w:lang w:val="fr-FR" w:eastAsia="fr-FR"/>
        </w:rPr>
        <w:t>i</w:t>
      </w:r>
      <w:r w:rsidRPr="00C92F30">
        <w:rPr>
          <w:lang w:val="fr-FR" w:eastAsia="fr-FR"/>
        </w:rPr>
        <w:t>te négrière, de l’esclavage et de leurs abolitions » (10 mai), le Secrétaire gén</w:t>
      </w:r>
      <w:r w:rsidRPr="00C92F30">
        <w:rPr>
          <w:lang w:val="fr-FR" w:eastAsia="fr-FR"/>
        </w:rPr>
        <w:t>é</w:t>
      </w:r>
      <w:r w:rsidRPr="00C92F30">
        <w:rPr>
          <w:lang w:val="fr-FR" w:eastAsia="fr-FR"/>
        </w:rPr>
        <w:t>ral de l’Organisation des Nations Unies, Kofi Annan, a souligné que : « </w:t>
      </w:r>
      <w:r w:rsidRPr="00C92F30">
        <w:rPr>
          <w:iCs/>
          <w:lang w:val="fr-FR" w:eastAsia="fr-FR"/>
        </w:rPr>
        <w:t>De no</w:t>
      </w:r>
      <w:r w:rsidRPr="00C92F30">
        <w:rPr>
          <w:iCs/>
          <w:lang w:val="fr-FR" w:eastAsia="fr-FR"/>
        </w:rPr>
        <w:t>m</w:t>
      </w:r>
      <w:r w:rsidRPr="00C92F30">
        <w:rPr>
          <w:iCs/>
          <w:lang w:val="fr-FR" w:eastAsia="fr-FR"/>
        </w:rPr>
        <w:t>bre</w:t>
      </w:r>
      <w:r w:rsidRPr="00C92F30">
        <w:rPr>
          <w:iCs/>
          <w:lang w:val="fr-FR" w:eastAsia="fr-FR"/>
        </w:rPr>
        <w:t>u</w:t>
      </w:r>
      <w:r w:rsidRPr="00C92F30">
        <w:rPr>
          <w:iCs/>
          <w:lang w:val="fr-FR" w:eastAsia="fr-FR"/>
        </w:rPr>
        <w:t>ses formes d’esclavage persistent comme le travail forcé et la main-d’œuvre servile, le travail des enfants et l’esclavage à des fins rituelles ou r</w:t>
      </w:r>
      <w:r w:rsidRPr="00C92F30">
        <w:rPr>
          <w:iCs/>
          <w:lang w:val="fr-FR" w:eastAsia="fr-FR"/>
        </w:rPr>
        <w:t>e</w:t>
      </w:r>
      <w:r w:rsidRPr="00C92F30">
        <w:rPr>
          <w:iCs/>
          <w:lang w:val="fr-FR" w:eastAsia="fr-FR"/>
        </w:rPr>
        <w:t>ligieuses..</w:t>
      </w:r>
      <w:r w:rsidRPr="00C92F30">
        <w:rPr>
          <w:lang w:val="fr-FR" w:eastAsia="fr-FR"/>
        </w:rPr>
        <w:t xml:space="preserve">. </w:t>
      </w:r>
      <w:r w:rsidRPr="00C92F30">
        <w:rPr>
          <w:iCs/>
          <w:lang w:val="fr-FR" w:eastAsia="fr-FR"/>
        </w:rPr>
        <w:t>Le monde doit aussi faire face à une nouvelle forme d’esclavage, à savoir la traite d’êtres humains, qui entraîne de nombreuses personnes vuln</w:t>
      </w:r>
      <w:r w:rsidRPr="00C92F30">
        <w:rPr>
          <w:iCs/>
          <w:lang w:val="fr-FR" w:eastAsia="fr-FR"/>
        </w:rPr>
        <w:t>é</w:t>
      </w:r>
      <w:r w:rsidRPr="00C92F30">
        <w:rPr>
          <w:iCs/>
          <w:lang w:val="fr-FR" w:eastAsia="fr-FR"/>
        </w:rPr>
        <w:t>rables, quasiment abandonnées par les systèmes juridiques et sociaux, dans un engrenage sordide d’exploitation et d’abus </w:t>
      </w:r>
      <w:r w:rsidRPr="00C92F30">
        <w:rPr>
          <w:lang w:val="fr-FR" w:eastAsia="fr-FR"/>
        </w:rPr>
        <w:t xml:space="preserve">» ; voir aussi </w:t>
      </w:r>
      <w:r w:rsidRPr="00C92F30">
        <w:rPr>
          <w:lang w:val="fr-FR"/>
        </w:rPr>
        <w:t>Victor Rosez, « Anthropologie géograph</w:t>
      </w:r>
      <w:r w:rsidRPr="00C92F30">
        <w:rPr>
          <w:lang w:val="fr-FR"/>
        </w:rPr>
        <w:t>i</w:t>
      </w:r>
      <w:r w:rsidRPr="00C92F30">
        <w:rPr>
          <w:lang w:val="fr-FR"/>
        </w:rPr>
        <w:t xml:space="preserve">que de l’esclavage », </w:t>
      </w:r>
      <w:r w:rsidRPr="00C92F30">
        <w:rPr>
          <w:i/>
          <w:lang w:val="fr-FR"/>
        </w:rPr>
        <w:t>Scribd</w:t>
      </w:r>
      <w:r w:rsidRPr="00C92F30">
        <w:rPr>
          <w:lang w:val="fr-FR"/>
        </w:rPr>
        <w:t xml:space="preserve">, en ligne, </w:t>
      </w:r>
      <w:hyperlink r:id="rId31" w:anchor="scribd" w:history="1">
        <w:r w:rsidRPr="00C92F30">
          <w:rPr>
            <w:rStyle w:val="Lienhypertexte"/>
            <w:lang w:val="fr-FR"/>
          </w:rPr>
          <w:t>http://www.scribd.com/doc/178478985/Anthropologie-geographique-de-l-esclavage#scribd</w:t>
        </w:r>
      </w:hyperlink>
      <w:r w:rsidRPr="00C92F30">
        <w:t xml:space="preserve">, </w:t>
      </w:r>
      <w:r w:rsidRPr="00C92F30">
        <w:rPr>
          <w:lang w:val="fr-FR"/>
        </w:rPr>
        <w:t>consulté le 10 septembre 2014.</w:t>
      </w:r>
    </w:p>
  </w:footnote>
  <w:footnote w:id="248">
    <w:p w:rsidR="004C50DC" w:rsidRDefault="004C50DC">
      <w:pPr>
        <w:pStyle w:val="Notedebasdepage"/>
      </w:pPr>
      <w:r>
        <w:rPr>
          <w:rStyle w:val="Appelnotedebasdep"/>
        </w:rPr>
        <w:footnoteRef/>
      </w:r>
      <w:r>
        <w:t xml:space="preserve"> </w:t>
      </w:r>
      <w:r>
        <w:tab/>
      </w:r>
      <w:r w:rsidRPr="00C92F30">
        <w:rPr>
          <w:lang w:val="fr-FR"/>
        </w:rPr>
        <w:t>Voir l’appel à communications du colloque Enseigner les traites, les esclav</w:t>
      </w:r>
      <w:r w:rsidRPr="00C92F30">
        <w:rPr>
          <w:lang w:val="fr-FR"/>
        </w:rPr>
        <w:t>a</w:t>
      </w:r>
      <w:r w:rsidRPr="00C92F30">
        <w:rPr>
          <w:lang w:val="fr-FR"/>
        </w:rPr>
        <w:t>ges, leurs abolitions et leurs héritages, 18-20 mai 2011, Paris, Ministère de l’Enseignement supérieur et de la Recherche et Alliance française, en ligne</w:t>
      </w:r>
      <w:r w:rsidRPr="00C92F30">
        <w:t xml:space="preserve">, </w:t>
      </w:r>
      <w:hyperlink r:id="rId32" w:history="1">
        <w:r w:rsidRPr="00C92F30">
          <w:rPr>
            <w:rStyle w:val="Lienhypertexte"/>
            <w:lang w:val="fr-FR"/>
          </w:rPr>
          <w:t>http://www.ohchr.org/Documents/Events/IYPAD/EURESCL.pdf</w:t>
        </w:r>
      </w:hyperlink>
      <w:r w:rsidRPr="00C92F30">
        <w:t>,</w:t>
      </w:r>
      <w:r w:rsidRPr="00C92F30">
        <w:rPr>
          <w:lang w:val="fr-FR"/>
        </w:rPr>
        <w:t xml:space="preserve"> consulté le 13 septembre 2014.</w:t>
      </w:r>
    </w:p>
  </w:footnote>
  <w:footnote w:id="249">
    <w:p w:rsidR="004C50DC" w:rsidRDefault="004C50DC">
      <w:pPr>
        <w:pStyle w:val="Notedebasdepage"/>
      </w:pPr>
      <w:r>
        <w:rPr>
          <w:rStyle w:val="Appelnotedebasdep"/>
        </w:rPr>
        <w:footnoteRef/>
      </w:r>
      <w:r>
        <w:t xml:space="preserve"> </w:t>
      </w:r>
      <w:r>
        <w:tab/>
      </w:r>
      <w:r w:rsidRPr="00C92F30">
        <w:rPr>
          <w:lang w:val="fr-FR"/>
        </w:rPr>
        <w:t>Le président français, Nicolas Sarkozy, le 26 juillet 2007 à l’Université Cheikh Anta-Diop, au Sénégal, tout en voulant dénoncer la colonisation et ses multiples crimes contre l’humanité, n’a pas hésité aussi à inviter les Africains à oublier le passé douloureux de l’esclavage et à montrer le bon côté de la c</w:t>
      </w:r>
      <w:r w:rsidRPr="00C92F30">
        <w:rPr>
          <w:lang w:val="fr-FR"/>
        </w:rPr>
        <w:t>o</w:t>
      </w:r>
      <w:r w:rsidRPr="00C92F30">
        <w:rPr>
          <w:lang w:val="fr-FR"/>
        </w:rPr>
        <w:t>lonis</w:t>
      </w:r>
      <w:r w:rsidRPr="00C92F30">
        <w:rPr>
          <w:lang w:val="fr-FR"/>
        </w:rPr>
        <w:t>a</w:t>
      </w:r>
      <w:r w:rsidRPr="00C92F30">
        <w:rPr>
          <w:lang w:val="fr-FR"/>
        </w:rPr>
        <w:t>tion : « Le colonisateur est venu, il a pris, il s’est servi, il a exploité, il a pillé des ressources, des richesses qui ne lui appartenaient pas. […] Il a pris, mais je veux dire avec respect qu’il a aussi donné. Il a construit des ponts, des routes, des hôpitaux, des dispensaires, des écoles. […] Il y avait parmi les c</w:t>
      </w:r>
      <w:r w:rsidRPr="00C92F30">
        <w:rPr>
          <w:lang w:val="fr-FR"/>
        </w:rPr>
        <w:t>o</w:t>
      </w:r>
      <w:r w:rsidRPr="00C92F30">
        <w:rPr>
          <w:lang w:val="fr-FR"/>
        </w:rPr>
        <w:t>lons des hommes mauvais, mais il y avait aussi des hommes de bonne volonté, des hommes qui croyaient remplir une mission civilisatrice, des hommes qui croyaient faire le bien. […] Ils croyaient donner l’amour sans voir qu’ils s</w:t>
      </w:r>
      <w:r w:rsidRPr="00C92F30">
        <w:rPr>
          <w:lang w:val="fr-FR"/>
        </w:rPr>
        <w:t>e</w:t>
      </w:r>
      <w:r w:rsidRPr="00C92F30">
        <w:rPr>
          <w:lang w:val="fr-FR"/>
        </w:rPr>
        <w:t>maient la révolte et la haine ». Il a déclaré, entre autres, que la colonisation fut une faute tout en estimant que le « drame de l’Afrique » vient du fait que « l’homme africain n’est pas assez entré dans l’Histoire. […] Le problème de l’Afrique, c’est qu’elle vit trop le pr</w:t>
      </w:r>
      <w:r w:rsidRPr="00C92F30">
        <w:rPr>
          <w:lang w:val="fr-FR"/>
        </w:rPr>
        <w:t>é</w:t>
      </w:r>
      <w:r w:rsidRPr="00C92F30">
        <w:rPr>
          <w:lang w:val="fr-FR"/>
        </w:rPr>
        <w:t>sent dans la nostalgie du paradis perdu de l’enfance. […] Dans cet imaginaire où tout recommence toujours, il n’y a de place ni pour l’aventure humaine ni pour l’idée de progrès ». [A</w:t>
      </w:r>
      <w:r w:rsidRPr="00C92F30">
        <w:rPr>
          <w:lang w:val="fr-FR"/>
        </w:rPr>
        <w:t>u</w:t>
      </w:r>
      <w:r w:rsidRPr="00C92F30">
        <w:rPr>
          <w:lang w:val="fr-FR"/>
        </w:rPr>
        <w:t>jourd’hui…] « les civilisations sont grandes à la mesure de leur participation au grand métissage de l’esprit humain » ; en ligne, http://fr.wikipedia.org/wiki/Discours_de_Dakar, consulté le 29 octobre 2012.</w:t>
      </w:r>
    </w:p>
  </w:footnote>
  <w:footnote w:id="250">
    <w:p w:rsidR="004C50DC" w:rsidRDefault="004C50DC">
      <w:pPr>
        <w:pStyle w:val="Notedebasdepage"/>
      </w:pPr>
      <w:r>
        <w:rPr>
          <w:rStyle w:val="Appelnotedebasdep"/>
        </w:rPr>
        <w:footnoteRef/>
      </w:r>
      <w:r>
        <w:t xml:space="preserve"> </w:t>
      </w:r>
      <w:r>
        <w:tab/>
      </w:r>
      <w:r w:rsidRPr="00C92F30">
        <w:t xml:space="preserve">Albert Memmi, </w:t>
      </w:r>
      <w:r w:rsidRPr="00C92F30">
        <w:rPr>
          <w:i/>
        </w:rPr>
        <w:t xml:space="preserve">Portrait du colonisé, </w:t>
      </w:r>
      <w:r w:rsidRPr="00C92F30">
        <w:t xml:space="preserve">précédé du </w:t>
      </w:r>
      <w:r w:rsidRPr="00C92F30">
        <w:rPr>
          <w:i/>
        </w:rPr>
        <w:t>Portrait du colonisateur</w:t>
      </w:r>
      <w:r w:rsidRPr="00C92F30">
        <w:t>, Paris, Gallimard, 1985, p</w:t>
      </w:r>
      <w:r>
        <w:t>p</w:t>
      </w:r>
      <w:r w:rsidRPr="00C92F30">
        <w:t>. 101-104.</w:t>
      </w:r>
    </w:p>
  </w:footnote>
  <w:footnote w:id="251">
    <w:p w:rsidR="004C50DC" w:rsidRDefault="004C50DC">
      <w:pPr>
        <w:pStyle w:val="Notedebasdepage"/>
      </w:pPr>
      <w:r>
        <w:rPr>
          <w:rStyle w:val="Appelnotedebasdep"/>
        </w:rPr>
        <w:footnoteRef/>
      </w:r>
      <w:r>
        <w:t xml:space="preserve"> </w:t>
      </w:r>
      <w:r>
        <w:tab/>
      </w:r>
      <w:r w:rsidRPr="00C92F30">
        <w:rPr>
          <w:lang w:val="fr-FR"/>
        </w:rPr>
        <w:t xml:space="preserve">Bouda Etemad, </w:t>
      </w:r>
      <w:r w:rsidRPr="00C92F30">
        <w:rPr>
          <w:i/>
          <w:lang w:val="fr-FR"/>
        </w:rPr>
        <w:t>L’héritage ambigu de la colonisation. Économies, popul</w:t>
      </w:r>
      <w:r w:rsidRPr="00C92F30">
        <w:rPr>
          <w:i/>
          <w:lang w:val="fr-FR"/>
        </w:rPr>
        <w:t>a</w:t>
      </w:r>
      <w:r w:rsidRPr="00C92F30">
        <w:rPr>
          <w:i/>
          <w:lang w:val="fr-FR"/>
        </w:rPr>
        <w:t>tions, sociétés</w:t>
      </w:r>
      <w:r w:rsidRPr="00C92F30">
        <w:rPr>
          <w:lang w:val="fr-FR"/>
        </w:rPr>
        <w:t>, Paris, Armand Colin, 2012.</w:t>
      </w:r>
    </w:p>
  </w:footnote>
  <w:footnote w:id="252">
    <w:p w:rsidR="004C50DC" w:rsidRDefault="004C50DC">
      <w:pPr>
        <w:pStyle w:val="Notedebasdepage"/>
      </w:pPr>
      <w:r>
        <w:rPr>
          <w:rStyle w:val="Appelnotedebasdep"/>
        </w:rPr>
        <w:footnoteRef/>
      </w:r>
      <w:r>
        <w:t xml:space="preserve"> </w:t>
      </w:r>
      <w:r>
        <w:tab/>
      </w:r>
      <w:r w:rsidRPr="00C92F30">
        <w:rPr>
          <w:lang w:val="fr-FR"/>
        </w:rPr>
        <w:t>Lors de sa vingt-septième session, e</w:t>
      </w:r>
      <w:r w:rsidRPr="00C92F30">
        <w:rPr>
          <w:rFonts w:eastAsia="Berkeley-Book"/>
          <w:lang w:val="fr-FR"/>
        </w:rPr>
        <w:t>n 1993, le monde a salué le projet intern</w:t>
      </w:r>
      <w:r w:rsidRPr="00C92F30">
        <w:rPr>
          <w:rFonts w:eastAsia="Berkeley-Book"/>
          <w:lang w:val="fr-FR"/>
        </w:rPr>
        <w:t>a</w:t>
      </w:r>
      <w:r w:rsidRPr="00C92F30">
        <w:rPr>
          <w:rFonts w:eastAsia="Berkeley-Book"/>
          <w:lang w:val="fr-FR"/>
        </w:rPr>
        <w:t>tional de dialogue interculturel « R</w:t>
      </w:r>
      <w:r w:rsidRPr="00C92F30">
        <w:rPr>
          <w:lang w:val="fr-FR"/>
        </w:rPr>
        <w:t>oute de l’esclave » de l</w:t>
      </w:r>
      <w:r w:rsidRPr="00C92F30">
        <w:rPr>
          <w:rFonts w:eastAsia="Berkeley-Book"/>
          <w:lang w:val="fr-FR"/>
        </w:rPr>
        <w:t xml:space="preserve">’UNESCO </w:t>
      </w:r>
      <w:r w:rsidRPr="00C92F30">
        <w:rPr>
          <w:lang w:val="fr-FR"/>
        </w:rPr>
        <w:t>sur une proposition d’Haïti et de certains pays africains. Sa mise en œuvre a été effe</w:t>
      </w:r>
      <w:r w:rsidRPr="00C92F30">
        <w:rPr>
          <w:lang w:val="fr-FR"/>
        </w:rPr>
        <w:t>c</w:t>
      </w:r>
      <w:r w:rsidRPr="00C92F30">
        <w:rPr>
          <w:lang w:val="fr-FR"/>
        </w:rPr>
        <w:t xml:space="preserve">tive en 1994 lors de son lancement à Ouidah au Bénin. La page des mémoires de </w:t>
      </w:r>
      <w:r w:rsidRPr="00C92F30">
        <w:rPr>
          <w:rFonts w:eastAsia="Berkeley-Book"/>
          <w:lang w:val="fr-FR"/>
        </w:rPr>
        <w:t xml:space="preserve">la traite négrière et de </w:t>
      </w:r>
      <w:r w:rsidRPr="00C92F30">
        <w:rPr>
          <w:lang w:val="fr-FR"/>
        </w:rPr>
        <w:t>l’esclavage longtemps fermée a été ouverte. À force de s’éterniser sur l’ignorance ou l’occultation d’événements historiques m</w:t>
      </w:r>
      <w:r w:rsidRPr="00C92F30">
        <w:rPr>
          <w:lang w:val="fr-FR"/>
        </w:rPr>
        <w:t>a</w:t>
      </w:r>
      <w:r w:rsidRPr="00C92F30">
        <w:rPr>
          <w:lang w:val="fr-FR"/>
        </w:rPr>
        <w:t>jeurs constituant un obstacle à la compréhension mutuelle, à la réconciliation et à la coopération entre les peuples, l’UNESCO entend encourager les r</w:t>
      </w:r>
      <w:r w:rsidRPr="00C92F30">
        <w:rPr>
          <w:lang w:val="fr-FR"/>
        </w:rPr>
        <w:t>e</w:t>
      </w:r>
      <w:r w:rsidRPr="00C92F30">
        <w:rPr>
          <w:lang w:val="fr-FR"/>
        </w:rPr>
        <w:t>cherches sur la Traite négrière et l’esclavage qui ont affecté tous les cont</w:t>
      </w:r>
      <w:r w:rsidRPr="00C92F30">
        <w:rPr>
          <w:lang w:val="fr-FR"/>
        </w:rPr>
        <w:t>i</w:t>
      </w:r>
      <w:r w:rsidRPr="00C92F30">
        <w:rPr>
          <w:lang w:val="fr-FR"/>
        </w:rPr>
        <w:t>nents, provoqué des bouleversements considérables et modelé en conséquence les sociétés actuelles. Le volet central de la « Route de l’esclave » est le pr</w:t>
      </w:r>
      <w:r w:rsidRPr="00C92F30">
        <w:rPr>
          <w:lang w:val="fr-FR"/>
        </w:rPr>
        <w:t>o</w:t>
      </w:r>
      <w:r w:rsidRPr="00C92F30">
        <w:rPr>
          <w:lang w:val="fr-FR"/>
        </w:rPr>
        <w:t>gramme scientifique sur la Traite négrière (transatlantique, en méditerranée</w:t>
      </w:r>
      <w:r w:rsidRPr="00C92F30">
        <w:rPr>
          <w:lang w:val="fr-FR"/>
        </w:rPr>
        <w:t>n</w:t>
      </w:r>
      <w:r w:rsidRPr="00C92F30">
        <w:rPr>
          <w:lang w:val="fr-FR"/>
        </w:rPr>
        <w:t>ne et de l’océan Indien) et l’esclavage, mis en œuvre à travers des réseaux thématiques de recherche autour de trois axes : programme d’éducation et d’enseignement, programme sur la promotion des cultures vivantes, pr</w:t>
      </w:r>
      <w:r w:rsidRPr="00C92F30">
        <w:rPr>
          <w:lang w:val="fr-FR"/>
        </w:rPr>
        <w:t>o</w:t>
      </w:r>
      <w:r w:rsidRPr="00C92F30">
        <w:rPr>
          <w:lang w:val="fr-FR"/>
        </w:rPr>
        <w:t xml:space="preserve">gramme sur la mémoire de l’esclavage et la diaspora. Il faut renvoyer au texte de la résolution (Résolution 27 C/3.13), UNESCO, </w:t>
      </w:r>
      <w:r w:rsidRPr="00C92F30">
        <w:rPr>
          <w:i/>
          <w:lang w:val="fr-FR"/>
        </w:rPr>
        <w:t>Route de l’esclave</w:t>
      </w:r>
      <w:r w:rsidRPr="00C92F30">
        <w:rPr>
          <w:lang w:val="fr-FR"/>
        </w:rPr>
        <w:t>, en l</w:t>
      </w:r>
      <w:r w:rsidRPr="00C92F30">
        <w:rPr>
          <w:lang w:val="fr-FR"/>
        </w:rPr>
        <w:t>i</w:t>
      </w:r>
      <w:r w:rsidRPr="00C92F30">
        <w:rPr>
          <w:lang w:val="fr-FR"/>
        </w:rPr>
        <w:t>gne, http://portail.unesco.org/culture/fr/.html, consulté le 10 mars 2011.</w:t>
      </w:r>
    </w:p>
  </w:footnote>
  <w:footnote w:id="253">
    <w:p w:rsidR="004C50DC" w:rsidRDefault="004C50DC">
      <w:pPr>
        <w:pStyle w:val="Notedebasdepage"/>
      </w:pPr>
      <w:r>
        <w:rPr>
          <w:rStyle w:val="Appelnotedebasdep"/>
        </w:rPr>
        <w:footnoteRef/>
      </w:r>
      <w:r>
        <w:t xml:space="preserve"> </w:t>
      </w:r>
      <w:r>
        <w:tab/>
      </w:r>
      <w:r w:rsidRPr="00C92F30">
        <w:rPr>
          <w:lang w:val="fr-FR"/>
        </w:rPr>
        <w:t>La  date du 23 août comme « Journée internationale du souvenir de la traite négrière et de son abolition » est très symbolique. En effet, c’est dans la nuit du 22 au 23 août 1791 qu’a eu lieu l’insurrection des esclaves dans la colonie de Saint-Domingue qui va forcer la France à abolir plus tard la traite négrière transatlantique. Cette journée vise à inscrire la tragédie de la Traite dans la mémoire de tous les peuples.</w:t>
      </w:r>
    </w:p>
  </w:footnote>
  <w:footnote w:id="254">
    <w:p w:rsidR="004C50DC" w:rsidRDefault="004C50DC">
      <w:pPr>
        <w:pStyle w:val="Notedebasdepage"/>
      </w:pPr>
      <w:r>
        <w:rPr>
          <w:rStyle w:val="Appelnotedebasdep"/>
        </w:rPr>
        <w:footnoteRef/>
      </w:r>
      <w:r>
        <w:t xml:space="preserve"> </w:t>
      </w:r>
      <w:r>
        <w:tab/>
      </w:r>
      <w:r w:rsidRPr="00C92F30">
        <w:rPr>
          <w:lang w:val="fr-FR"/>
        </w:rPr>
        <w:t xml:space="preserve">ONU, « Conférence mondiale contre le racisme, la discrimination raciale, la xénophobie et l’intolérance qui y est associée. Déclaration de Durban (Afrique du Sud), du 31 août au 8 septembre 2001 », en ligne, </w:t>
      </w:r>
      <w:hyperlink r:id="rId33" w:history="1">
        <w:r w:rsidRPr="00C92F30">
          <w:rPr>
            <w:rStyle w:val="Lienhypertexte"/>
            <w:lang w:val="fr-FR"/>
          </w:rPr>
          <w:t>http://www.un.org/french/WCAR/durban_fr.pdf</w:t>
        </w:r>
      </w:hyperlink>
      <w:r w:rsidRPr="00C92F30">
        <w:rPr>
          <w:lang w:val="fr-FR"/>
        </w:rPr>
        <w:t xml:space="preserve">, consulté le 23 mars 2012. </w:t>
      </w:r>
      <w:r w:rsidRPr="00C92F30">
        <w:rPr>
          <w:lang w:val="fr-FR" w:eastAsia="en-CA"/>
        </w:rPr>
        <w:t xml:space="preserve">Lors de cette Conférence, </w:t>
      </w:r>
      <w:r w:rsidRPr="00C92F30">
        <w:rPr>
          <w:lang w:val="fr-FR"/>
        </w:rPr>
        <w:t>les pays participants ont reconnu, dans les points 13 et 14, que « l’esclavage et la traite des esclaves, en particulier la traite trans</w:t>
      </w:r>
      <w:r w:rsidRPr="00C92F30">
        <w:rPr>
          <w:lang w:val="fr-FR"/>
        </w:rPr>
        <w:t>a</w:t>
      </w:r>
      <w:r w:rsidRPr="00C92F30">
        <w:rPr>
          <w:lang w:val="fr-FR"/>
        </w:rPr>
        <w:t>tlantique, ont été des tragédies effroyables dans l’histoire de l’humanité, en raison non seulement de leur barbarie odieuse, mais encore de leur ampleur, de leur caractère organisé et tout spécialement de la négation de l’essence des victimes ; nous reconnaissons également que l’esclavage et la traite des escl</w:t>
      </w:r>
      <w:r w:rsidRPr="00C92F30">
        <w:rPr>
          <w:lang w:val="fr-FR"/>
        </w:rPr>
        <w:t>a</w:t>
      </w:r>
      <w:r w:rsidRPr="00C92F30">
        <w:rPr>
          <w:lang w:val="fr-FR"/>
        </w:rPr>
        <w:t>ves constituent un crime contre l’humanité et qu’il aurait toujours dû en être ainsi, en particulier la traite transatlantique, et sont l’une des principales sou</w:t>
      </w:r>
      <w:r w:rsidRPr="00C92F30">
        <w:rPr>
          <w:lang w:val="fr-FR"/>
        </w:rPr>
        <w:t>r</w:t>
      </w:r>
      <w:r w:rsidRPr="00C92F30">
        <w:rPr>
          <w:lang w:val="fr-FR"/>
        </w:rPr>
        <w:t>ces et manifestations du racisme, de la discrimination raciale, de la xénoph</w:t>
      </w:r>
      <w:r w:rsidRPr="00C92F30">
        <w:rPr>
          <w:lang w:val="fr-FR"/>
        </w:rPr>
        <w:t>o</w:t>
      </w:r>
      <w:r w:rsidRPr="00C92F30">
        <w:rPr>
          <w:lang w:val="fr-FR"/>
        </w:rPr>
        <w:t>bie et de l’intolérance qui y est associée, et que les Africains et les personnes d’ascendance africaine, de même que les personnes d’ascendance asiatique et les peuples autochtones, ont été victimes de ces actes et continuent à en subir les conséquences » ; et que « le colonialisme a conduit au racisme, à la di</w:t>
      </w:r>
      <w:r w:rsidRPr="00C92F30">
        <w:rPr>
          <w:lang w:val="fr-FR"/>
        </w:rPr>
        <w:t>s</w:t>
      </w:r>
      <w:r w:rsidRPr="00C92F30">
        <w:rPr>
          <w:lang w:val="fr-FR"/>
        </w:rPr>
        <w:t>crimination raciale, à la xénophobie et à l’intolérance qui y est associée, et que les Africains et les personnes d’ascendance africaine, de même que les pe</w:t>
      </w:r>
      <w:r w:rsidRPr="00C92F30">
        <w:rPr>
          <w:lang w:val="fr-FR"/>
        </w:rPr>
        <w:t>r</w:t>
      </w:r>
      <w:r w:rsidRPr="00C92F30">
        <w:rPr>
          <w:lang w:val="fr-FR"/>
        </w:rPr>
        <w:t>sonnes d’ascendance asiatique et les peuples autochtones, ont été victimes du colonialisme et continuent à en subir les conséquences. Nous sommes con</w:t>
      </w:r>
      <w:r w:rsidRPr="00C92F30">
        <w:rPr>
          <w:lang w:val="fr-FR"/>
        </w:rPr>
        <w:t>s</w:t>
      </w:r>
      <w:r w:rsidRPr="00C92F30">
        <w:rPr>
          <w:lang w:val="fr-FR"/>
        </w:rPr>
        <w:t>cients des souffrances infligées par le colonialisme et affirmons qu’il faut les condamner, quels que soient le lieu et l’époque où elles sont advenues, et e</w:t>
      </w:r>
      <w:r w:rsidRPr="00C92F30">
        <w:rPr>
          <w:lang w:val="fr-FR"/>
        </w:rPr>
        <w:t>m</w:t>
      </w:r>
      <w:r w:rsidRPr="00C92F30">
        <w:rPr>
          <w:lang w:val="fr-FR"/>
        </w:rPr>
        <w:t>pêcher qu’elles ne se reproduisent. Nous regrettons en outre que les effets et la persistance de ces structures et pratiques aient été parmi les facteurs qui ont contribué à des inégalités sociales et économiques persistantes dans de no</w:t>
      </w:r>
      <w:r w:rsidRPr="00C92F30">
        <w:rPr>
          <w:lang w:val="fr-FR"/>
        </w:rPr>
        <w:t>m</w:t>
      </w:r>
      <w:r w:rsidRPr="00C92F30">
        <w:rPr>
          <w:lang w:val="fr-FR"/>
        </w:rPr>
        <w:t>breuses régions du monde aujourd’hui ».</w:t>
      </w:r>
    </w:p>
  </w:footnote>
  <w:footnote w:id="255">
    <w:p w:rsidR="004C50DC" w:rsidRDefault="004C50DC">
      <w:pPr>
        <w:pStyle w:val="Notedebasdepage"/>
      </w:pPr>
      <w:r>
        <w:rPr>
          <w:rStyle w:val="Appelnotedebasdep"/>
        </w:rPr>
        <w:footnoteRef/>
      </w:r>
      <w:r>
        <w:t xml:space="preserve"> </w:t>
      </w:r>
      <w:r>
        <w:tab/>
      </w:r>
      <w:r w:rsidRPr="00C92F30">
        <w:rPr>
          <w:lang w:val="fr-FR"/>
        </w:rPr>
        <w:t>Voir Koïchiro Matsuura, « </w:t>
      </w:r>
      <w:r w:rsidRPr="00C92F30">
        <w:rPr>
          <w:rFonts w:eastAsia="Cambria"/>
          <w:bCs/>
          <w:lang w:val="fr-FR" w:eastAsia="en-CA"/>
        </w:rPr>
        <w:t>Message du Directeur général de l’UNESCO à l’occasion de l’Année internationale de commémoration de la lutte contre l’esclavage et de son abolition », UNESCO, 2004</w:t>
      </w:r>
      <w:r w:rsidRPr="00C92F30">
        <w:rPr>
          <w:lang w:val="fr-FR"/>
        </w:rPr>
        <w:t>, en ligne</w:t>
      </w:r>
      <w:r w:rsidRPr="00C92F30">
        <w:t xml:space="preserve">, </w:t>
      </w:r>
      <w:r w:rsidRPr="00C92F30">
        <w:rPr>
          <w:rFonts w:eastAsia="Cambria"/>
          <w:bCs/>
          <w:lang w:val="fr-FR" w:eastAsia="en-CA"/>
        </w:rPr>
        <w:t>http://unesdoc.unesco.org/images/0013/001337/133738f.pdf,</w:t>
      </w:r>
      <w:r w:rsidRPr="00C92F30">
        <w:rPr>
          <w:lang w:val="fr-FR"/>
        </w:rPr>
        <w:t xml:space="preserve"> consulté le 10 avril 2015.</w:t>
      </w:r>
    </w:p>
  </w:footnote>
  <w:footnote w:id="256">
    <w:p w:rsidR="004C50DC" w:rsidRDefault="004C50DC">
      <w:pPr>
        <w:pStyle w:val="Notedebasdepage"/>
      </w:pPr>
      <w:r>
        <w:rPr>
          <w:rStyle w:val="Appelnotedebasdep"/>
        </w:rPr>
        <w:footnoteRef/>
      </w:r>
      <w:r>
        <w:t xml:space="preserve"> </w:t>
      </w:r>
      <w:r>
        <w:tab/>
      </w:r>
      <w:r w:rsidRPr="00C92F30">
        <w:rPr>
          <w:lang w:val="fr-FR"/>
        </w:rPr>
        <w:t>Lire la page d’annonce du colloque « Enseigner les traites, les esclavages, leurs abolitions et leurs héritages », 18-20 mai 2011, Paris, Ministère de l’Enseignement supérieur et de la Recherche et Alliance française, en l</w:t>
      </w:r>
      <w:r w:rsidRPr="00C92F30">
        <w:rPr>
          <w:lang w:val="fr-FR"/>
        </w:rPr>
        <w:t>i</w:t>
      </w:r>
      <w:r w:rsidRPr="00C92F30">
        <w:rPr>
          <w:lang w:val="fr-FR"/>
        </w:rPr>
        <w:t>gne,</w:t>
      </w:r>
      <w:r>
        <w:rPr>
          <w:lang w:val="fr-FR"/>
        </w:rPr>
        <w:t xml:space="preserve"> </w:t>
      </w:r>
      <w:hyperlink r:id="rId34" w:history="1">
        <w:r w:rsidRPr="00C92F30">
          <w:rPr>
            <w:rStyle w:val="Lienhypertexte"/>
            <w:lang w:val="fr-FR"/>
          </w:rPr>
          <w:t>http://www.ohchr.org/Documents/Events/IYPAD/EURESCL.pdf</w:t>
        </w:r>
      </w:hyperlink>
      <w:r w:rsidRPr="00C92F30">
        <w:rPr>
          <w:lang w:val="fr-FR"/>
        </w:rPr>
        <w:t>, consu</w:t>
      </w:r>
      <w:r w:rsidRPr="00C92F30">
        <w:rPr>
          <w:lang w:val="fr-FR"/>
        </w:rPr>
        <w:t>l</w:t>
      </w:r>
      <w:r w:rsidRPr="00C92F30">
        <w:rPr>
          <w:lang w:val="fr-FR"/>
        </w:rPr>
        <w:t>té le 10 mars 2012 ; voir aussi, en l</w:t>
      </w:r>
      <w:r w:rsidRPr="00C92F30">
        <w:rPr>
          <w:lang w:val="fr-FR"/>
        </w:rPr>
        <w:t>i</w:t>
      </w:r>
      <w:r w:rsidRPr="00C92F30">
        <w:rPr>
          <w:lang w:val="fr-FR"/>
        </w:rPr>
        <w:t>gne,</w:t>
      </w:r>
      <w:r>
        <w:rPr>
          <w:lang w:val="fr-FR"/>
        </w:rPr>
        <w:br/>
      </w:r>
      <w:hyperlink r:id="rId35" w:history="1">
        <w:r w:rsidRPr="00C92F30">
          <w:rPr>
            <w:rStyle w:val="Lienhypertexte"/>
            <w:lang w:val="fr-FR"/>
          </w:rPr>
          <w:t>http://www.un.org/fr/events/africandescentdecade/slavetrade.shtml</w:t>
        </w:r>
      </w:hyperlink>
      <w:r w:rsidRPr="00C92F30">
        <w:rPr>
          <w:lang w:val="fr-FR"/>
        </w:rPr>
        <w:t>, consulté le 10 mars 2012.</w:t>
      </w:r>
    </w:p>
  </w:footnote>
  <w:footnote w:id="257">
    <w:p w:rsidR="004C50DC" w:rsidRDefault="004C50DC">
      <w:pPr>
        <w:pStyle w:val="Notedebasdepage"/>
      </w:pPr>
      <w:r>
        <w:rPr>
          <w:rStyle w:val="Appelnotedebasdep"/>
        </w:rPr>
        <w:footnoteRef/>
      </w:r>
      <w:r>
        <w:t xml:space="preserve"> </w:t>
      </w:r>
      <w:r>
        <w:tab/>
      </w:r>
      <w:r w:rsidRPr="00C92F30">
        <w:rPr>
          <w:lang w:val="fr-FR"/>
        </w:rPr>
        <w:t>Le musée international de l’esclavage a ouvert ses portes à la date symbol</w:t>
      </w:r>
      <w:r w:rsidRPr="00C92F30">
        <w:rPr>
          <w:lang w:val="fr-FR"/>
        </w:rPr>
        <w:t>i</w:t>
      </w:r>
      <w:r w:rsidRPr="00C92F30">
        <w:rPr>
          <w:lang w:val="fr-FR"/>
        </w:rPr>
        <w:t xml:space="preserve">que du 23 août qui commémore la Journée internationale du souvenir de la traite négrière et de son abolition. La construction de ce musée a été encouragée par le Parlement britannique et </w:t>
      </w:r>
      <w:r w:rsidRPr="00C92F30">
        <w:rPr>
          <w:iCs/>
        </w:rPr>
        <w:t xml:space="preserve">le Musée maritime de Merseyside de Liverpool </w:t>
      </w:r>
      <w:r w:rsidRPr="00C92F30">
        <w:rPr>
          <w:lang w:val="fr-FR"/>
        </w:rPr>
        <w:t xml:space="preserve">dans le cadre de </w:t>
      </w:r>
      <w:r w:rsidRPr="00C92F30">
        <w:rPr>
          <w:iCs/>
        </w:rPr>
        <w:t>la commémoration du bicentenaire de l’abolition de l’esclavage </w:t>
      </w:r>
      <w:r w:rsidRPr="00C92F30">
        <w:rPr>
          <w:lang w:val="fr-FR"/>
        </w:rPr>
        <w:t>; en l</w:t>
      </w:r>
      <w:r w:rsidRPr="00C92F30">
        <w:rPr>
          <w:lang w:val="fr-FR"/>
        </w:rPr>
        <w:t>i</w:t>
      </w:r>
      <w:r w:rsidRPr="00C92F30">
        <w:rPr>
          <w:lang w:val="fr-FR"/>
        </w:rPr>
        <w:t>gne,</w:t>
      </w:r>
      <w:r>
        <w:rPr>
          <w:lang w:val="fr-FR"/>
        </w:rPr>
        <w:t xml:space="preserve"> </w:t>
      </w:r>
      <w:hyperlink r:id="rId36" w:history="1">
        <w:r w:rsidRPr="00C92F30">
          <w:rPr>
            <w:rStyle w:val="Lienhypertexte"/>
            <w:lang w:val="fr-FR"/>
          </w:rPr>
          <w:br/>
          <w:t>http://portal.unesco.org/culture/fr/ev.php-URL_ID=25659&amp;URL_DO=DO_TOPIC&amp;URL_SECTION=201.html</w:t>
        </w:r>
      </w:hyperlink>
      <w:r w:rsidRPr="00C92F30">
        <w:rPr>
          <w:lang w:val="fr-FR"/>
        </w:rPr>
        <w:t>, consulté le 28 avril 2013.</w:t>
      </w:r>
    </w:p>
  </w:footnote>
  <w:footnote w:id="258">
    <w:p w:rsidR="004C50DC" w:rsidRDefault="004C50DC">
      <w:pPr>
        <w:pStyle w:val="Notedebasdepage"/>
      </w:pPr>
      <w:r>
        <w:rPr>
          <w:rStyle w:val="Appelnotedebasdep"/>
        </w:rPr>
        <w:footnoteRef/>
      </w:r>
      <w:r>
        <w:t xml:space="preserve"> </w:t>
      </w:r>
      <w:r>
        <w:tab/>
      </w:r>
      <w:r w:rsidRPr="00C92F30">
        <w:t>« This is not a museum that could be described as a neutral space – it is a pl</w:t>
      </w:r>
      <w:r w:rsidRPr="00C92F30">
        <w:t>a</w:t>
      </w:r>
      <w:r w:rsidRPr="00C92F30">
        <w:t>ce of commitment, controversy, honesty, and campaigning » ; allocution de D</w:t>
      </w:r>
      <w:r w:rsidRPr="00C92F30">
        <w:t>a</w:t>
      </w:r>
      <w:r w:rsidRPr="00C92F30">
        <w:t>vid Fleming, directeur des Musées nationaux de Liverpool, lors du dîner de gala donné à l’occasion de l’inauguration de l’International Slavery M</w:t>
      </w:r>
      <w:r w:rsidRPr="00C92F30">
        <w:t>u</w:t>
      </w:r>
      <w:r w:rsidRPr="00C92F30">
        <w:t>seum, le 22 août</w:t>
      </w:r>
      <w:r>
        <w:t xml:space="preserve"> </w:t>
      </w:r>
      <w:r w:rsidRPr="00C92F30">
        <w:t>2007 ;</w:t>
      </w:r>
      <w:r>
        <w:t xml:space="preserve"> </w:t>
      </w:r>
      <w:r w:rsidRPr="00C92F30">
        <w:t xml:space="preserve">en ligne, </w:t>
      </w:r>
      <w:r>
        <w:br/>
      </w:r>
      <w:r w:rsidRPr="00C92F30">
        <w:t>http://www.liverpoolmuseums.org.uk/ism/resources/opening_speech.aspx, consulté le 31 mars 2015 ; voir aussi Carlo A. Célius, « Consolider et dév</w:t>
      </w:r>
      <w:r w:rsidRPr="00C92F30">
        <w:t>e</w:t>
      </w:r>
      <w:r w:rsidRPr="00C92F30">
        <w:t xml:space="preserve">lopper l’exposition de l’esclavage », dans </w:t>
      </w:r>
      <w:r w:rsidRPr="00C92F30">
        <w:rPr>
          <w:lang w:eastAsia="en-CA"/>
        </w:rPr>
        <w:t xml:space="preserve">Françoise Vergès (dir.), </w:t>
      </w:r>
      <w:r w:rsidRPr="00C92F30">
        <w:rPr>
          <w:i/>
          <w:lang w:eastAsia="en-CA"/>
        </w:rPr>
        <w:t>Exposer l’esclavage : méthodologies et pratiques</w:t>
      </w:r>
      <w:r w:rsidRPr="00C92F30">
        <w:rPr>
          <w:lang w:eastAsia="en-CA"/>
        </w:rPr>
        <w:t>.</w:t>
      </w:r>
      <w:r w:rsidRPr="00C92F30">
        <w:rPr>
          <w:i/>
          <w:lang w:eastAsia="en-CA"/>
        </w:rPr>
        <w:t>Colloque International en homm</w:t>
      </w:r>
      <w:r w:rsidRPr="00C92F30">
        <w:rPr>
          <w:i/>
          <w:lang w:eastAsia="en-CA"/>
        </w:rPr>
        <w:t>a</w:t>
      </w:r>
      <w:r w:rsidRPr="00C92F30">
        <w:rPr>
          <w:i/>
          <w:lang w:eastAsia="en-CA"/>
        </w:rPr>
        <w:t>ge à Édouard Glissant (1928-2011), Africultures</w:t>
      </w:r>
      <w:r w:rsidRPr="00C92F30">
        <w:rPr>
          <w:lang w:eastAsia="en-CA"/>
        </w:rPr>
        <w:t>, numéro thématique,</w:t>
      </w:r>
      <w:r>
        <w:rPr>
          <w:lang w:eastAsia="en-CA"/>
        </w:rPr>
        <w:t xml:space="preserve"> </w:t>
      </w:r>
      <w:r w:rsidRPr="00C92F30">
        <w:rPr>
          <w:lang w:eastAsia="en-CA"/>
        </w:rPr>
        <w:t>2013, p. 35.</w:t>
      </w:r>
    </w:p>
  </w:footnote>
  <w:footnote w:id="259">
    <w:p w:rsidR="004C50DC" w:rsidRDefault="004C50DC">
      <w:pPr>
        <w:pStyle w:val="Notedebasdepage"/>
      </w:pPr>
      <w:r>
        <w:rPr>
          <w:rStyle w:val="Appelnotedebasdep"/>
        </w:rPr>
        <w:footnoteRef/>
      </w:r>
      <w:r>
        <w:t xml:space="preserve"> </w:t>
      </w:r>
      <w:r>
        <w:tab/>
      </w:r>
      <w:r w:rsidRPr="00C92F30">
        <w:rPr>
          <w:lang w:val="fr-FR"/>
        </w:rPr>
        <w:t>Controverses, par exemple, entre ceux qui pensent que le décret d’abolition du 27 avril 1848 venait directement de la France et ceux qui pensent qu’il y a eu des insurrections en Guadeloupe et en Martinique qui ont permis que les e</w:t>
      </w:r>
      <w:r w:rsidRPr="00C92F30">
        <w:rPr>
          <w:lang w:val="fr-FR"/>
        </w:rPr>
        <w:t>s</w:t>
      </w:r>
      <w:r w:rsidRPr="00C92F30">
        <w:rPr>
          <w:lang w:val="fr-FR"/>
        </w:rPr>
        <w:t>claves se libèrent eux-mêmes.</w:t>
      </w:r>
    </w:p>
  </w:footnote>
  <w:footnote w:id="260">
    <w:p w:rsidR="004C50DC" w:rsidRDefault="004C50DC">
      <w:pPr>
        <w:pStyle w:val="Notedebasdepage"/>
      </w:pPr>
      <w:r>
        <w:rPr>
          <w:rStyle w:val="Appelnotedebasdep"/>
        </w:rPr>
        <w:footnoteRef/>
      </w:r>
      <w:r>
        <w:t xml:space="preserve"> </w:t>
      </w:r>
      <w:r>
        <w:tab/>
      </w:r>
      <w:r w:rsidRPr="00C92F30">
        <w:rPr>
          <w:lang w:eastAsia="en-CA"/>
        </w:rPr>
        <w:t>Le 30 janvier 2006, devant le Comité pour la mémoire de l’esclavage, le pr</w:t>
      </w:r>
      <w:r w:rsidRPr="00C92F30">
        <w:rPr>
          <w:lang w:eastAsia="en-CA"/>
        </w:rPr>
        <w:t>é</w:t>
      </w:r>
      <w:r w:rsidRPr="00C92F30">
        <w:rPr>
          <w:lang w:eastAsia="en-CA"/>
        </w:rPr>
        <w:t>sident Jacques Chirac, dans le souci d’honorer la mémoire des esclaves et de commémorer l’abolition de l’esclavage, a choisi la date du 10 mai qui ra</w:t>
      </w:r>
      <w:r w:rsidRPr="00C92F30">
        <w:rPr>
          <w:lang w:eastAsia="en-CA"/>
        </w:rPr>
        <w:t>p</w:t>
      </w:r>
      <w:r w:rsidRPr="00C92F30">
        <w:rPr>
          <w:lang w:eastAsia="en-CA"/>
        </w:rPr>
        <w:t xml:space="preserve">pelle l’anniversaire de l’adoption par le Sénat de la loi Taubira de 2001. </w:t>
      </w:r>
    </w:p>
  </w:footnote>
  <w:footnote w:id="261">
    <w:p w:rsidR="004C50DC" w:rsidRDefault="004C50DC">
      <w:pPr>
        <w:pStyle w:val="Notedebasdepage"/>
      </w:pPr>
      <w:r>
        <w:rPr>
          <w:rStyle w:val="Appelnotedebasdep"/>
        </w:rPr>
        <w:footnoteRef/>
      </w:r>
      <w:r>
        <w:t xml:space="preserve"> </w:t>
      </w:r>
      <w:r>
        <w:tab/>
      </w:r>
      <w:r w:rsidRPr="00C92F30">
        <w:t>Comité pour la mémoire de l’esclavage, « Mémoires de la traite négrière, de l’esclavage et de leurs abolitions. Rapport  à monsieur le Premier ministre », Paris, remis le 12 avril 2005.</w:t>
      </w:r>
    </w:p>
  </w:footnote>
  <w:footnote w:id="262">
    <w:p w:rsidR="004C50DC" w:rsidRPr="00C92F30" w:rsidRDefault="004C50DC" w:rsidP="004C50DC">
      <w:pPr>
        <w:pStyle w:val="Notedebasdepage"/>
      </w:pPr>
      <w:r w:rsidRPr="00DA2D3F">
        <w:rPr>
          <w:rStyle w:val="Appelnotedebasdep"/>
        </w:rPr>
        <w:footnoteRef/>
      </w:r>
      <w:r>
        <w:tab/>
      </w:r>
      <w:r w:rsidRPr="00DA2D3F">
        <w:rPr>
          <w:i/>
        </w:rPr>
        <w:t>Ibid</w:t>
      </w:r>
      <w:r w:rsidRPr="00C92F30">
        <w:t>.</w:t>
      </w:r>
    </w:p>
  </w:footnote>
  <w:footnote w:id="263">
    <w:p w:rsidR="004C50DC" w:rsidRPr="00C92F30" w:rsidRDefault="004C50DC" w:rsidP="004C50DC">
      <w:pPr>
        <w:pStyle w:val="Notedebasdepage"/>
      </w:pPr>
      <w:r w:rsidRPr="00DA2D3F">
        <w:rPr>
          <w:rStyle w:val="Appelnotedebasdep"/>
        </w:rPr>
        <w:footnoteRef/>
      </w:r>
      <w:r>
        <w:tab/>
      </w:r>
      <w:r w:rsidRPr="00C92F30">
        <w:t>Dans les volumes majeurs dirigés par Pierre Nora, (</w:t>
      </w:r>
      <w:r w:rsidRPr="00C92F30">
        <w:rPr>
          <w:i/>
        </w:rPr>
        <w:t>LesLieux de mémoire</w:t>
      </w:r>
      <w:r w:rsidRPr="00C92F30">
        <w:t>, 5 vol., Paris, Gallimard, 1992), la problématique de l’esclavage et la question col</w:t>
      </w:r>
      <w:r w:rsidRPr="00C92F30">
        <w:t>o</w:t>
      </w:r>
      <w:r w:rsidRPr="00C92F30">
        <w:t xml:space="preserve">niale n’ont pas été abordées. </w:t>
      </w:r>
    </w:p>
  </w:footnote>
  <w:footnote w:id="264">
    <w:p w:rsidR="004C50DC" w:rsidRDefault="004C50DC">
      <w:pPr>
        <w:pStyle w:val="Notedebasdepage"/>
      </w:pPr>
      <w:r>
        <w:rPr>
          <w:rStyle w:val="Appelnotedebasdep"/>
        </w:rPr>
        <w:footnoteRef/>
      </w:r>
      <w:r>
        <w:t xml:space="preserve"> </w:t>
      </w:r>
      <w:r>
        <w:tab/>
      </w:r>
      <w:r w:rsidRPr="00C92F30">
        <w:rPr>
          <w:lang w:val="fr-FR"/>
        </w:rPr>
        <w:t xml:space="preserve">Voir notamment les ouvrages suivants de Roger Bastide : </w:t>
      </w:r>
      <w:r w:rsidRPr="00C92F30">
        <w:rPr>
          <w:i/>
          <w:lang w:val="fr-FR" w:eastAsia="en-CA"/>
        </w:rPr>
        <w:t xml:space="preserve">Brésil, terre des </w:t>
      </w:r>
      <w:r w:rsidRPr="00C92F30">
        <w:rPr>
          <w:i/>
          <w:lang w:val="fr-FR"/>
        </w:rPr>
        <w:t>contrastes</w:t>
      </w:r>
      <w:r w:rsidRPr="00C92F30">
        <w:rPr>
          <w:lang w:val="fr-FR"/>
        </w:rPr>
        <w:t xml:space="preserve">, Paris, L’Harmathan, [1957] 2000 ; </w:t>
      </w:r>
      <w:r w:rsidRPr="00C92F30">
        <w:rPr>
          <w:i/>
          <w:lang w:val="fr-FR"/>
        </w:rPr>
        <w:t>Le Candomblé de Bahia</w:t>
      </w:r>
      <w:r w:rsidRPr="00C92F30">
        <w:rPr>
          <w:lang w:val="fr-FR"/>
        </w:rPr>
        <w:t xml:space="preserve">, Paris, PUF, 1958 ; </w:t>
      </w:r>
      <w:r w:rsidRPr="00C92F30">
        <w:rPr>
          <w:i/>
          <w:lang w:val="fr-FR"/>
        </w:rPr>
        <w:t>Les Religions africaines au Brésil</w:t>
      </w:r>
      <w:r w:rsidRPr="00C92F30">
        <w:rPr>
          <w:lang w:val="fr-FR"/>
        </w:rPr>
        <w:t xml:space="preserve">, Paris, PUF, 1960 ; </w:t>
      </w:r>
      <w:r w:rsidRPr="00C92F30">
        <w:rPr>
          <w:i/>
          <w:lang w:val="fr-FR"/>
        </w:rPr>
        <w:t>Les Amér</w:t>
      </w:r>
      <w:r w:rsidRPr="00C92F30">
        <w:rPr>
          <w:i/>
          <w:lang w:val="fr-FR"/>
        </w:rPr>
        <w:t>i</w:t>
      </w:r>
      <w:r w:rsidRPr="00C92F30">
        <w:rPr>
          <w:i/>
          <w:lang w:val="fr-FR"/>
        </w:rPr>
        <w:t>ques noires</w:t>
      </w:r>
      <w:r w:rsidRPr="00C92F30">
        <w:rPr>
          <w:lang w:val="fr-FR"/>
        </w:rPr>
        <w:t xml:space="preserve">, Paris, L’Harmattan, 1996 ; </w:t>
      </w:r>
      <w:r w:rsidRPr="00C92F30">
        <w:rPr>
          <w:i/>
          <w:lang w:val="fr-FR"/>
        </w:rPr>
        <w:t>Les civilisations africaines dans le Nouveau Monde</w:t>
      </w:r>
      <w:r w:rsidRPr="00C92F30">
        <w:rPr>
          <w:lang w:val="fr-FR"/>
        </w:rPr>
        <w:t>, Paris, Payot, 1967.</w:t>
      </w:r>
    </w:p>
  </w:footnote>
  <w:footnote w:id="265">
    <w:p w:rsidR="004C50DC" w:rsidRPr="00C92F30" w:rsidRDefault="004C50DC" w:rsidP="004C50DC">
      <w:pPr>
        <w:pStyle w:val="Notedebasdepage"/>
      </w:pPr>
      <w:r w:rsidRPr="00DA2D3F">
        <w:rPr>
          <w:rStyle w:val="Appelnotedebasdep"/>
        </w:rPr>
        <w:footnoteRef/>
      </w:r>
      <w:r>
        <w:tab/>
      </w:r>
      <w:r w:rsidRPr="00C92F30">
        <w:t xml:space="preserve">André Marcel d’Ans, </w:t>
      </w:r>
      <w:r w:rsidRPr="00C92F30">
        <w:rPr>
          <w:i/>
        </w:rPr>
        <w:t xml:space="preserve">Haïti. Paysage et Société, </w:t>
      </w:r>
      <w:r w:rsidRPr="00C92F30">
        <w:t>Paris, Karthala, 1987.</w:t>
      </w:r>
    </w:p>
  </w:footnote>
  <w:footnote w:id="266">
    <w:p w:rsidR="004C50DC" w:rsidRPr="00C92F30" w:rsidRDefault="004C50DC" w:rsidP="004C50DC">
      <w:pPr>
        <w:pStyle w:val="Notedebasdepage"/>
        <w:rPr>
          <w:lang w:val="en-US"/>
        </w:rPr>
      </w:pPr>
      <w:r w:rsidRPr="00DA2D3F">
        <w:rPr>
          <w:rStyle w:val="Appelnotedebasdep"/>
        </w:rPr>
        <w:footnoteRef/>
      </w:r>
      <w:r>
        <w:rPr>
          <w:lang w:val="en-US"/>
        </w:rPr>
        <w:tab/>
      </w:r>
      <w:r w:rsidRPr="00C92F30">
        <w:rPr>
          <w:lang w:val="en-US"/>
        </w:rPr>
        <w:t>Sydney W. Mintz et Richard Price, The birth of African-American culture: an anthropological perspective, Boston, Beacon Press, 1976.</w:t>
      </w:r>
    </w:p>
  </w:footnote>
  <w:footnote w:id="267">
    <w:p w:rsidR="004C50DC" w:rsidRPr="00C92F30" w:rsidRDefault="004C50DC" w:rsidP="004C50DC">
      <w:pPr>
        <w:pStyle w:val="Notedebasdepage"/>
      </w:pPr>
      <w:r w:rsidRPr="00DA2D3F">
        <w:rPr>
          <w:rStyle w:val="Appelnotedebasdep"/>
        </w:rPr>
        <w:footnoteRef/>
      </w:r>
      <w:r w:rsidRPr="00C92F30">
        <w:t xml:space="preserve"> </w:t>
      </w:r>
      <w:r>
        <w:tab/>
      </w:r>
      <w:r w:rsidRPr="00C92F30">
        <w:t xml:space="preserve">Christine Chivallon, L’esclavage, du souvenir à la mémoire. Contribution à une anthropologie de la Caraïbe, Paris, Karthala, 2012, p. 94. </w:t>
      </w:r>
    </w:p>
  </w:footnote>
  <w:footnote w:id="268">
    <w:p w:rsidR="004C50DC" w:rsidRPr="00C92F30" w:rsidRDefault="004C50DC" w:rsidP="004C50DC">
      <w:pPr>
        <w:pStyle w:val="Notedebasdepage"/>
      </w:pPr>
      <w:r w:rsidRPr="00DA2D3F">
        <w:rPr>
          <w:rStyle w:val="Appelnotedebasdep"/>
        </w:rPr>
        <w:footnoteRef/>
      </w:r>
      <w:r>
        <w:rPr>
          <w:lang w:val="en-US"/>
        </w:rPr>
        <w:tab/>
      </w:r>
      <w:r w:rsidRPr="00C92F30">
        <w:rPr>
          <w:lang w:val="en-US"/>
        </w:rPr>
        <w:t xml:space="preserve">Lire Derek Walcott, « The Royal Palms… an absence of ruins », </w:t>
      </w:r>
      <w:r w:rsidRPr="00C92F30">
        <w:rPr>
          <w:i/>
          <w:lang w:val="en-US"/>
        </w:rPr>
        <w:t>London Mag</w:t>
      </w:r>
      <w:r w:rsidRPr="00C92F30">
        <w:rPr>
          <w:i/>
          <w:lang w:val="en-US"/>
        </w:rPr>
        <w:t>a</w:t>
      </w:r>
      <w:r w:rsidRPr="00C92F30">
        <w:rPr>
          <w:i/>
          <w:lang w:val="en-US"/>
        </w:rPr>
        <w:t>zine</w:t>
      </w:r>
      <w:r w:rsidRPr="00C92F30">
        <w:rPr>
          <w:lang w:val="en-US"/>
        </w:rPr>
        <w:t xml:space="preserve">vol. </w:t>
      </w:r>
      <w:r w:rsidRPr="00C92F30">
        <w:t>1, n</w:t>
      </w:r>
      <w:r w:rsidRPr="00C92F30">
        <w:rPr>
          <w:vertAlign w:val="superscript"/>
        </w:rPr>
        <w:t>o</w:t>
      </w:r>
      <w:r w:rsidRPr="00C92F30">
        <w:t> 11, 1962, p. 12-13. L’absence de ruines, en effet, est une mét</w:t>
      </w:r>
      <w:r w:rsidRPr="00C92F30">
        <w:t>a</w:t>
      </w:r>
      <w:r w:rsidRPr="00C92F30">
        <w:t>phore de l’amnésie qui peut être employée dans le cas des Français.</w:t>
      </w:r>
    </w:p>
  </w:footnote>
  <w:footnote w:id="269">
    <w:p w:rsidR="004C50DC" w:rsidRPr="00C92F30" w:rsidRDefault="004C50DC" w:rsidP="004C50DC">
      <w:pPr>
        <w:pStyle w:val="Notedebasdepage"/>
      </w:pPr>
      <w:r w:rsidRPr="00DA2D3F">
        <w:rPr>
          <w:rStyle w:val="Appelnotedebasdep"/>
        </w:rPr>
        <w:footnoteRef/>
      </w:r>
      <w:r>
        <w:tab/>
      </w:r>
      <w:r w:rsidRPr="00C92F30">
        <w:t>Christine Chivallon, op. cit., p. 111-112.</w:t>
      </w:r>
    </w:p>
  </w:footnote>
  <w:footnote w:id="270">
    <w:p w:rsidR="004C50DC" w:rsidRPr="00C92F30" w:rsidRDefault="004C50DC" w:rsidP="004C50DC">
      <w:pPr>
        <w:pStyle w:val="Notedebasdepage"/>
      </w:pPr>
      <w:r w:rsidRPr="00DA2D3F">
        <w:rPr>
          <w:rStyle w:val="Appelnotedebasdep"/>
        </w:rPr>
        <w:footnoteRef/>
      </w:r>
      <w:r>
        <w:tab/>
      </w:r>
      <w:r w:rsidRPr="00C92F30">
        <w:t xml:space="preserve">Les travaux de Jacques de Cauna, Éric Saugera, Pascal Blanchard, Christine Chivallon, et ceux des historiens de Nantes à travers les </w:t>
      </w:r>
      <w:r w:rsidRPr="00C92F30">
        <w:rPr>
          <w:i/>
        </w:rPr>
        <w:t>Cahiers des a</w:t>
      </w:r>
      <w:r w:rsidRPr="00C92F30">
        <w:rPr>
          <w:i/>
        </w:rPr>
        <w:t>n</w:t>
      </w:r>
      <w:r w:rsidRPr="00C92F30">
        <w:rPr>
          <w:i/>
        </w:rPr>
        <w:t>neaux de la mémoire</w:t>
      </w:r>
      <w:r w:rsidRPr="00C92F30">
        <w:t xml:space="preserve"> du Comité pour la mémoire de l’esclavage, les diverses expos</w:t>
      </w:r>
      <w:r w:rsidRPr="00C92F30">
        <w:t>i</w:t>
      </w:r>
      <w:r w:rsidRPr="00C92F30">
        <w:t>tions et les autres manifestations culturelles sont des exemples de la prise de conscience contemporaine sur la question.</w:t>
      </w:r>
    </w:p>
  </w:footnote>
  <w:footnote w:id="271">
    <w:p w:rsidR="004C50DC" w:rsidRPr="00C92F30" w:rsidRDefault="004C50DC" w:rsidP="004C50DC">
      <w:pPr>
        <w:pStyle w:val="Notedebasdepage"/>
      </w:pPr>
      <w:r w:rsidRPr="00DA2D3F">
        <w:rPr>
          <w:rStyle w:val="Appelnotedebasdep"/>
        </w:rPr>
        <w:footnoteRef/>
      </w:r>
      <w:r>
        <w:tab/>
      </w:r>
      <w:r w:rsidRPr="00C92F30">
        <w:t>Bertrand Guillet, « Entre refoulement et reconnaissance, occultation et expos</w:t>
      </w:r>
      <w:r w:rsidRPr="00C92F30">
        <w:t>i</w:t>
      </w:r>
      <w:r w:rsidRPr="00C92F30">
        <w:t>tion, comment s’est constituée, durant le XX</w:t>
      </w:r>
      <w:r w:rsidRPr="00C92F30">
        <w:rPr>
          <w:vertAlign w:val="superscript"/>
        </w:rPr>
        <w:t>e</w:t>
      </w:r>
      <w:r w:rsidRPr="00C92F30">
        <w:t xml:space="preserve">siècle, la collection sur la traite des Noirs au musée de Nantes », </w:t>
      </w:r>
      <w:r w:rsidRPr="00C92F30">
        <w:rPr>
          <w:i/>
        </w:rPr>
        <w:t>In Situ</w:t>
      </w:r>
      <w:r w:rsidRPr="00C92F30">
        <w:t>, n</w:t>
      </w:r>
      <w:r w:rsidRPr="00C92F30">
        <w:rPr>
          <w:vertAlign w:val="superscript"/>
        </w:rPr>
        <w:t>o</w:t>
      </w:r>
      <w:r w:rsidRPr="00C92F30">
        <w:t> 20, 2013, en ligne, http://insitu.revues.org/10137 ; DOI : 10.4000/ insitu.10137, consulté le 14 novembre 2015.</w:t>
      </w:r>
    </w:p>
  </w:footnote>
  <w:footnote w:id="272">
    <w:p w:rsidR="004C50DC" w:rsidRPr="00C92F30" w:rsidRDefault="004C50DC" w:rsidP="004C50DC">
      <w:pPr>
        <w:pStyle w:val="Notedebasdepage"/>
      </w:pPr>
      <w:r w:rsidRPr="00DA2D3F">
        <w:rPr>
          <w:rStyle w:val="Appelnotedebasdep"/>
        </w:rPr>
        <w:footnoteRef/>
      </w:r>
      <w:r>
        <w:tab/>
      </w:r>
      <w:r w:rsidRPr="00C92F30">
        <w:t>Cette association a été créée en 1990 à Nantes par des chercheurs et des hist</w:t>
      </w:r>
      <w:r w:rsidRPr="00C92F30">
        <w:t>o</w:t>
      </w:r>
      <w:r w:rsidRPr="00C92F30">
        <w:t xml:space="preserve">riens pour réfléchir à la traite et l’esclavage. Elle a été depuisà l’origine de multiples actions culturelles en France et à l’étranger ; voir, en ligne, </w:t>
      </w:r>
      <w:hyperlink r:id="rId37" w:history="1">
        <w:r w:rsidRPr="00C92F30">
          <w:rPr>
            <w:rStyle w:val="Lienhypertexte"/>
            <w:color w:val="auto"/>
          </w:rPr>
          <w:t>http://anneauxdelamemoire.org/fr/component/k2/item/402-des-expositions.html</w:t>
        </w:r>
      </w:hyperlink>
      <w:r w:rsidRPr="00C92F30">
        <w:t>, consulté le 10 décembre 2014.</w:t>
      </w:r>
    </w:p>
  </w:footnote>
  <w:footnote w:id="273">
    <w:p w:rsidR="004C50DC" w:rsidRPr="00C92F30" w:rsidRDefault="004C50DC" w:rsidP="004C50DC">
      <w:pPr>
        <w:pStyle w:val="Notedebasdepage"/>
      </w:pPr>
      <w:r w:rsidRPr="00C92F30">
        <w:rPr>
          <w:rStyle w:val="Appelnotedebasdep"/>
          <w:sz w:val="24"/>
        </w:rPr>
        <w:footnoteRef/>
      </w:r>
      <w:r w:rsidRPr="00C92F30">
        <w:t xml:space="preserve"> Qu’on érige un mémorial en Haïti, à la Martinique ou en Guadeloupe, nous pouvons le comprendre. Il s’agit quand même d’un monument aux morts. Ici, on est dans le cadre de la mémoire, du souvenir et du travail de sensibil</w:t>
      </w:r>
      <w:r w:rsidRPr="00C92F30">
        <w:t>i</w:t>
      </w:r>
      <w:r w:rsidRPr="00C92F30">
        <w:t xml:space="preserve">sation. À Nantes, sa place nous paraît très instrumentalisée. </w:t>
      </w:r>
    </w:p>
  </w:footnote>
  <w:footnote w:id="274">
    <w:p w:rsidR="004C50DC" w:rsidRDefault="004C50DC">
      <w:pPr>
        <w:pStyle w:val="Notedebasdepage"/>
      </w:pPr>
      <w:r>
        <w:rPr>
          <w:rStyle w:val="Appelnotedebasdep"/>
        </w:rPr>
        <w:footnoteRef/>
      </w:r>
      <w:r>
        <w:t xml:space="preserve"> </w:t>
      </w:r>
      <w:r>
        <w:tab/>
      </w:r>
      <w:r w:rsidRPr="00C92F30">
        <w:rPr>
          <w:lang w:val="fr-FR"/>
        </w:rPr>
        <w:t xml:space="preserve">Voir le site </w:t>
      </w:r>
      <w:r w:rsidRPr="00C92F30">
        <w:rPr>
          <w:i/>
          <w:lang w:val="fr-FR"/>
        </w:rPr>
        <w:t>Mémorial de l’abolition de l’esclavage</w:t>
      </w:r>
      <w:r w:rsidRPr="00C92F30">
        <w:rPr>
          <w:lang w:val="fr-FR"/>
        </w:rPr>
        <w:t xml:space="preserve"> –</w:t>
      </w:r>
      <w:r w:rsidRPr="00C92F30">
        <w:rPr>
          <w:i/>
          <w:lang w:val="fr-FR"/>
        </w:rPr>
        <w:t xml:space="preserve"> Nantes</w:t>
      </w:r>
      <w:r w:rsidRPr="00C92F30">
        <w:rPr>
          <w:lang w:val="fr-FR"/>
        </w:rPr>
        <w:t xml:space="preserve">, en ligne, </w:t>
      </w:r>
      <w:hyperlink r:id="rId38" w:history="1">
        <w:r w:rsidRPr="00C92F30">
          <w:rPr>
            <w:rStyle w:val="Lienhypertexte"/>
            <w:lang w:val="fr-FR"/>
          </w:rPr>
          <w:t>http://memorial.nantes.fr/</w:t>
        </w:r>
      </w:hyperlink>
      <w:r>
        <w:rPr>
          <w:lang w:val="fr-FR"/>
        </w:rPr>
        <w:t>, consulté le 11 janvier 2014.</w:t>
      </w:r>
    </w:p>
  </w:footnote>
  <w:footnote w:id="275">
    <w:p w:rsidR="004C50DC" w:rsidRDefault="004C50DC">
      <w:pPr>
        <w:pStyle w:val="Notedebasdepage"/>
      </w:pPr>
      <w:r>
        <w:rPr>
          <w:rStyle w:val="Appelnotedebasdep"/>
        </w:rPr>
        <w:footnoteRef/>
      </w:r>
      <w:r>
        <w:t xml:space="preserve"> </w:t>
      </w:r>
      <w:r>
        <w:tab/>
      </w:r>
      <w:r w:rsidRPr="00C92F30">
        <w:rPr>
          <w:lang w:val="fr-FR"/>
        </w:rPr>
        <w:t xml:space="preserve">Lire « Le mémorial, Nantes face à son histoire », dans </w:t>
      </w:r>
      <w:r w:rsidRPr="00DA2D3F">
        <w:rPr>
          <w:i/>
          <w:lang w:val="fr-FR"/>
        </w:rPr>
        <w:t>ibid</w:t>
      </w:r>
      <w:r w:rsidRPr="00C92F30">
        <w:rPr>
          <w:lang w:val="fr-FR"/>
        </w:rPr>
        <w:t>.</w:t>
      </w:r>
    </w:p>
  </w:footnote>
  <w:footnote w:id="276">
    <w:p w:rsidR="004C50DC" w:rsidRPr="00C92F30" w:rsidRDefault="004C50DC" w:rsidP="004C50DC">
      <w:pPr>
        <w:pStyle w:val="Notedebasdepage"/>
      </w:pPr>
      <w:r w:rsidRPr="00DA2D3F">
        <w:rPr>
          <w:rStyle w:val="Appelnotedebasdep"/>
        </w:rPr>
        <w:footnoteRef/>
      </w:r>
      <w:r>
        <w:tab/>
      </w:r>
      <w:r w:rsidRPr="00C92F30">
        <w:t>Le titre du discours suggère aussi le nom de l’association les Anneaux de la mémoire à Nantes.</w:t>
      </w:r>
    </w:p>
  </w:footnote>
  <w:footnote w:id="277">
    <w:p w:rsidR="004C50DC" w:rsidRDefault="004C50DC">
      <w:pPr>
        <w:pStyle w:val="Notedebasdepage"/>
      </w:pPr>
      <w:r w:rsidRPr="00DA2D3F">
        <w:rPr>
          <w:rStyle w:val="Appelnotedebasdep"/>
        </w:rPr>
        <w:footnoteRef/>
      </w:r>
      <w:r w:rsidRPr="00DA2D3F">
        <w:rPr>
          <w:sz w:val="20"/>
        </w:rPr>
        <w:t xml:space="preserve"> </w:t>
      </w:r>
      <w:r>
        <w:tab/>
      </w:r>
      <w:r w:rsidRPr="00C92F30">
        <w:t xml:space="preserve">Il faut se référer aussi à l’implication de Nantes dans l’intégration de certains immigrants et dans la recherche développée autour de la mémoire de l’esclavage avec les « Anneaux de la mémoire ». </w:t>
      </w:r>
    </w:p>
  </w:footnote>
  <w:footnote w:id="278">
    <w:p w:rsidR="004C50DC" w:rsidRPr="00C92F30" w:rsidRDefault="004C50DC" w:rsidP="004C50DC">
      <w:pPr>
        <w:pStyle w:val="Notedebasdepage"/>
      </w:pPr>
      <w:r w:rsidRPr="00DA2D3F">
        <w:rPr>
          <w:rStyle w:val="Appelnotedebasdep"/>
        </w:rPr>
        <w:footnoteRef/>
      </w:r>
      <w:r>
        <w:tab/>
      </w:r>
      <w:r w:rsidRPr="00C92F30">
        <w:t>Voir Annexe IV.</w:t>
      </w:r>
    </w:p>
  </w:footnote>
  <w:footnote w:id="279">
    <w:p w:rsidR="004C50DC" w:rsidRPr="00C92F30" w:rsidRDefault="004C50DC" w:rsidP="004C50DC">
      <w:pPr>
        <w:pStyle w:val="Notedebasdepage"/>
      </w:pPr>
      <w:r w:rsidRPr="00DA2D3F">
        <w:rPr>
          <w:rStyle w:val="Appelnotedebasdep"/>
        </w:rPr>
        <w:footnoteRef/>
      </w:r>
      <w:r>
        <w:tab/>
      </w:r>
      <w:r w:rsidRPr="00C92F30">
        <w:t>Il resterait à en faire aujourd’hui la mise en valeur pour couronner cet exce</w:t>
      </w:r>
      <w:r w:rsidRPr="00C92F30">
        <w:t>l</w:t>
      </w:r>
      <w:r w:rsidRPr="00C92F30">
        <w:t xml:space="preserve">lent effort. C’est une page de la mémoire de Bordeaux. La plaque se trouve en face de la Cité mondiale. </w:t>
      </w:r>
    </w:p>
  </w:footnote>
  <w:footnote w:id="280">
    <w:p w:rsidR="004C50DC" w:rsidRPr="00C92F30" w:rsidRDefault="004C50DC" w:rsidP="004C50DC">
      <w:pPr>
        <w:pStyle w:val="Notedebasdepage"/>
      </w:pPr>
      <w:r w:rsidRPr="00DA2D3F">
        <w:rPr>
          <w:rStyle w:val="Appelnotedebasdep"/>
        </w:rPr>
        <w:footnoteRef/>
      </w:r>
      <w:r>
        <w:tab/>
      </w:r>
      <w:r w:rsidRPr="00C92F30">
        <w:t>Il existe même un Conseil bordelais de la diversité.</w:t>
      </w:r>
    </w:p>
  </w:footnote>
  <w:footnote w:id="281">
    <w:p w:rsidR="004C50DC" w:rsidRPr="00C92F30" w:rsidRDefault="004C50DC" w:rsidP="004C50DC">
      <w:pPr>
        <w:pStyle w:val="Notedebasdepage"/>
      </w:pPr>
      <w:r w:rsidRPr="00DA2D3F">
        <w:rPr>
          <w:rStyle w:val="Appelnotedebasdep"/>
        </w:rPr>
        <w:footnoteRef/>
      </w:r>
      <w:r>
        <w:tab/>
      </w:r>
      <w:r w:rsidRPr="00C92F30">
        <w:t>Jean Ronald Augustin, « La mémoire de l’esclavage dans l’espace public. Initi</w:t>
      </w:r>
      <w:r w:rsidRPr="00C92F30">
        <w:t>a</w:t>
      </w:r>
      <w:r w:rsidRPr="00C92F30">
        <w:t>tives pour sa patrimonialisation à Bordeaux (France) et à Port-au-Prince (Ha</w:t>
      </w:r>
      <w:r w:rsidRPr="00C92F30">
        <w:t>ï</w:t>
      </w:r>
      <w:r w:rsidRPr="00C92F30">
        <w:t xml:space="preserve">ti) », dans </w:t>
      </w:r>
      <w:r w:rsidRPr="00C92F30">
        <w:rPr>
          <w:i/>
        </w:rPr>
        <w:t>Ethnologies</w:t>
      </w:r>
      <w:r w:rsidRPr="00C92F30">
        <w:t>, vol. 34, n</w:t>
      </w:r>
      <w:r w:rsidRPr="00C92F30">
        <w:rPr>
          <w:vertAlign w:val="superscript"/>
        </w:rPr>
        <w:t>os</w:t>
      </w:r>
      <w:r w:rsidRPr="00C92F30">
        <w:t> 1-2, 2012, p. 214.</w:t>
      </w:r>
    </w:p>
  </w:footnote>
  <w:footnote w:id="282">
    <w:p w:rsidR="004C50DC" w:rsidRDefault="004C50DC">
      <w:pPr>
        <w:pStyle w:val="Notedebasdepage"/>
      </w:pPr>
      <w:r>
        <w:rPr>
          <w:rStyle w:val="Appelnotedebasdep"/>
        </w:rPr>
        <w:footnoteRef/>
      </w:r>
      <w:r>
        <w:t xml:space="preserve"> </w:t>
      </w:r>
      <w:r>
        <w:tab/>
      </w:r>
      <w:r w:rsidRPr="00C92F30">
        <w:t xml:space="preserve">Voir l’ouvrage sous la direction de Pascal Blanchard, </w:t>
      </w:r>
      <w:r w:rsidRPr="00C92F30">
        <w:rPr>
          <w:i/>
        </w:rPr>
        <w:t>Sud-Ouest, porte des o</w:t>
      </w:r>
      <w:r w:rsidRPr="00C92F30">
        <w:rPr>
          <w:i/>
        </w:rPr>
        <w:t>u</w:t>
      </w:r>
      <w:r w:rsidRPr="00C92F30">
        <w:rPr>
          <w:i/>
        </w:rPr>
        <w:t>tre-mers. Histoire coloniale et immigration des suds, du Midi à l’Aquitaine</w:t>
      </w:r>
      <w:r w:rsidRPr="00C92F30">
        <w:t>, To</w:t>
      </w:r>
      <w:r w:rsidRPr="00C92F30">
        <w:t>u</w:t>
      </w:r>
      <w:r w:rsidRPr="00C92F30">
        <w:t>louse, Milan, 2006.  Dans ce livre, l’auteur fait bien l’état des lieux de ce foisonnement, de cette diversité, à l’époque où la France avait tous ces outr</w:t>
      </w:r>
      <w:r w:rsidRPr="00C92F30">
        <w:t>e</w:t>
      </w:r>
      <w:r w:rsidRPr="00C92F30">
        <w:t>mers, toutes ces colonies, de l’Algérie et du Maroc jusqu’à l’Indochine.</w:t>
      </w:r>
    </w:p>
  </w:footnote>
  <w:footnote w:id="283">
    <w:p w:rsidR="004C50DC" w:rsidRPr="00C92F30" w:rsidRDefault="004C50DC" w:rsidP="004C50DC">
      <w:pPr>
        <w:pStyle w:val="Notedebasdepage"/>
      </w:pPr>
      <w:r w:rsidRPr="00DA2D3F">
        <w:rPr>
          <w:rStyle w:val="Appelnotedebasdep"/>
        </w:rPr>
        <w:footnoteRef/>
      </w:r>
      <w:r>
        <w:tab/>
      </w:r>
      <w:r w:rsidRPr="00C92F30">
        <w:t xml:space="preserve">Musée d’Aquitaine, </w:t>
      </w:r>
      <w:r w:rsidRPr="00C92F30">
        <w:rPr>
          <w:rFonts w:eastAsia="Calibri"/>
          <w:lang w:eastAsia="ar-SA"/>
        </w:rPr>
        <w:t>Bordeaux au XVIII</w:t>
      </w:r>
      <w:r w:rsidRPr="00C92F30">
        <w:rPr>
          <w:rFonts w:eastAsia="Calibri"/>
          <w:vertAlign w:val="superscript"/>
          <w:lang w:eastAsia="ar-SA"/>
        </w:rPr>
        <w:t>e</w:t>
      </w:r>
      <w:r w:rsidRPr="00C92F30">
        <w:rPr>
          <w:rFonts w:eastAsia="Calibri"/>
          <w:lang w:eastAsia="ar-SA"/>
        </w:rPr>
        <w:t xml:space="preserve"> siècle. Le commerce atlantique et l’esclavage, Bordeaux, Le Festin, 2010, p. 199.</w:t>
      </w:r>
    </w:p>
  </w:footnote>
  <w:footnote w:id="284">
    <w:p w:rsidR="004C50DC" w:rsidRPr="00C92F30" w:rsidRDefault="004C50DC" w:rsidP="004C50DC">
      <w:pPr>
        <w:pStyle w:val="Notedebasdepage"/>
      </w:pPr>
      <w:r w:rsidRPr="00DA2D3F">
        <w:rPr>
          <w:rStyle w:val="Appelnotedebasdep"/>
        </w:rPr>
        <w:footnoteRef/>
      </w:r>
      <w:r>
        <w:tab/>
      </w:r>
      <w:r w:rsidRPr="00C92F30">
        <w:t>Voir Noémie Drouguet, Mission d’évaluation de l’exposition « Bordeaux au XVIII</w:t>
      </w:r>
      <w:r w:rsidRPr="00C92F30">
        <w:rPr>
          <w:vertAlign w:val="superscript"/>
        </w:rPr>
        <w:t>e</w:t>
      </w:r>
      <w:r w:rsidRPr="00C92F30">
        <w:t xml:space="preserve"> siècle, le commerce atlantique et l’esclavage » au Musée d’Aquitaine à Bordeaux, Séminaire de muséologie, Université de Liège, 2012, p. 24.</w:t>
      </w:r>
    </w:p>
  </w:footnote>
  <w:footnote w:id="285">
    <w:p w:rsidR="004C50DC" w:rsidRPr="00C92F30" w:rsidRDefault="004C50DC" w:rsidP="004C50DC">
      <w:pPr>
        <w:pStyle w:val="Notedebasdepage"/>
      </w:pPr>
      <w:r w:rsidRPr="00DA2D3F">
        <w:rPr>
          <w:rStyle w:val="Appelnotedebasdep"/>
        </w:rPr>
        <w:footnoteRef/>
      </w:r>
      <w:r>
        <w:tab/>
      </w:r>
      <w:r w:rsidRPr="00DA2D3F">
        <w:rPr>
          <w:i/>
        </w:rPr>
        <w:t>Ibid</w:t>
      </w:r>
      <w:r w:rsidRPr="00C92F30">
        <w:t>., p. 25-26.</w:t>
      </w:r>
    </w:p>
  </w:footnote>
  <w:footnote w:id="286">
    <w:p w:rsidR="004C50DC" w:rsidRDefault="004C50DC">
      <w:pPr>
        <w:pStyle w:val="Notedebasdepage"/>
      </w:pPr>
      <w:r>
        <w:rPr>
          <w:rStyle w:val="Appelnotedebasdep"/>
        </w:rPr>
        <w:footnoteRef/>
      </w:r>
      <w:r>
        <w:t xml:space="preserve"> </w:t>
      </w:r>
      <w:r>
        <w:tab/>
      </w:r>
      <w:hyperlink r:id="rId39" w:history="1">
        <w:r w:rsidRPr="00C92F30">
          <w:rPr>
            <w:rStyle w:val="Lienhypertexte"/>
            <w:lang w:val="fr-FR"/>
          </w:rPr>
          <w:t>Pierre Malet</w:t>
        </w:r>
      </w:hyperlink>
      <w:r w:rsidRPr="00C92F30">
        <w:rPr>
          <w:lang w:val="fr-FR"/>
        </w:rPr>
        <w:t>, « La traite négrière reste un tabou. De Bordeaux aux côtes afr</w:t>
      </w:r>
      <w:r w:rsidRPr="00C92F30">
        <w:rPr>
          <w:lang w:val="fr-FR"/>
        </w:rPr>
        <w:t>i</w:t>
      </w:r>
      <w:r w:rsidRPr="00C92F30">
        <w:rPr>
          <w:lang w:val="fr-FR"/>
        </w:rPr>
        <w:t xml:space="preserve">caines », </w:t>
      </w:r>
      <w:r w:rsidRPr="00C92F30">
        <w:rPr>
          <w:i/>
          <w:lang w:val="fr-FR"/>
        </w:rPr>
        <w:t>Slate.fr</w:t>
      </w:r>
      <w:r w:rsidRPr="00C92F30">
        <w:rPr>
          <w:lang w:val="fr-FR"/>
        </w:rPr>
        <w:t xml:space="preserve">, 7 mai 2009, en ligne, </w:t>
      </w:r>
      <w:r w:rsidRPr="00C92F30">
        <w:t>http://www.slate.fr/story/4839/la-traite-négrière-reste-un-sujet-tabou</w:t>
      </w:r>
      <w:r w:rsidRPr="00C92F30">
        <w:rPr>
          <w:lang w:val="fr-FR"/>
        </w:rPr>
        <w:t>, consulté le 10 juillet 2014.</w:t>
      </w:r>
    </w:p>
  </w:footnote>
  <w:footnote w:id="287">
    <w:p w:rsidR="004C50DC" w:rsidRPr="00C92F30" w:rsidRDefault="004C50DC" w:rsidP="004C50DC">
      <w:pPr>
        <w:pStyle w:val="Notedebasdepage"/>
      </w:pPr>
      <w:r w:rsidRPr="00DA2D3F">
        <w:rPr>
          <w:rStyle w:val="Appelnotedebasdep"/>
        </w:rPr>
        <w:footnoteRef/>
      </w:r>
      <w:r>
        <w:tab/>
      </w:r>
      <w:r w:rsidRPr="00C92F30">
        <w:t>L</w:t>
      </w:r>
      <w:r w:rsidRPr="00C92F30">
        <w:rPr>
          <w:lang w:eastAsia="en-CA"/>
        </w:rPr>
        <w:t xml:space="preserve">’œuvre « Acte en retour » de Jean-François Boclé, mise en scène au Centre martiniquais d’action culturelle à Fort de France du 10 mai au 3 juin 2006,avait pour toile de fond la présentation des soixante articles du Code Noir ;c’est un exemple des actions visant à mettre en valeur la mémoire de l’esclavage ; voir </w:t>
      </w:r>
      <w:r w:rsidRPr="00C92F30">
        <w:t>le rapport « Mémoires de la traite négrière, de l’esclavage et de leurs abolitions » du Comité pour la mémoire de l’esclavage, au Pr</w:t>
      </w:r>
      <w:r w:rsidRPr="00C92F30">
        <w:t>e</w:t>
      </w:r>
      <w:r w:rsidRPr="00C92F30">
        <w:t>mier ministre Dominique de Villepin, janvier 2007, en l</w:t>
      </w:r>
      <w:r w:rsidRPr="00C92F30">
        <w:t>i</w:t>
      </w:r>
      <w:r w:rsidRPr="00C92F30">
        <w:t>gne,</w:t>
      </w:r>
      <w:r>
        <w:t xml:space="preserve"> </w:t>
      </w:r>
      <w:hyperlink r:id="rId40" w:history="1">
        <w:r w:rsidRPr="00C92F30">
          <w:rPr>
            <w:rStyle w:val="Lienhypertexte"/>
            <w:color w:val="auto"/>
          </w:rPr>
          <w:t>http://www.ladocumentationfrancaise.fr/var/storage/rapports-publics/074000374/0000.pdf</w:t>
        </w:r>
      </w:hyperlink>
      <w:r w:rsidRPr="00C92F30">
        <w:t>, consulté le 10 février 2014, p. 16.</w:t>
      </w:r>
    </w:p>
  </w:footnote>
  <w:footnote w:id="288">
    <w:p w:rsidR="004C50DC" w:rsidRPr="00C92F30" w:rsidRDefault="004C50DC" w:rsidP="004C50DC">
      <w:pPr>
        <w:pStyle w:val="Notedebasdepage"/>
      </w:pPr>
      <w:r w:rsidRPr="00DA2D3F">
        <w:rPr>
          <w:rStyle w:val="Appelnotedebasdep"/>
        </w:rPr>
        <w:footnoteRef/>
      </w:r>
      <w:r>
        <w:tab/>
      </w:r>
      <w:r w:rsidRPr="00C92F30">
        <w:t>Écouter l’interview de Sidonie Latidine, « La mémoire de l’esclavage en Guy</w:t>
      </w:r>
      <w:r w:rsidRPr="00C92F30">
        <w:t>a</w:t>
      </w:r>
      <w:r w:rsidRPr="00C92F30">
        <w:t xml:space="preserve">ne », accordée à RFO (Réseau France-Outre-mer, le 31 janvier 2006. </w:t>
      </w:r>
    </w:p>
  </w:footnote>
  <w:footnote w:id="289">
    <w:p w:rsidR="004C50DC" w:rsidRDefault="004C50DC">
      <w:pPr>
        <w:pStyle w:val="Notedebasdepage"/>
      </w:pPr>
      <w:r>
        <w:rPr>
          <w:rStyle w:val="Appelnotedebasdep"/>
        </w:rPr>
        <w:footnoteRef/>
      </w:r>
      <w:r>
        <w:t xml:space="preserve"> </w:t>
      </w:r>
      <w:r>
        <w:tab/>
      </w:r>
      <w:r w:rsidRPr="00C92F30">
        <w:rPr>
          <w:lang w:val="fr-FR" w:eastAsia="en-CA"/>
        </w:rPr>
        <w:t>Durant ce mois, des rencontres littéraires et des animations ont été réal</w:t>
      </w:r>
      <w:r w:rsidRPr="00C92F30">
        <w:rPr>
          <w:lang w:val="fr-FR" w:eastAsia="en-CA"/>
        </w:rPr>
        <w:t>i</w:t>
      </w:r>
      <w:r w:rsidRPr="00C92F30">
        <w:rPr>
          <w:lang w:val="fr-FR" w:eastAsia="en-CA"/>
        </w:rPr>
        <w:t>sées par Yves Pinguilly, écrivain de littérature jeunesse, auteur de nombreux o</w:t>
      </w:r>
      <w:r w:rsidRPr="00C92F30">
        <w:rPr>
          <w:lang w:val="fr-FR" w:eastAsia="en-CA"/>
        </w:rPr>
        <w:t>u</w:t>
      </w:r>
      <w:r w:rsidRPr="00C92F30">
        <w:rPr>
          <w:lang w:val="fr-FR" w:eastAsia="en-CA"/>
        </w:rPr>
        <w:t xml:space="preserve">vrages sur le thème de l’esclavage tels que </w:t>
      </w:r>
      <w:r w:rsidRPr="00C92F30">
        <w:rPr>
          <w:i/>
          <w:lang w:eastAsia="en-CA"/>
        </w:rPr>
        <w:t>L’esclave du fleuve des fleuves</w:t>
      </w:r>
      <w:r w:rsidRPr="00C92F30">
        <w:rPr>
          <w:lang w:val="fr-FR" w:eastAsia="en-CA"/>
        </w:rPr>
        <w:t>, P</w:t>
      </w:r>
      <w:r w:rsidRPr="00C92F30">
        <w:rPr>
          <w:lang w:val="fr-FR" w:eastAsia="en-CA"/>
        </w:rPr>
        <w:t>a</w:t>
      </w:r>
      <w:r w:rsidRPr="00C92F30">
        <w:rPr>
          <w:lang w:val="fr-FR" w:eastAsia="en-CA"/>
        </w:rPr>
        <w:t>ris, Oskar jeunesse, coll. « Cadet »,‎ 2006 ; Le Nègre de Nantes, Paris, Oskar, coll. « Junior »,  2007 ; Aimé Césaire, le nègre indélébile, Paris, O</w:t>
      </w:r>
      <w:r w:rsidRPr="00C92F30">
        <w:rPr>
          <w:lang w:val="fr-FR" w:eastAsia="en-CA"/>
        </w:rPr>
        <w:t>s</w:t>
      </w:r>
      <w:r w:rsidRPr="00C92F30">
        <w:rPr>
          <w:lang w:val="fr-FR" w:eastAsia="en-CA"/>
        </w:rPr>
        <w:t>kar,coll. « Histoire et Société »,  2008.</w:t>
      </w:r>
    </w:p>
  </w:footnote>
  <w:footnote w:id="290">
    <w:p w:rsidR="004C50DC" w:rsidRDefault="004C50DC">
      <w:pPr>
        <w:pStyle w:val="Notedebasdepage"/>
      </w:pPr>
      <w:r>
        <w:rPr>
          <w:rStyle w:val="Appelnotedebasdep"/>
        </w:rPr>
        <w:footnoteRef/>
      </w:r>
      <w:r>
        <w:t xml:space="preserve"> </w:t>
      </w:r>
      <w:r>
        <w:tab/>
      </w:r>
      <w:r w:rsidRPr="00C92F30">
        <w:rPr>
          <w:lang w:val="fr-FR"/>
        </w:rPr>
        <w:t>Voir</w:t>
      </w:r>
      <w:r>
        <w:rPr>
          <w:lang w:val="fr-FR"/>
        </w:rPr>
        <w:t xml:space="preserve"> </w:t>
      </w:r>
      <w:r w:rsidRPr="00C92F30">
        <w:rPr>
          <w:lang w:val="fr-FR"/>
        </w:rPr>
        <w:t>le rapport « Mémoires de la traite négrière, de l’esclavage et de leurs ab</w:t>
      </w:r>
      <w:r w:rsidRPr="00C92F30">
        <w:rPr>
          <w:lang w:val="fr-FR"/>
        </w:rPr>
        <w:t>o</w:t>
      </w:r>
      <w:r w:rsidRPr="00C92F30">
        <w:rPr>
          <w:lang w:val="fr-FR"/>
        </w:rPr>
        <w:t>litions » du Comité pour la mémoire de l’esclavage, op. cit., p. 16.</w:t>
      </w:r>
    </w:p>
  </w:footnote>
  <w:footnote w:id="291">
    <w:p w:rsidR="004C50DC" w:rsidRDefault="004C50DC">
      <w:pPr>
        <w:pStyle w:val="Notedebasdepage"/>
      </w:pPr>
      <w:r>
        <w:rPr>
          <w:rStyle w:val="Appelnotedebasdep"/>
        </w:rPr>
        <w:footnoteRef/>
      </w:r>
      <w:r>
        <w:t xml:space="preserve"> </w:t>
      </w:r>
      <w:r>
        <w:tab/>
      </w:r>
      <w:r w:rsidRPr="00C92F30">
        <w:rPr>
          <w:lang w:val="fr-FR"/>
        </w:rPr>
        <w:t>Le Mémorial ACTe a été inauguré à Pointe-à-Pitre, en Guadeloupe, le 10mai 2015, Jour de la commémoration de l’abolition de l’esclavage en France, par le président François Hollande.</w:t>
      </w:r>
    </w:p>
  </w:footnote>
  <w:footnote w:id="292">
    <w:p w:rsidR="004C50DC" w:rsidRDefault="004C50DC">
      <w:pPr>
        <w:pStyle w:val="Notedebasdepage"/>
      </w:pPr>
      <w:r>
        <w:rPr>
          <w:rStyle w:val="Appelnotedebasdep"/>
        </w:rPr>
        <w:footnoteRef/>
      </w:r>
      <w:r>
        <w:t xml:space="preserve"> </w:t>
      </w:r>
      <w:r>
        <w:tab/>
      </w:r>
      <w:r w:rsidRPr="00C92F30">
        <w:rPr>
          <w:lang w:val="fr-FR"/>
        </w:rPr>
        <w:t xml:space="preserve">Voir Antoine Flandrin, « Cinq choses à savoir sur le Mémorial ACTe, en Guadeloupe », </w:t>
      </w:r>
      <w:r w:rsidRPr="00C92F30">
        <w:rPr>
          <w:i/>
          <w:lang w:val="fr-FR"/>
        </w:rPr>
        <w:t>Le Monde-Afrique</w:t>
      </w:r>
      <w:r w:rsidRPr="00C92F30">
        <w:rPr>
          <w:lang w:val="fr-FR"/>
        </w:rPr>
        <w:t>, 10 mai 2015, en l</w:t>
      </w:r>
      <w:r w:rsidRPr="00C92F30">
        <w:rPr>
          <w:lang w:val="fr-FR"/>
        </w:rPr>
        <w:t>i</w:t>
      </w:r>
      <w:r w:rsidRPr="00C92F30">
        <w:rPr>
          <w:lang w:val="fr-FR"/>
        </w:rPr>
        <w:t>gne,</w:t>
      </w:r>
      <w:r>
        <w:rPr>
          <w:lang w:val="fr-FR"/>
        </w:rPr>
        <w:t xml:space="preserve"> </w:t>
      </w:r>
      <w:hyperlink r:id="rId41" w:anchor="X4cj14QMiFH8r1oK.99" w:history="1">
        <w:r w:rsidRPr="00C92F30">
          <w:rPr>
            <w:rStyle w:val="Lienhypertexte"/>
            <w:lang w:val="fr-FR"/>
          </w:rPr>
          <w:t>http://www.lemonde.fr/afrique/article/2015/05/10/cinq-choses-a-savoir-sur-le-memorial-acte-en-guadeloupe_4630682_3212.html#X4cj14QMiFH8r1oK.99</w:t>
        </w:r>
      </w:hyperlink>
      <w:r w:rsidRPr="00C92F30">
        <w:rPr>
          <w:lang w:val="fr-FR"/>
        </w:rPr>
        <w:t>, consulté le 12 mai 2015.</w:t>
      </w:r>
    </w:p>
  </w:footnote>
  <w:footnote w:id="293">
    <w:p w:rsidR="004C50DC" w:rsidRDefault="004C50DC">
      <w:pPr>
        <w:pStyle w:val="Notedebasdepage"/>
      </w:pPr>
      <w:r>
        <w:rPr>
          <w:rStyle w:val="Appelnotedebasdep"/>
        </w:rPr>
        <w:footnoteRef/>
      </w:r>
      <w:r>
        <w:t xml:space="preserve"> </w:t>
      </w:r>
      <w:r>
        <w:tab/>
      </w:r>
      <w:r w:rsidRPr="00DA2D3F">
        <w:rPr>
          <w:i/>
          <w:lang w:val="fr-FR"/>
        </w:rPr>
        <w:t>Ibid</w:t>
      </w:r>
      <w:r w:rsidRPr="00C92F30">
        <w:rPr>
          <w:lang w:val="fr-FR"/>
        </w:rPr>
        <w:t>.</w:t>
      </w:r>
    </w:p>
  </w:footnote>
  <w:footnote w:id="294">
    <w:p w:rsidR="004C50DC" w:rsidRPr="00C92F30" w:rsidRDefault="004C50DC" w:rsidP="004C50DC">
      <w:pPr>
        <w:pStyle w:val="Notedebasdepage"/>
      </w:pPr>
      <w:r w:rsidRPr="005003A1">
        <w:rPr>
          <w:rStyle w:val="Appelnotedebasdep"/>
        </w:rPr>
        <w:footnoteRef/>
      </w:r>
      <w:r>
        <w:tab/>
      </w:r>
      <w:r w:rsidRPr="00C92F30">
        <w:t>Ibid.</w:t>
      </w:r>
    </w:p>
  </w:footnote>
  <w:footnote w:id="295">
    <w:p w:rsidR="004C50DC" w:rsidRPr="00C92F30" w:rsidRDefault="004C50DC" w:rsidP="004C50DC">
      <w:pPr>
        <w:pStyle w:val="Notedebasdepage"/>
      </w:pPr>
      <w:r w:rsidRPr="005003A1">
        <w:rPr>
          <w:rStyle w:val="Appelnotedebasdep"/>
        </w:rPr>
        <w:footnoteRef/>
      </w:r>
      <w:r>
        <w:tab/>
      </w:r>
      <w:r w:rsidRPr="00C92F30">
        <w:t xml:space="preserve">Voir les travaux de Myriam Cottias, « La politique de l’oubli », dans « Cent cinquantenaire de l’abolition de l’esclavage », </w:t>
      </w:r>
      <w:r w:rsidRPr="00C92F30">
        <w:rPr>
          <w:i/>
        </w:rPr>
        <w:t>France-Antilles</w:t>
      </w:r>
      <w:r w:rsidRPr="00C92F30">
        <w:t xml:space="preserve">, Hors-Série, mai 1998 ; </w:t>
      </w:r>
      <w:r w:rsidRPr="00C92F30">
        <w:rPr>
          <w:rFonts w:eastAsia="Calibri"/>
          <w:lang w:eastAsia="en-CA"/>
        </w:rPr>
        <w:t xml:space="preserve">« L’oubli du passé contre la citoyenneté. Troc et ressentiment à la Martinique (1848-1946) », dans </w:t>
      </w:r>
      <w:r w:rsidRPr="00C92F30">
        <w:rPr>
          <w:rFonts w:eastAsia="Calibri"/>
          <w:iCs/>
          <w:lang w:eastAsia="en-CA"/>
        </w:rPr>
        <w:t xml:space="preserve">Fred </w:t>
      </w:r>
      <w:r w:rsidRPr="00C92F30">
        <w:rPr>
          <w:rFonts w:eastAsia="Calibri"/>
          <w:lang w:eastAsia="en-CA"/>
        </w:rPr>
        <w:t xml:space="preserve">Constant et Justin Daniel (dir.), </w:t>
      </w:r>
      <w:r w:rsidRPr="00C92F30">
        <w:rPr>
          <w:rFonts w:eastAsia="Calibri"/>
          <w:i/>
          <w:iCs/>
          <w:lang w:eastAsia="en-CA"/>
        </w:rPr>
        <w:t>1946-1996. Cinquante ans de départementalisation outremer</w:t>
      </w:r>
      <w:r w:rsidRPr="00C92F30">
        <w:rPr>
          <w:rFonts w:eastAsia="Calibri"/>
          <w:lang w:eastAsia="en-CA"/>
        </w:rPr>
        <w:t>, Paris, L’Harmattan, 1997, p</w:t>
      </w:r>
      <w:r>
        <w:rPr>
          <w:rFonts w:eastAsia="Calibri"/>
          <w:lang w:eastAsia="en-CA"/>
        </w:rPr>
        <w:t>p</w:t>
      </w:r>
      <w:r w:rsidRPr="00C92F30">
        <w:rPr>
          <w:rFonts w:eastAsia="Calibri"/>
          <w:lang w:eastAsia="en-CA"/>
        </w:rPr>
        <w:t>. 293-313.</w:t>
      </w:r>
    </w:p>
  </w:footnote>
  <w:footnote w:id="296">
    <w:p w:rsidR="004C50DC" w:rsidRDefault="004C50DC">
      <w:pPr>
        <w:pStyle w:val="Notedebasdepage"/>
      </w:pPr>
      <w:r>
        <w:rPr>
          <w:rStyle w:val="Appelnotedebasdep"/>
        </w:rPr>
        <w:footnoteRef/>
      </w:r>
      <w:r>
        <w:t xml:space="preserve"> </w:t>
      </w:r>
      <w:r>
        <w:tab/>
      </w:r>
      <w:r w:rsidRPr="00C92F30">
        <w:rPr>
          <w:rFonts w:eastAsia="Calibri"/>
          <w:lang w:val="fr-FR" w:eastAsia="ar-SA"/>
        </w:rPr>
        <w:t xml:space="preserve">Thierry Nicolas, « À la poursuite du patrimoine. </w:t>
      </w:r>
      <w:r w:rsidRPr="00C92F30">
        <w:rPr>
          <w:lang w:val="fr-FR"/>
        </w:rPr>
        <w:t>Les lieux de mémoire de l’esclavage dans les départements d’outre-mer (DOM)</w:t>
      </w:r>
      <w:r w:rsidRPr="00C92F30">
        <w:rPr>
          <w:rFonts w:eastAsia="Calibri"/>
          <w:lang w:val="fr-FR" w:eastAsia="ar-SA"/>
        </w:rPr>
        <w:t xml:space="preserve"> », </w:t>
      </w:r>
      <w:r w:rsidRPr="00C92F30">
        <w:rPr>
          <w:rFonts w:eastAsia="Calibri"/>
          <w:i/>
          <w:iCs/>
          <w:lang w:val="fr-FR" w:eastAsia="ar-SA"/>
        </w:rPr>
        <w:t>EchoGéo</w:t>
      </w:r>
      <w:r w:rsidRPr="00C92F30">
        <w:rPr>
          <w:rFonts w:eastAsia="Calibri"/>
          <w:lang w:val="fr-FR" w:eastAsia="ar-SA"/>
        </w:rPr>
        <w:t>, en l</w:t>
      </w:r>
      <w:r w:rsidRPr="00C92F30">
        <w:rPr>
          <w:rFonts w:eastAsia="Calibri"/>
          <w:lang w:val="fr-FR" w:eastAsia="ar-SA"/>
        </w:rPr>
        <w:t>i</w:t>
      </w:r>
      <w:r w:rsidRPr="00C92F30">
        <w:rPr>
          <w:rFonts w:eastAsia="Calibri"/>
          <w:lang w:val="fr-FR" w:eastAsia="ar-SA"/>
        </w:rPr>
        <w:t>gne,</w:t>
      </w:r>
      <w:r w:rsidRPr="00C92F30">
        <w:rPr>
          <w:lang w:val="fr-FR"/>
        </w:rPr>
        <w:t>http://echogeo.revues.org/11300</w:t>
      </w:r>
      <w:r w:rsidRPr="00C92F30">
        <w:rPr>
          <w:rFonts w:eastAsia="Calibri"/>
          <w:lang w:val="fr-FR" w:eastAsia="ar-SA"/>
        </w:rPr>
        <w:t>, consulté le 24 janvier 2012.</w:t>
      </w:r>
    </w:p>
  </w:footnote>
  <w:footnote w:id="297">
    <w:p w:rsidR="004C50DC" w:rsidRDefault="004C50DC">
      <w:pPr>
        <w:pStyle w:val="Notedebasdepage"/>
      </w:pPr>
      <w:r>
        <w:rPr>
          <w:rStyle w:val="Appelnotedebasdep"/>
        </w:rPr>
        <w:footnoteRef/>
      </w:r>
      <w:r>
        <w:t xml:space="preserve"> </w:t>
      </w:r>
      <w:r>
        <w:tab/>
      </w:r>
      <w:r w:rsidRPr="00C92F30">
        <w:rPr>
          <w:rFonts w:eastAsia="Calibri"/>
          <w:lang w:val="fr-FR" w:eastAsia="en-CA"/>
        </w:rPr>
        <w:t>Jean Poirier et Sudel Fuma, « La mémoire de l’esclave. Survivances et perm</w:t>
      </w:r>
      <w:r w:rsidRPr="00C92F30">
        <w:rPr>
          <w:rFonts w:eastAsia="Calibri"/>
          <w:lang w:val="fr-FR" w:eastAsia="en-CA"/>
        </w:rPr>
        <w:t>a</w:t>
      </w:r>
      <w:r w:rsidRPr="00C92F30">
        <w:rPr>
          <w:rFonts w:eastAsia="Calibri"/>
          <w:lang w:val="fr-FR" w:eastAsia="en-CA"/>
        </w:rPr>
        <w:t xml:space="preserve">nences », </w:t>
      </w:r>
      <w:r w:rsidRPr="00C92F30">
        <w:rPr>
          <w:rFonts w:eastAsia="Calibri"/>
          <w:iCs/>
          <w:lang w:val="fr-FR" w:eastAsia="en-CA"/>
        </w:rPr>
        <w:t xml:space="preserve">dans </w:t>
      </w:r>
      <w:r w:rsidRPr="00C92F30">
        <w:rPr>
          <w:rFonts w:eastAsia="Calibri"/>
          <w:lang w:val="fr-FR" w:eastAsia="en-CA"/>
        </w:rPr>
        <w:t xml:space="preserve">Sudel Fuma, (dir.), </w:t>
      </w:r>
      <w:r w:rsidRPr="00C92F30">
        <w:rPr>
          <w:rFonts w:eastAsia="Calibri"/>
          <w:i/>
          <w:iCs/>
          <w:lang w:val="fr-FR" w:eastAsia="en-CA"/>
        </w:rPr>
        <w:t xml:space="preserve">Mémoire orale et esclavage dans îles du sud-ouest de l’Océan indien. Silences, oublis, reconnaissance, </w:t>
      </w:r>
      <w:r w:rsidRPr="00C92F30">
        <w:rPr>
          <w:rFonts w:eastAsia="Calibri"/>
          <w:lang w:val="fr-FR" w:eastAsia="en-CA"/>
        </w:rPr>
        <w:t>Actes du coll</w:t>
      </w:r>
      <w:r w:rsidRPr="00C92F30">
        <w:rPr>
          <w:rFonts w:eastAsia="Calibri"/>
          <w:lang w:val="fr-FR" w:eastAsia="en-CA"/>
        </w:rPr>
        <w:t>o</w:t>
      </w:r>
      <w:r w:rsidRPr="00C92F30">
        <w:rPr>
          <w:rFonts w:eastAsia="Calibri"/>
          <w:lang w:val="fr-FR" w:eastAsia="en-CA"/>
        </w:rPr>
        <w:t xml:space="preserve">que international de Saint-Denis, Unesco et Université de la Réunion, 2004, cité par </w:t>
      </w:r>
      <w:r w:rsidRPr="00C92F30">
        <w:rPr>
          <w:rFonts w:eastAsia="Calibri"/>
          <w:lang w:val="fr-FR" w:eastAsia="ar-SA"/>
        </w:rPr>
        <w:t>Thierry Nicolas, op. cit</w:t>
      </w:r>
      <w:r w:rsidRPr="00C92F30">
        <w:t>.</w:t>
      </w:r>
    </w:p>
  </w:footnote>
  <w:footnote w:id="298">
    <w:p w:rsidR="004C50DC" w:rsidRPr="00C92F30" w:rsidRDefault="004C50DC" w:rsidP="004C50DC">
      <w:pPr>
        <w:pStyle w:val="Notedebasdepage"/>
        <w:rPr>
          <w:lang w:val="en-US"/>
        </w:rPr>
      </w:pPr>
      <w:r w:rsidRPr="005003A1">
        <w:rPr>
          <w:rStyle w:val="Appelnotedebasdep"/>
        </w:rPr>
        <w:footnoteRef/>
      </w:r>
      <w:r>
        <w:rPr>
          <w:rFonts w:eastAsia="Calibri"/>
          <w:lang w:val="en-US" w:eastAsia="ar-SA"/>
        </w:rPr>
        <w:tab/>
      </w:r>
      <w:r w:rsidRPr="00C92F30">
        <w:rPr>
          <w:rFonts w:eastAsia="Calibri"/>
          <w:lang w:val="en-US" w:eastAsia="ar-SA"/>
        </w:rPr>
        <w:t>Thierry Nicolas, op. cit</w:t>
      </w:r>
      <w:r w:rsidRPr="00C92F30">
        <w:rPr>
          <w:lang w:val="en-US"/>
        </w:rPr>
        <w:t>.</w:t>
      </w:r>
    </w:p>
  </w:footnote>
  <w:footnote w:id="299">
    <w:p w:rsidR="004C50DC" w:rsidRPr="00C92F30" w:rsidRDefault="004C50DC" w:rsidP="004C50DC">
      <w:pPr>
        <w:pStyle w:val="Notedebasdepage"/>
        <w:rPr>
          <w:lang w:val="en-US"/>
        </w:rPr>
      </w:pPr>
      <w:r w:rsidRPr="005003A1">
        <w:rPr>
          <w:rStyle w:val="Appelnotedebasdep"/>
        </w:rPr>
        <w:footnoteRef/>
      </w:r>
      <w:r>
        <w:rPr>
          <w:lang w:val="en-US"/>
        </w:rPr>
        <w:tab/>
      </w:r>
      <w:r w:rsidRPr="005003A1">
        <w:rPr>
          <w:i/>
          <w:lang w:val="en-US"/>
        </w:rPr>
        <w:t>Ibid</w:t>
      </w:r>
      <w:r w:rsidRPr="00C92F30">
        <w:rPr>
          <w:lang w:val="en-US"/>
        </w:rPr>
        <w:t>.</w:t>
      </w:r>
    </w:p>
  </w:footnote>
  <w:footnote w:id="300">
    <w:p w:rsidR="004C50DC" w:rsidRDefault="004C50DC">
      <w:pPr>
        <w:pStyle w:val="Notedebasdepage"/>
      </w:pPr>
      <w:r>
        <w:rPr>
          <w:rStyle w:val="Appelnotedebasdep"/>
        </w:rPr>
        <w:footnoteRef/>
      </w:r>
      <w:r>
        <w:t xml:space="preserve"> </w:t>
      </w:r>
      <w:r>
        <w:tab/>
      </w:r>
      <w:r w:rsidRPr="00C92F30">
        <w:rPr>
          <w:lang w:val="fr-FR" w:eastAsia="en-CA"/>
        </w:rPr>
        <w:t xml:space="preserve">Voir Pascal Bruckner, </w:t>
      </w:r>
      <w:r w:rsidRPr="00C92F30">
        <w:rPr>
          <w:i/>
          <w:lang w:val="fr-FR" w:eastAsia="en-CA"/>
        </w:rPr>
        <w:t>La tyrannie de la pénitence. Essai sur le masochi</w:t>
      </w:r>
      <w:r w:rsidRPr="00C92F30">
        <w:rPr>
          <w:i/>
          <w:lang w:val="fr-FR" w:eastAsia="en-CA"/>
        </w:rPr>
        <w:t>s</w:t>
      </w:r>
      <w:r w:rsidRPr="00C92F30">
        <w:rPr>
          <w:i/>
          <w:lang w:val="fr-FR" w:eastAsia="en-CA"/>
        </w:rPr>
        <w:t>me occidental</w:t>
      </w:r>
      <w:r w:rsidRPr="00C92F30">
        <w:rPr>
          <w:lang w:val="fr-FR" w:eastAsia="en-CA"/>
        </w:rPr>
        <w:t xml:space="preserve">, Paris, Grasset, 2006 ; Daniel Lefeuvre, </w:t>
      </w:r>
      <w:r w:rsidRPr="00C92F30">
        <w:rPr>
          <w:i/>
          <w:lang w:val="fr-FR" w:eastAsia="en-CA"/>
        </w:rPr>
        <w:t>Pour en finir avec la r</w:t>
      </w:r>
      <w:r w:rsidRPr="00C92F30">
        <w:rPr>
          <w:i/>
          <w:lang w:val="fr-FR" w:eastAsia="en-CA"/>
        </w:rPr>
        <w:t>e</w:t>
      </w:r>
      <w:r w:rsidRPr="00C92F30">
        <w:rPr>
          <w:i/>
          <w:lang w:val="fr-FR" w:eastAsia="en-CA"/>
        </w:rPr>
        <w:t>penta</w:t>
      </w:r>
      <w:r w:rsidRPr="00C92F30">
        <w:rPr>
          <w:i/>
          <w:lang w:val="fr-FR" w:eastAsia="en-CA"/>
        </w:rPr>
        <w:t>n</w:t>
      </w:r>
      <w:r w:rsidRPr="00C92F30">
        <w:rPr>
          <w:i/>
          <w:lang w:val="fr-FR" w:eastAsia="en-CA"/>
        </w:rPr>
        <w:t>ce coloniale,</w:t>
      </w:r>
      <w:r w:rsidRPr="00C92F30">
        <w:rPr>
          <w:lang w:val="fr-FR" w:eastAsia="en-CA"/>
        </w:rPr>
        <w:t xml:space="preserve"> Paris, Flammarion, 2006 ; Jean-Pierre Rioux</w:t>
      </w:r>
      <w:r w:rsidRPr="00C92F30">
        <w:rPr>
          <w:lang w:eastAsia="en-CA"/>
        </w:rPr>
        <w:t xml:space="preserve">, </w:t>
      </w:r>
      <w:r w:rsidRPr="00C92F30">
        <w:rPr>
          <w:i/>
          <w:lang w:val="fr-FR" w:eastAsia="en-CA"/>
        </w:rPr>
        <w:t>La France perd la mémoire. Comment un pays démissionne de son histoire</w:t>
      </w:r>
      <w:r w:rsidRPr="00C92F30">
        <w:rPr>
          <w:lang w:val="fr-FR" w:eastAsia="en-CA"/>
        </w:rPr>
        <w:t xml:space="preserve">, Paris, Perrin, 2006 ; Max Gallo, </w:t>
      </w:r>
      <w:r w:rsidRPr="00C92F30">
        <w:rPr>
          <w:i/>
          <w:lang w:val="fr-FR" w:eastAsia="en-CA"/>
        </w:rPr>
        <w:t>Fier d’être français</w:t>
      </w:r>
      <w:r w:rsidRPr="00C92F30">
        <w:rPr>
          <w:lang w:val="fr-FR" w:eastAsia="en-CA"/>
        </w:rPr>
        <w:t>, Paris, Fayard, 2006.</w:t>
      </w:r>
    </w:p>
  </w:footnote>
  <w:footnote w:id="301">
    <w:p w:rsidR="004C50DC" w:rsidRPr="00C92F30" w:rsidRDefault="004C50DC" w:rsidP="004C50DC">
      <w:pPr>
        <w:pStyle w:val="Notedebasdepage"/>
      </w:pPr>
      <w:r w:rsidRPr="005003A1">
        <w:rPr>
          <w:rStyle w:val="Appelnotedebasdep"/>
        </w:rPr>
        <w:footnoteRef/>
      </w:r>
      <w:r>
        <w:rPr>
          <w:lang w:eastAsia="en-CA"/>
        </w:rPr>
        <w:tab/>
      </w:r>
      <w:r w:rsidRPr="00C92F30">
        <w:rPr>
          <w:lang w:eastAsia="en-CA"/>
        </w:rPr>
        <w:t xml:space="preserve">Myriam Cottias, </w:t>
      </w:r>
      <w:r w:rsidRPr="00C92F30">
        <w:rPr>
          <w:rFonts w:eastAsia="Calibri"/>
          <w:lang w:eastAsia="en-CA"/>
        </w:rPr>
        <w:t xml:space="preserve">« Sur l’histoire et la mémoire de l’esclavage ? », </w:t>
      </w:r>
      <w:r w:rsidRPr="00C92F30">
        <w:rPr>
          <w:rFonts w:eastAsia="Calibri"/>
          <w:i/>
          <w:iCs/>
          <w:lang w:eastAsia="en-CA"/>
        </w:rPr>
        <w:t>Cités</w:t>
      </w:r>
      <w:r w:rsidRPr="00C92F30">
        <w:rPr>
          <w:rFonts w:eastAsia="Calibri"/>
          <w:lang w:eastAsia="en-CA"/>
        </w:rPr>
        <w:t>, vol. 1, n° 25, 2006, p. 178-180</w:t>
      </w:r>
      <w:r w:rsidRPr="00C92F30">
        <w:t xml:space="preserve">, en ligne, </w:t>
      </w:r>
      <w:r w:rsidRPr="00C92F30">
        <w:rPr>
          <w:rFonts w:eastAsia="Calibri"/>
          <w:lang w:eastAsia="en-CA"/>
        </w:rPr>
        <w:t>DOI : 10.3917/cite.025.0178, consulté le 1er août 2012.</w:t>
      </w:r>
    </w:p>
  </w:footnote>
  <w:footnote w:id="302">
    <w:p w:rsidR="004C50DC" w:rsidRPr="00C92F30" w:rsidRDefault="004C50DC" w:rsidP="004C50DC">
      <w:pPr>
        <w:pStyle w:val="Notedebasdepage"/>
      </w:pPr>
      <w:r w:rsidRPr="005003A1">
        <w:rPr>
          <w:rStyle w:val="Appelnotedebasdep"/>
        </w:rPr>
        <w:footnoteRef/>
      </w:r>
      <w:r>
        <w:rPr>
          <w:lang w:eastAsia="en-CA"/>
        </w:rPr>
        <w:tab/>
      </w:r>
      <w:r w:rsidRPr="005003A1">
        <w:rPr>
          <w:i/>
          <w:lang w:eastAsia="en-CA"/>
        </w:rPr>
        <w:t>Ibid</w:t>
      </w:r>
      <w:r w:rsidRPr="00C92F30">
        <w:rPr>
          <w:rFonts w:eastAsia="Calibri"/>
          <w:lang w:eastAsia="en-CA"/>
        </w:rPr>
        <w:t>.</w:t>
      </w:r>
    </w:p>
  </w:footnote>
  <w:footnote w:id="303">
    <w:p w:rsidR="004C50DC" w:rsidRPr="00C92F30" w:rsidRDefault="004C50DC" w:rsidP="004C50DC">
      <w:pPr>
        <w:pStyle w:val="Notedebasdepage"/>
      </w:pPr>
      <w:r w:rsidRPr="003343FE">
        <w:rPr>
          <w:rStyle w:val="Appelnotedebasdep"/>
        </w:rPr>
        <w:footnoteRef/>
      </w:r>
      <w:r>
        <w:tab/>
      </w:r>
      <w:r w:rsidRPr="00C92F30">
        <w:t>Voir les analyses de Christine Chivallon, L’esclavage du souvenir à la mémo</w:t>
      </w:r>
      <w:r w:rsidRPr="00C92F30">
        <w:t>i</w:t>
      </w:r>
      <w:r w:rsidRPr="00C92F30">
        <w:t>re. Contribution à une anthropologie de la Caraïbe, Paris, Karthala, 2012.</w:t>
      </w:r>
    </w:p>
  </w:footnote>
  <w:footnote w:id="304">
    <w:p w:rsidR="004C50DC" w:rsidRDefault="004C50DC">
      <w:pPr>
        <w:pStyle w:val="Notedebasdepage"/>
      </w:pPr>
      <w:r>
        <w:rPr>
          <w:rStyle w:val="Appelnotedebasdep"/>
        </w:rPr>
        <w:footnoteRef/>
      </w:r>
      <w:r>
        <w:t xml:space="preserve"> </w:t>
      </w:r>
      <w:r>
        <w:tab/>
      </w:r>
      <w:r w:rsidRPr="00C92F30">
        <w:t xml:space="preserve">Christine Chivallon, « Rendre visible l’esclavage. Muséographie et hiatus de la mémoire aux Antilles françaises », </w:t>
      </w:r>
      <w:r w:rsidRPr="00C92F30">
        <w:rPr>
          <w:i/>
        </w:rPr>
        <w:t>L’Homme</w:t>
      </w:r>
      <w:r w:rsidRPr="00C92F30">
        <w:t>, vol. 4, n</w:t>
      </w:r>
      <w:r w:rsidRPr="00C92F30">
        <w:rPr>
          <w:vertAlign w:val="superscript"/>
        </w:rPr>
        <w:t>o</w:t>
      </w:r>
      <w:r w:rsidRPr="00C92F30">
        <w:t> 180, 2006, p</w:t>
      </w:r>
      <w:r>
        <w:t>p</w:t>
      </w:r>
      <w:r w:rsidRPr="00C92F30">
        <w:t>. 7-41.</w:t>
      </w:r>
    </w:p>
  </w:footnote>
  <w:footnote w:id="305">
    <w:p w:rsidR="004C50DC" w:rsidRDefault="004C50DC">
      <w:pPr>
        <w:pStyle w:val="Notedebasdepage"/>
      </w:pPr>
      <w:r>
        <w:rPr>
          <w:rStyle w:val="Appelnotedebasdep"/>
        </w:rPr>
        <w:footnoteRef/>
      </w:r>
      <w:r>
        <w:t xml:space="preserve"> </w:t>
      </w:r>
      <w:r>
        <w:tab/>
      </w:r>
      <w:r w:rsidRPr="00C92F30">
        <w:rPr>
          <w:lang w:val="fr-FR"/>
        </w:rPr>
        <w:t xml:space="preserve">Ces échanges visent particulièrement </w:t>
      </w:r>
      <w:r w:rsidRPr="00C92F30">
        <w:rPr>
          <w:lang w:val="fr-FR" w:eastAsia="en-CA"/>
        </w:rPr>
        <w:t>à encourager les universitaires origina</w:t>
      </w:r>
      <w:r w:rsidRPr="00C92F30">
        <w:rPr>
          <w:lang w:val="fr-FR" w:eastAsia="en-CA"/>
        </w:rPr>
        <w:t>i</w:t>
      </w:r>
      <w:r w:rsidRPr="00C92F30">
        <w:rPr>
          <w:lang w:val="fr-FR" w:eastAsia="en-CA"/>
        </w:rPr>
        <w:t>res d’Afrique subsaharienne à venir enseigner en France et des professeurs français à aller enseigner en Afrique. Dans ce cadre d’« Inter Pares » sont conce</w:t>
      </w:r>
      <w:r w:rsidRPr="00C92F30">
        <w:rPr>
          <w:lang w:val="fr-FR" w:eastAsia="en-CA"/>
        </w:rPr>
        <w:t>r</w:t>
      </w:r>
      <w:r w:rsidRPr="00C92F30">
        <w:rPr>
          <w:lang w:val="fr-FR" w:eastAsia="en-CA"/>
        </w:rPr>
        <w:t>nées les Universités de Nantes, des Antilles-Guyane et l’Université Cheikh Anta Diop de Dakar qui sont toutes des institutions d’enseignement supérieur situées sur des territoires ayant un rapport avec le commerce escl</w:t>
      </w:r>
      <w:r w:rsidRPr="00C92F30">
        <w:rPr>
          <w:lang w:val="fr-FR" w:eastAsia="en-CA"/>
        </w:rPr>
        <w:t>a</w:t>
      </w:r>
      <w:r w:rsidRPr="00C92F30">
        <w:rPr>
          <w:lang w:val="fr-FR" w:eastAsia="en-CA"/>
        </w:rPr>
        <w:t xml:space="preserve">vagiste ; voir le rapport au Premier ministre du </w:t>
      </w:r>
      <w:r w:rsidRPr="00C92F30">
        <w:rPr>
          <w:lang w:val="fr-FR"/>
        </w:rPr>
        <w:t>Comité pour la mémoire de l’esclavage, op. cit., p. 17.</w:t>
      </w:r>
    </w:p>
  </w:footnote>
  <w:footnote w:id="306">
    <w:p w:rsidR="004C50DC" w:rsidRDefault="004C50DC">
      <w:pPr>
        <w:pStyle w:val="Notedebasdepage"/>
      </w:pPr>
      <w:r>
        <w:rPr>
          <w:rStyle w:val="Appelnotedebasdep"/>
        </w:rPr>
        <w:footnoteRef/>
      </w:r>
      <w:r>
        <w:t xml:space="preserve"> </w:t>
      </w:r>
      <w:r>
        <w:tab/>
      </w:r>
      <w:r w:rsidRPr="003343FE">
        <w:rPr>
          <w:i/>
          <w:lang w:val="en-US"/>
        </w:rPr>
        <w:t>Ibid</w:t>
      </w:r>
      <w:r w:rsidRPr="00C92F30">
        <w:rPr>
          <w:lang w:val="en-US"/>
        </w:rPr>
        <w:t>., p.17.</w:t>
      </w:r>
    </w:p>
  </w:footnote>
  <w:footnote w:id="307">
    <w:p w:rsidR="004C50DC" w:rsidRPr="00C92F30" w:rsidRDefault="004C50DC" w:rsidP="004C50DC">
      <w:pPr>
        <w:pStyle w:val="Notedebasdepage"/>
        <w:rPr>
          <w:lang w:val="en-US"/>
        </w:rPr>
      </w:pPr>
      <w:r w:rsidRPr="003343FE">
        <w:rPr>
          <w:rStyle w:val="Appelnotedebasdep"/>
        </w:rPr>
        <w:footnoteRef/>
      </w:r>
      <w:r>
        <w:rPr>
          <w:lang w:val="en-US"/>
        </w:rPr>
        <w:tab/>
      </w:r>
      <w:r w:rsidRPr="00C92F30">
        <w:rPr>
          <w:lang w:val="en-US"/>
        </w:rPr>
        <w:t xml:space="preserve">David Brown, « Ethnic Revival : Perspective on State and Society », </w:t>
      </w:r>
      <w:r w:rsidRPr="00C92F30">
        <w:rPr>
          <w:i/>
          <w:lang w:val="en-US"/>
        </w:rPr>
        <w:t>Third World Quarterly</w:t>
      </w:r>
      <w:r w:rsidRPr="00C92F30">
        <w:rPr>
          <w:lang w:val="en-US"/>
        </w:rPr>
        <w:t>, vol. 11, n</w:t>
      </w:r>
      <w:r w:rsidRPr="00C92F30">
        <w:rPr>
          <w:vertAlign w:val="superscript"/>
          <w:lang w:val="en-US"/>
        </w:rPr>
        <w:t>o</w:t>
      </w:r>
      <w:r w:rsidRPr="00C92F30">
        <w:rPr>
          <w:lang w:val="en-US"/>
        </w:rPr>
        <w:t> 4, 1989, p. 8.</w:t>
      </w:r>
    </w:p>
  </w:footnote>
  <w:footnote w:id="308">
    <w:p w:rsidR="004C50DC" w:rsidRDefault="004C50DC">
      <w:pPr>
        <w:pStyle w:val="Notedebasdepage"/>
      </w:pPr>
      <w:r>
        <w:rPr>
          <w:rStyle w:val="Appelnotedebasdep"/>
        </w:rPr>
        <w:footnoteRef/>
      </w:r>
      <w:r>
        <w:t xml:space="preserve"> </w:t>
      </w:r>
      <w:r>
        <w:tab/>
      </w:r>
      <w:r w:rsidRPr="00C92F30">
        <w:t>Laval Jocelyn Chan Low</w:t>
      </w:r>
      <w:r w:rsidRPr="00C92F30">
        <w:rPr>
          <w:lang w:eastAsia="en-CA"/>
        </w:rPr>
        <w:t xml:space="preserve">, « Les enjeux actuels des débats sur la mémoire et la réparation pour l’esclavage à l’île Maurice », </w:t>
      </w:r>
      <w:r w:rsidRPr="00C92F30">
        <w:rPr>
          <w:i/>
          <w:lang w:eastAsia="en-CA"/>
        </w:rPr>
        <w:t xml:space="preserve">Cahiers d'Études Africaines, </w:t>
      </w:r>
      <w:r w:rsidRPr="00C92F30">
        <w:rPr>
          <w:lang w:eastAsia="en-CA"/>
        </w:rPr>
        <w:t>num</w:t>
      </w:r>
      <w:r w:rsidRPr="00C92F30">
        <w:rPr>
          <w:lang w:eastAsia="en-CA"/>
        </w:rPr>
        <w:t>é</w:t>
      </w:r>
      <w:r w:rsidRPr="00C92F30">
        <w:rPr>
          <w:lang w:eastAsia="en-CA"/>
        </w:rPr>
        <w:t xml:space="preserve">ro thématique </w:t>
      </w:r>
      <w:r w:rsidRPr="00C92F30">
        <w:rPr>
          <w:i/>
          <w:lang w:eastAsia="en-CA"/>
        </w:rPr>
        <w:t>Réparations, restitutions, réconciliations. Entre Afriques, Europe et Amériques</w:t>
      </w:r>
      <w:r w:rsidRPr="00C92F30">
        <w:rPr>
          <w:lang w:eastAsia="en-CA"/>
        </w:rPr>
        <w:t>, vol. 44, cahier 173/174, 2004, p. 401-418, e</w:t>
      </w:r>
      <w:r w:rsidRPr="00C92F30">
        <w:t>n ligne,</w:t>
      </w:r>
      <w:r w:rsidRPr="00C92F30">
        <w:rPr>
          <w:lang w:eastAsia="en-CA"/>
        </w:rPr>
        <w:t xml:space="preserve"> http://www.jstor.org/stable/4393382,  consulté le 08 février 2012, p. 404-405.</w:t>
      </w:r>
    </w:p>
  </w:footnote>
  <w:footnote w:id="309">
    <w:p w:rsidR="004C50DC" w:rsidRDefault="004C50DC">
      <w:pPr>
        <w:pStyle w:val="Notedebasdepage"/>
      </w:pPr>
      <w:r>
        <w:rPr>
          <w:rStyle w:val="Appelnotedebasdep"/>
        </w:rPr>
        <w:footnoteRef/>
      </w:r>
      <w:r>
        <w:t xml:space="preserve"> </w:t>
      </w:r>
      <w:r>
        <w:tab/>
      </w:r>
      <w:r w:rsidRPr="00C92F30">
        <w:t xml:space="preserve">République dominicaine », </w:t>
      </w:r>
      <w:r w:rsidRPr="00C92F30">
        <w:rPr>
          <w:i/>
        </w:rPr>
        <w:t>Encyclopédie Larousse</w:t>
      </w:r>
      <w:r w:rsidRPr="00C92F30">
        <w:t xml:space="preserve">, en ligne, </w:t>
      </w:r>
      <w:hyperlink r:id="rId42" w:history="1">
        <w:r w:rsidRPr="00C92F30">
          <w:rPr>
            <w:rStyle w:val="Lienhypertexte"/>
            <w:color w:val="auto"/>
          </w:rPr>
          <w:t>http://www.larousse.fr/encyclopedie/pays/R%C3%A9publique_dominicaine/116821</w:t>
        </w:r>
      </w:hyperlink>
      <w:r w:rsidRPr="00C92F30">
        <w:t xml:space="preserve">, consulté le 11 février 2014. </w:t>
      </w:r>
    </w:p>
  </w:footnote>
  <w:footnote w:id="310">
    <w:p w:rsidR="004C50DC" w:rsidRDefault="004C50DC">
      <w:pPr>
        <w:pStyle w:val="Notedebasdepage"/>
      </w:pPr>
      <w:r>
        <w:rPr>
          <w:rStyle w:val="Appelnotedebasdep"/>
        </w:rPr>
        <w:footnoteRef/>
      </w:r>
      <w:r>
        <w:t xml:space="preserve"> </w:t>
      </w:r>
      <w:r>
        <w:tab/>
      </w:r>
      <w:r w:rsidRPr="00C92F30">
        <w:rPr>
          <w:rStyle w:val="SansinterligneCar"/>
          <w:sz w:val="24"/>
          <w:lang w:val="fr-FR"/>
        </w:rPr>
        <w:t>Il faut souligner que la loi électorale dominicaine de 2011 a légalement enl</w:t>
      </w:r>
      <w:r w:rsidRPr="00C92F30">
        <w:rPr>
          <w:rStyle w:val="SansinterligneCar"/>
          <w:sz w:val="24"/>
          <w:lang w:val="fr-FR"/>
        </w:rPr>
        <w:t>e</w:t>
      </w:r>
      <w:r w:rsidRPr="00C92F30">
        <w:rPr>
          <w:rStyle w:val="SansinterligneCar"/>
          <w:sz w:val="24"/>
          <w:lang w:val="fr-FR"/>
        </w:rPr>
        <w:t>vé la couleur « indien » des cartes d’identité électorales ; les couleurs officiell</w:t>
      </w:r>
      <w:r w:rsidRPr="00C92F30">
        <w:rPr>
          <w:rStyle w:val="SansinterligneCar"/>
          <w:sz w:val="24"/>
          <w:lang w:val="fr-FR"/>
        </w:rPr>
        <w:t>e</w:t>
      </w:r>
      <w:r w:rsidRPr="00C92F30">
        <w:rPr>
          <w:rStyle w:val="SansinterligneCar"/>
          <w:sz w:val="24"/>
          <w:lang w:val="fr-FR"/>
        </w:rPr>
        <w:t>ment adoptées depuis sontblanc, mulâtre et noir ; voir « Reforma a ley elect</w:t>
      </w:r>
      <w:r w:rsidRPr="00C92F30">
        <w:rPr>
          <w:rStyle w:val="SansinterligneCar"/>
          <w:sz w:val="24"/>
          <w:lang w:val="fr-FR"/>
        </w:rPr>
        <w:t>o</w:t>
      </w:r>
      <w:r w:rsidRPr="00C92F30">
        <w:rPr>
          <w:rStyle w:val="SansinterligneCar"/>
          <w:sz w:val="24"/>
          <w:lang w:val="fr-FR"/>
        </w:rPr>
        <w:t xml:space="preserve">ral eliminaría el color indio, RD será de negros, blancos y mulatos », </w:t>
      </w:r>
      <w:r w:rsidRPr="00C92F30">
        <w:rPr>
          <w:rStyle w:val="SansinterligneCar"/>
          <w:i/>
          <w:sz w:val="24"/>
          <w:lang w:val="fr-FR"/>
        </w:rPr>
        <w:t>Listín Diario</w:t>
      </w:r>
      <w:r w:rsidRPr="00C92F30">
        <w:rPr>
          <w:rStyle w:val="SansinterligneCar"/>
          <w:sz w:val="24"/>
          <w:lang w:val="fr-FR"/>
        </w:rPr>
        <w:t>, 11 novembre 2011 ; voir aussi Leslie Péan, « Haïti-République Dom</w:t>
      </w:r>
      <w:r w:rsidRPr="00C92F30">
        <w:rPr>
          <w:rStyle w:val="SansinterligneCar"/>
          <w:sz w:val="24"/>
          <w:lang w:val="fr-FR"/>
        </w:rPr>
        <w:t>i</w:t>
      </w:r>
      <w:r w:rsidRPr="00C92F30">
        <w:rPr>
          <w:rStyle w:val="SansinterligneCar"/>
          <w:sz w:val="24"/>
          <w:lang w:val="fr-FR"/>
        </w:rPr>
        <w:t xml:space="preserve">nicaine. Une responsabilité partagée dans le crime (1de 3) », </w:t>
      </w:r>
      <w:r w:rsidRPr="00C92F30">
        <w:rPr>
          <w:rStyle w:val="SansinterligneCar"/>
          <w:i/>
          <w:sz w:val="24"/>
          <w:lang w:val="fr-FR"/>
        </w:rPr>
        <w:t>AlterPresse</w:t>
      </w:r>
      <w:r w:rsidRPr="00C92F30">
        <w:rPr>
          <w:rStyle w:val="SansinterligneCar"/>
          <w:sz w:val="24"/>
          <w:lang w:val="fr-FR"/>
        </w:rPr>
        <w:t>, en ligne,</w:t>
      </w:r>
      <w:hyperlink r:id="rId43" w:anchor=".UwU53PldW8A" w:history="1">
        <w:r w:rsidRPr="00C92F30">
          <w:rPr>
            <w:rStyle w:val="SansinterligneCar"/>
            <w:sz w:val="24"/>
            <w:lang w:val="fr-FR"/>
          </w:rPr>
          <w:t>http://www.alterpresse.org/spip.php?article15298#.UwU53PldW8A</w:t>
        </w:r>
      </w:hyperlink>
      <w:r w:rsidRPr="00C92F30">
        <w:rPr>
          <w:rStyle w:val="SansinterligneCar"/>
          <w:sz w:val="24"/>
          <w:lang w:val="fr-FR"/>
        </w:rPr>
        <w:t>, consulté le 18 février 2014.</w:t>
      </w:r>
    </w:p>
  </w:footnote>
  <w:footnote w:id="311">
    <w:p w:rsidR="004C50DC" w:rsidRPr="00C92F30" w:rsidRDefault="004C50DC" w:rsidP="004C50DC">
      <w:pPr>
        <w:pStyle w:val="Notedebasdepage"/>
      </w:pPr>
      <w:r w:rsidRPr="003343FE">
        <w:rPr>
          <w:rStyle w:val="Appelnotedebasdep"/>
        </w:rPr>
        <w:footnoteRef/>
      </w:r>
      <w:r>
        <w:tab/>
      </w:r>
      <w:r w:rsidRPr="00C92F30">
        <w:t xml:space="preserve">Nous pouvons citer l’écrivain dominicain Carlos Agramonte, auteur de l’ouvrage </w:t>
      </w:r>
      <w:r w:rsidRPr="00C92F30">
        <w:rPr>
          <w:i/>
        </w:rPr>
        <w:t>El sacerdote inglés</w:t>
      </w:r>
      <w:r w:rsidRPr="00C92F30">
        <w:t xml:space="preserve">, éditions Palibrio, 2013, et du documentaire </w:t>
      </w:r>
      <w:r w:rsidRPr="00C92F30">
        <w:rPr>
          <w:i/>
        </w:rPr>
        <w:t>El precio del Azúcar (2006).</w:t>
      </w:r>
      <w:r w:rsidRPr="00C92F30">
        <w:t>Ila été contraint de quitter la République Dominica</w:t>
      </w:r>
      <w:r w:rsidRPr="00C92F30">
        <w:t>i</w:t>
      </w:r>
      <w:r w:rsidRPr="00C92F30">
        <w:t xml:space="preserve">ne le 28 mars 2009, en raison de menaces dont il a été l’objet. </w:t>
      </w:r>
    </w:p>
  </w:footnote>
  <w:footnote w:id="312">
    <w:p w:rsidR="004C50DC" w:rsidRDefault="004C50DC">
      <w:pPr>
        <w:pStyle w:val="Notedebasdepage"/>
      </w:pPr>
      <w:r>
        <w:rPr>
          <w:rStyle w:val="Appelnotedebasdep"/>
        </w:rPr>
        <w:footnoteRef/>
      </w:r>
      <w:r>
        <w:t xml:space="preserve"> </w:t>
      </w:r>
      <w:r>
        <w:tab/>
      </w:r>
      <w:r w:rsidRPr="00C92F30">
        <w:rPr>
          <w:lang w:val="fr-FR"/>
        </w:rPr>
        <w:t>Cette décision concerne en majorité des dizaines de milliers de citoyens d</w:t>
      </w:r>
      <w:r w:rsidRPr="00C92F30">
        <w:rPr>
          <w:lang w:val="fr-FR"/>
        </w:rPr>
        <w:t>o</w:t>
      </w:r>
      <w:r w:rsidRPr="00C92F30">
        <w:rPr>
          <w:lang w:val="fr-FR"/>
        </w:rPr>
        <w:t xml:space="preserve">minicains d’ascendance haïtienne.  </w:t>
      </w:r>
    </w:p>
  </w:footnote>
  <w:footnote w:id="313">
    <w:p w:rsidR="004C50DC" w:rsidRDefault="004C50DC">
      <w:pPr>
        <w:pStyle w:val="Notedebasdepage"/>
      </w:pPr>
      <w:r>
        <w:rPr>
          <w:rStyle w:val="Appelnotedebasdep"/>
        </w:rPr>
        <w:footnoteRef/>
      </w:r>
      <w:r>
        <w:t xml:space="preserve"> </w:t>
      </w:r>
      <w:r>
        <w:tab/>
      </w:r>
      <w:r w:rsidRPr="00C92F30">
        <w:rPr>
          <w:lang w:val="fr-FR"/>
        </w:rPr>
        <w:t xml:space="preserve">À ce sujet voir Joseph C. Malone, « La sentencia del TC », </w:t>
      </w:r>
      <w:r w:rsidRPr="00C92F30">
        <w:rPr>
          <w:i/>
          <w:lang w:val="fr-FR"/>
        </w:rPr>
        <w:t>Listin Diario</w:t>
      </w:r>
      <w:r w:rsidRPr="00C92F30">
        <w:rPr>
          <w:lang w:val="fr-FR"/>
        </w:rPr>
        <w:t>, 30 septembre 2013, en ligne</w:t>
      </w:r>
      <w:r w:rsidRPr="00C92F30">
        <w:t xml:space="preserve">, </w:t>
      </w:r>
      <w:hyperlink r:id="rId44" w:history="1">
        <w:r w:rsidRPr="00C92F30">
          <w:rPr>
            <w:rStyle w:val="Lienhypertexte"/>
            <w:lang w:val="fr-FR"/>
          </w:rPr>
          <w:t>http://www.listindiario.com/puntos-de-vista/2013/09/30/294004/la-sentencia-del-tc</w:t>
        </w:r>
      </w:hyperlink>
      <w:r w:rsidRPr="00C92F30">
        <w:rPr>
          <w:lang w:val="fr-FR"/>
        </w:rPr>
        <w:t>, consulté le 15 octobre 2013.</w:t>
      </w:r>
    </w:p>
  </w:footnote>
  <w:footnote w:id="314">
    <w:p w:rsidR="004C50DC" w:rsidRDefault="004C50DC">
      <w:pPr>
        <w:pStyle w:val="Notedebasdepage"/>
      </w:pPr>
      <w:r>
        <w:rPr>
          <w:rStyle w:val="Appelnotedebasdep"/>
        </w:rPr>
        <w:footnoteRef/>
      </w:r>
      <w:r>
        <w:t xml:space="preserve"> </w:t>
      </w:r>
      <w:r>
        <w:tab/>
      </w:r>
      <w:r w:rsidRPr="00C92F30">
        <w:rPr>
          <w:lang w:eastAsia="en-CA"/>
        </w:rPr>
        <w:t>Avelino Stanley</w:t>
      </w:r>
      <w:r w:rsidRPr="00C92F30">
        <w:t>, « Yo tambien soy hijo de un extranjero en situacion irreg</w:t>
      </w:r>
      <w:r w:rsidRPr="00C92F30">
        <w:t>u</w:t>
      </w:r>
      <w:r w:rsidRPr="00C92F30">
        <w:t xml:space="preserve">lar », </w:t>
      </w:r>
      <w:r w:rsidRPr="00C92F30">
        <w:rPr>
          <w:i/>
        </w:rPr>
        <w:t>Journal Hoy</w:t>
      </w:r>
      <w:r w:rsidRPr="00C92F30">
        <w:t xml:space="preserve">, samedi 5 octobre 2013, en ligne, </w:t>
      </w:r>
      <w:hyperlink r:id="rId45" w:history="1">
        <w:r w:rsidRPr="00C92F30">
          <w:rPr>
            <w:rStyle w:val="Lienhypertexte"/>
          </w:rPr>
          <w:t>http://hoy.com.do/app/frontpage.aspx</w:t>
        </w:r>
      </w:hyperlink>
      <w:r w:rsidRPr="00C92F30">
        <w:t xml:space="preserve">, consulté le 15 octobre 2013. </w:t>
      </w:r>
    </w:p>
  </w:footnote>
  <w:footnote w:id="315">
    <w:p w:rsidR="004C50DC" w:rsidRDefault="004C50DC">
      <w:pPr>
        <w:pStyle w:val="Notedebasdepage"/>
      </w:pPr>
      <w:r>
        <w:rPr>
          <w:rStyle w:val="Appelnotedebasdep"/>
        </w:rPr>
        <w:footnoteRef/>
      </w:r>
      <w:r>
        <w:t xml:space="preserve"> </w:t>
      </w:r>
      <w:r>
        <w:tab/>
      </w:r>
      <w:r w:rsidRPr="00C92F30">
        <w:t xml:space="preserve">Le tango, avant de désigner la danse très rythmée d’Argentine, a eu divers sens par le passé dont le premier établit son lien avec la présence des esclaves noirs sur le territoire ; « tango » signifiait à l’époque « l’endroit où le négrier parquait les esclaves avant l’embarquement » ; Michel Plisson, </w:t>
      </w:r>
      <w:r w:rsidRPr="00C92F30">
        <w:rPr>
          <w:i/>
        </w:rPr>
        <w:t>Ta</w:t>
      </w:r>
      <w:r w:rsidRPr="00C92F30">
        <w:rPr>
          <w:i/>
        </w:rPr>
        <w:t>n</w:t>
      </w:r>
      <w:r w:rsidRPr="00C92F30">
        <w:rPr>
          <w:i/>
        </w:rPr>
        <w:t>go</w:t>
      </w:r>
      <w:r w:rsidRPr="00C92F30">
        <w:t> du </w:t>
      </w:r>
      <w:r w:rsidRPr="00C92F30">
        <w:rPr>
          <w:i/>
        </w:rPr>
        <w:t>noir</w:t>
      </w:r>
      <w:r w:rsidRPr="00C92F30">
        <w:t> au </w:t>
      </w:r>
      <w:r w:rsidRPr="00C92F30">
        <w:rPr>
          <w:i/>
        </w:rPr>
        <w:t>blanc</w:t>
      </w:r>
      <w:r w:rsidRPr="00C92F30">
        <w:t xml:space="preserve">, Paris et Arles, Cité de la Musique et Actes Sud, 2001, </w:t>
      </w:r>
      <w:r>
        <w:t>p</w:t>
      </w:r>
      <w:r w:rsidRPr="00C92F30">
        <w:t>p. 207-209.</w:t>
      </w:r>
    </w:p>
  </w:footnote>
  <w:footnote w:id="316">
    <w:p w:rsidR="004C50DC" w:rsidRDefault="004C50DC">
      <w:pPr>
        <w:pStyle w:val="Notedebasdepage"/>
      </w:pPr>
      <w:r>
        <w:rPr>
          <w:rStyle w:val="Appelnotedebasdep"/>
        </w:rPr>
        <w:footnoteRef/>
      </w:r>
      <w:r>
        <w:t xml:space="preserve"> </w:t>
      </w:r>
      <w:r>
        <w:tab/>
      </w:r>
      <w:r w:rsidRPr="003343FE">
        <w:rPr>
          <w:i/>
          <w:lang w:val="fr-FR"/>
        </w:rPr>
        <w:t>Ibid</w:t>
      </w:r>
      <w:r w:rsidRPr="00C92F30">
        <w:rPr>
          <w:lang w:val="fr-FR"/>
        </w:rPr>
        <w:t>.</w:t>
      </w:r>
    </w:p>
  </w:footnote>
  <w:footnote w:id="317">
    <w:p w:rsidR="004C50DC" w:rsidRPr="00C92F30" w:rsidRDefault="004C50DC" w:rsidP="004C50DC">
      <w:pPr>
        <w:pStyle w:val="Notedebasdepage"/>
      </w:pPr>
      <w:r w:rsidRPr="003343FE">
        <w:rPr>
          <w:rStyle w:val="Appelnotedebasdep"/>
        </w:rPr>
        <w:footnoteRef/>
      </w:r>
      <w:r>
        <w:tab/>
      </w:r>
      <w:r w:rsidRPr="00C92F30">
        <w:t>Voir Ana Lucia Araujo, Mémoires de l’esclavage et de la traite des esclaves dans l’Atlantique Sud. Enjeux de la patrimonialisation au Brésil et au B</w:t>
      </w:r>
      <w:r w:rsidRPr="00C92F30">
        <w:t>é</w:t>
      </w:r>
      <w:r w:rsidRPr="00C92F30">
        <w:t>nin, Thèse de doctorat, Département d’histoire, Université Laval, Québec, 2007, p. 24.</w:t>
      </w:r>
    </w:p>
  </w:footnote>
  <w:footnote w:id="318">
    <w:p w:rsidR="004C50DC" w:rsidRDefault="004C50DC">
      <w:pPr>
        <w:pStyle w:val="Notedebasdepage"/>
      </w:pPr>
      <w:r>
        <w:rPr>
          <w:rStyle w:val="Appelnotedebasdep"/>
        </w:rPr>
        <w:footnoteRef/>
      </w:r>
      <w:r>
        <w:t xml:space="preserve"> </w:t>
      </w:r>
      <w:r>
        <w:tab/>
      </w:r>
      <w:r w:rsidRPr="00C92F30">
        <w:rPr>
          <w:lang w:val="fr-FR"/>
        </w:rPr>
        <w:t>Ana Lucia Araujo et Anna Seiderer, « Passé colonial et  modalités de m</w:t>
      </w:r>
      <w:r w:rsidRPr="00C92F30">
        <w:rPr>
          <w:lang w:val="fr-FR"/>
        </w:rPr>
        <w:t>i</w:t>
      </w:r>
      <w:r w:rsidRPr="00C92F30">
        <w:rPr>
          <w:lang w:val="fr-FR"/>
        </w:rPr>
        <w:t xml:space="preserve">se en mémoire de l’esclavage », </w:t>
      </w:r>
      <w:r w:rsidRPr="00C92F30">
        <w:rPr>
          <w:i/>
          <w:lang w:val="fr-FR"/>
        </w:rPr>
        <w:t>Conserveries mémorielles</w:t>
      </w:r>
      <w:r w:rsidRPr="00C92F30">
        <w:rPr>
          <w:lang w:val="fr-FR"/>
        </w:rPr>
        <w:t>, vol. 3, 2007, en ligne, http//cm.revues.org/109., consulté le 15 octobre 2013.</w:t>
      </w:r>
    </w:p>
  </w:footnote>
  <w:footnote w:id="319">
    <w:p w:rsidR="004C50DC" w:rsidRPr="00C92F30" w:rsidRDefault="004C50DC" w:rsidP="004C50DC">
      <w:pPr>
        <w:pStyle w:val="Notedebasdepage"/>
      </w:pPr>
      <w:r w:rsidRPr="003343FE">
        <w:rPr>
          <w:rStyle w:val="Appelnotedebasdep"/>
        </w:rPr>
        <w:footnoteRef/>
      </w:r>
      <w:r>
        <w:tab/>
      </w:r>
      <w:r w:rsidRPr="00C92F30">
        <w:t xml:space="preserve">Carlo Avierl Célius, « L’esclavage au musée. Récit d’un refoulement », </w:t>
      </w:r>
      <w:r w:rsidRPr="00C92F30">
        <w:rPr>
          <w:i/>
          <w:iCs/>
        </w:rPr>
        <w:t>L’Homme</w:t>
      </w:r>
      <w:r w:rsidRPr="00C92F30">
        <w:t xml:space="preserve">, numéro thématique </w:t>
      </w:r>
      <w:r w:rsidRPr="00C92F30">
        <w:rPr>
          <w:i/>
        </w:rPr>
        <w:t>De l’esclavage</w:t>
      </w:r>
      <w:r w:rsidRPr="00C92F30">
        <w:t>, tome 38, n</w:t>
      </w:r>
      <w:r w:rsidRPr="00C92F30">
        <w:rPr>
          <w:vertAlign w:val="superscript"/>
        </w:rPr>
        <w:t>o </w:t>
      </w:r>
      <w:r w:rsidRPr="00C92F30">
        <w:t>145, 1998, en l</w:t>
      </w:r>
      <w:r w:rsidRPr="00C92F30">
        <w:t>i</w:t>
      </w:r>
      <w:r w:rsidRPr="00C92F30">
        <w:t>gne,http://www.persee.fr/doc/hom_0439-4216_1998_num_38_</w:t>
      </w:r>
      <w:r w:rsidRPr="00C92F30">
        <w:rPr>
          <w:color w:val="auto"/>
          <w:lang w:val="fr-FR"/>
        </w:rPr>
        <w:t>145_370431, consulté le 9 février 2012.</w:t>
      </w:r>
    </w:p>
  </w:footnote>
  <w:footnote w:id="320">
    <w:p w:rsidR="004C50DC" w:rsidRDefault="004C50DC">
      <w:pPr>
        <w:pStyle w:val="Notedebasdepage"/>
      </w:pPr>
      <w:r>
        <w:rPr>
          <w:rStyle w:val="Appelnotedebasdep"/>
        </w:rPr>
        <w:footnoteRef/>
      </w:r>
      <w:r>
        <w:t xml:space="preserve"> </w:t>
      </w:r>
      <w:r>
        <w:tab/>
      </w:r>
      <w:r w:rsidRPr="00C92F30">
        <w:t xml:space="preserve">Francine Saillant, « Le navire négrier. Refiguration identitaire et esclavage au Brésil », </w:t>
      </w:r>
      <w:r w:rsidRPr="00C92F30">
        <w:rPr>
          <w:i/>
        </w:rPr>
        <w:t>Ethnologies</w:t>
      </w:r>
      <w:r w:rsidRPr="00C92F30">
        <w:t xml:space="preserve">, numéro thématique </w:t>
      </w:r>
      <w:r w:rsidRPr="00C92F30">
        <w:rPr>
          <w:i/>
        </w:rPr>
        <w:t>Figures noires / Black Images</w:t>
      </w:r>
      <w:r w:rsidRPr="00C92F30">
        <w:t>, vol. 31, n</w:t>
      </w:r>
      <w:r w:rsidRPr="00C92F30">
        <w:rPr>
          <w:vertAlign w:val="superscript"/>
        </w:rPr>
        <w:t>o</w:t>
      </w:r>
      <w:r w:rsidRPr="00C92F30">
        <w:t> 2, 2010, p. 69-97. Dans la vidéo réalisée et transcrite dans cet art</w:t>
      </w:r>
      <w:r w:rsidRPr="00C92F30">
        <w:t>i</w:t>
      </w:r>
      <w:r w:rsidRPr="00C92F30">
        <w:t xml:space="preserve">cle, l’auteure analyse la narration théâtrale que livre une mère de saint d’un </w:t>
      </w:r>
      <w:r w:rsidRPr="00C92F30">
        <w:rPr>
          <w:i/>
        </w:rPr>
        <w:t xml:space="preserve">terreiro </w:t>
      </w:r>
      <w:r w:rsidRPr="00C92F30">
        <w:t>de Rio de Janeiro au sujet du départ, du voyage et de l’arrivée des e</w:t>
      </w:r>
      <w:r w:rsidRPr="00C92F30">
        <w:t>s</w:t>
      </w:r>
      <w:r w:rsidRPr="00C92F30">
        <w:t>claves au Brésil.</w:t>
      </w:r>
    </w:p>
  </w:footnote>
  <w:footnote w:id="321">
    <w:p w:rsidR="004C50DC" w:rsidRDefault="004C50DC">
      <w:pPr>
        <w:pStyle w:val="Notedebasdepage"/>
      </w:pPr>
      <w:r>
        <w:rPr>
          <w:rStyle w:val="Appelnotedebasdep"/>
        </w:rPr>
        <w:footnoteRef/>
      </w:r>
      <w:r>
        <w:t xml:space="preserve"> </w:t>
      </w:r>
      <w:r>
        <w:tab/>
      </w:r>
      <w:r w:rsidRPr="00C92F30">
        <w:t xml:space="preserve">La </w:t>
      </w:r>
      <w:r w:rsidRPr="00C92F30">
        <w:rPr>
          <w:i/>
        </w:rPr>
        <w:t>capoeira</w:t>
      </w:r>
      <w:r w:rsidRPr="00C92F30">
        <w:t xml:space="preserve"> est un art martial d’origine brésilienne, combinant danse rythmée et acrobaties, créé par les descendants d’esclaves africains avec l’influence des cré</w:t>
      </w:r>
      <w:r w:rsidRPr="00C92F30">
        <w:t>o</w:t>
      </w:r>
      <w:r w:rsidRPr="00C92F30">
        <w:t>les brésiliens au cours du XVI</w:t>
      </w:r>
      <w:r w:rsidRPr="00C92F30">
        <w:rPr>
          <w:vertAlign w:val="superscript"/>
        </w:rPr>
        <w:t>e</w:t>
      </w:r>
      <w:r w:rsidRPr="00C92F30">
        <w:t xml:space="preserve"> siècle.</w:t>
      </w:r>
    </w:p>
  </w:footnote>
  <w:footnote w:id="322">
    <w:p w:rsidR="004C50DC" w:rsidRDefault="004C50DC">
      <w:pPr>
        <w:pStyle w:val="Notedebasdepage"/>
      </w:pPr>
      <w:r>
        <w:rPr>
          <w:rStyle w:val="Appelnotedebasdep"/>
        </w:rPr>
        <w:footnoteRef/>
      </w:r>
      <w:r>
        <w:t xml:space="preserve"> </w:t>
      </w:r>
      <w:r>
        <w:tab/>
      </w:r>
      <w:r w:rsidRPr="00C92F30">
        <w:rPr>
          <w:lang w:val="fr-FR"/>
        </w:rPr>
        <w:t xml:space="preserve">Pour de plus amples renseignements, voir Jean Hébrard, </w:t>
      </w:r>
      <w:r w:rsidRPr="00C92F30">
        <w:rPr>
          <w:i/>
          <w:lang w:val="fr-FR"/>
        </w:rPr>
        <w:t>Brésil, quatre si</w:t>
      </w:r>
      <w:r w:rsidRPr="00C92F30">
        <w:rPr>
          <w:i/>
          <w:lang w:val="fr-FR"/>
        </w:rPr>
        <w:t>è</w:t>
      </w:r>
      <w:r w:rsidRPr="00C92F30">
        <w:rPr>
          <w:i/>
          <w:lang w:val="fr-FR"/>
        </w:rPr>
        <w:t>cles d’esclavage</w:t>
      </w:r>
      <w:r w:rsidRPr="00C92F30">
        <w:rPr>
          <w:lang w:val="fr-FR"/>
        </w:rPr>
        <w:t>…op. cit.</w:t>
      </w:r>
    </w:p>
  </w:footnote>
  <w:footnote w:id="323">
    <w:p w:rsidR="004C50DC" w:rsidRDefault="004C50DC">
      <w:pPr>
        <w:pStyle w:val="Notedebasdepage"/>
      </w:pPr>
      <w:r>
        <w:rPr>
          <w:rStyle w:val="Appelnotedebasdep"/>
        </w:rPr>
        <w:footnoteRef/>
      </w:r>
      <w:r>
        <w:t xml:space="preserve"> </w:t>
      </w:r>
      <w:r>
        <w:tab/>
      </w:r>
      <w:r w:rsidRPr="00C92F30">
        <w:rPr>
          <w:lang w:val="fr-FR"/>
        </w:rPr>
        <w:t>Le rastafarisme est une religion ou un mode de vie des « rastas », desce</w:t>
      </w:r>
      <w:r w:rsidRPr="00C92F30">
        <w:rPr>
          <w:lang w:val="fr-FR"/>
        </w:rPr>
        <w:t>n</w:t>
      </w:r>
      <w:r w:rsidRPr="00C92F30">
        <w:rPr>
          <w:lang w:val="fr-FR"/>
        </w:rPr>
        <w:t>dants d’esclaves noirs en Jamaïque, qui se caractérise par de nombreuses proph</w:t>
      </w:r>
      <w:r w:rsidRPr="00C92F30">
        <w:rPr>
          <w:lang w:val="fr-FR"/>
        </w:rPr>
        <w:t>é</w:t>
      </w:r>
      <w:r w:rsidRPr="00C92F30">
        <w:rPr>
          <w:lang w:val="fr-FR"/>
        </w:rPr>
        <w:t>ties, mythologies et légendes. Son principal dieu est Jah Rastafari (Haïlé Sélassié I</w:t>
      </w:r>
      <w:r w:rsidRPr="00C92F30">
        <w:rPr>
          <w:vertAlign w:val="superscript"/>
          <w:lang w:val="fr-FR"/>
        </w:rPr>
        <w:t>er</w:t>
      </w:r>
      <w:r w:rsidRPr="00C92F30">
        <w:rPr>
          <w:lang w:val="fr-FR"/>
        </w:rPr>
        <w:t>), dernier empereur d’Éthiopie.</w:t>
      </w:r>
    </w:p>
  </w:footnote>
  <w:footnote w:id="324">
    <w:p w:rsidR="004C50DC" w:rsidRDefault="004C50DC">
      <w:pPr>
        <w:pStyle w:val="Notedebasdepage"/>
      </w:pPr>
      <w:r>
        <w:rPr>
          <w:rStyle w:val="Appelnotedebasdep"/>
        </w:rPr>
        <w:footnoteRef/>
      </w:r>
      <w:r>
        <w:t xml:space="preserve"> </w:t>
      </w:r>
      <w:r>
        <w:tab/>
      </w:r>
      <w:r w:rsidRPr="00C92F30">
        <w:rPr>
          <w:lang w:val="fr-FR"/>
        </w:rPr>
        <w:t xml:space="preserve">Voir Yannick Le Roux, Réginald Auger et Nathalie Cazelles, </w:t>
      </w:r>
      <w:r w:rsidRPr="00C92F30">
        <w:rPr>
          <w:i/>
          <w:lang w:val="fr-FR"/>
        </w:rPr>
        <w:t xml:space="preserve">Les jésuites et l’esclavage. Loyola : l’habitation des jésuites de Rémire en Guyane française, </w:t>
      </w:r>
      <w:r w:rsidRPr="00C92F30">
        <w:rPr>
          <w:lang w:val="fr-FR"/>
        </w:rPr>
        <w:t>Montréal, Presses de l’Université de Québec, 2009.</w:t>
      </w:r>
    </w:p>
  </w:footnote>
  <w:footnote w:id="325">
    <w:p w:rsidR="004C50DC" w:rsidRDefault="004C50DC">
      <w:pPr>
        <w:pStyle w:val="Notedebasdepage"/>
      </w:pPr>
      <w:r>
        <w:rPr>
          <w:rStyle w:val="Appelnotedebasdep"/>
        </w:rPr>
        <w:footnoteRef/>
      </w:r>
      <w:r>
        <w:t xml:space="preserve"> </w:t>
      </w:r>
      <w:r>
        <w:tab/>
      </w:r>
      <w:r w:rsidRPr="00C92F30">
        <w:rPr>
          <w:lang w:val="en-US"/>
        </w:rPr>
        <w:t xml:space="preserve">Voir, entre autres, Richard Wright, « Introduction »,dans St. Clair Drake et Horace R. Cayton, </w:t>
      </w:r>
      <w:r w:rsidRPr="00C92F30">
        <w:rPr>
          <w:i/>
          <w:lang w:val="en-US"/>
        </w:rPr>
        <w:t>Black Metropolis : A study of Negro Life in Northern City</w:t>
      </w:r>
      <w:r w:rsidRPr="00C92F30">
        <w:rPr>
          <w:lang w:val="en-US"/>
        </w:rPr>
        <w:t>, Harcourt, Brace and Company, San Diego (CA), 1945 ; voir aussi Richard Wright,</w:t>
      </w:r>
      <w:r w:rsidRPr="00C92F30">
        <w:rPr>
          <w:i/>
          <w:iCs/>
          <w:lang w:val="en-US" w:eastAsia="en-CA"/>
        </w:rPr>
        <w:t xml:space="preserve"> White Man, Listen !</w:t>
      </w:r>
      <w:r w:rsidRPr="00C92F30">
        <w:rPr>
          <w:lang w:val="en-US" w:eastAsia="en-CA"/>
        </w:rPr>
        <w:t>New York, Doubleday, 1957.</w:t>
      </w:r>
    </w:p>
  </w:footnote>
  <w:footnote w:id="326">
    <w:p w:rsidR="004C50DC" w:rsidRDefault="004C50DC">
      <w:pPr>
        <w:pStyle w:val="Notedebasdepage"/>
      </w:pPr>
      <w:r>
        <w:rPr>
          <w:rStyle w:val="Appelnotedebasdep"/>
        </w:rPr>
        <w:footnoteRef/>
      </w:r>
      <w:r>
        <w:t xml:space="preserve"> </w:t>
      </w:r>
      <w:r>
        <w:tab/>
      </w:r>
      <w:r w:rsidRPr="00C92F30">
        <w:t>Nous citons, par exemple, parmi les œuvres de Gwendolyn Brooks</w:t>
      </w:r>
      <w:r w:rsidRPr="00C92F30">
        <w:rPr>
          <w:i/>
          <w:iCs/>
          <w:lang w:eastAsia="en-CA"/>
        </w:rPr>
        <w:t>, Negro Hero</w:t>
      </w:r>
      <w:r w:rsidRPr="00C92F30">
        <w:rPr>
          <w:lang w:eastAsia="en-CA"/>
        </w:rPr>
        <w:t xml:space="preserve">, 1945 ; </w:t>
      </w:r>
      <w:r w:rsidRPr="00C92F30">
        <w:rPr>
          <w:i/>
          <w:iCs/>
          <w:lang w:eastAsia="en-CA"/>
        </w:rPr>
        <w:t>Malcolm X</w:t>
      </w:r>
      <w:r w:rsidRPr="00C92F30">
        <w:rPr>
          <w:lang w:eastAsia="en-CA"/>
        </w:rPr>
        <w:t xml:space="preserve">, 1968 ; </w:t>
      </w:r>
      <w:r w:rsidRPr="00C92F30">
        <w:rPr>
          <w:i/>
          <w:iCs/>
          <w:lang w:eastAsia="en-CA"/>
        </w:rPr>
        <w:t>A Capsule Course in Black Poetry Writing</w:t>
      </w:r>
      <w:r w:rsidRPr="00C92F30">
        <w:rPr>
          <w:lang w:eastAsia="en-CA"/>
        </w:rPr>
        <w:t>, 1975.</w:t>
      </w:r>
    </w:p>
  </w:footnote>
  <w:footnote w:id="327">
    <w:p w:rsidR="004C50DC" w:rsidRPr="00C92F30" w:rsidRDefault="004C50DC" w:rsidP="004C50DC">
      <w:pPr>
        <w:pStyle w:val="Notedebasdepage"/>
      </w:pPr>
      <w:r w:rsidRPr="003343FE">
        <w:rPr>
          <w:rStyle w:val="Appelnotedebasdep"/>
        </w:rPr>
        <w:footnoteRef/>
      </w:r>
      <w:r>
        <w:tab/>
      </w:r>
      <w:r w:rsidRPr="00C92F30">
        <w:t>Aujourd’hui, ce musée s’appelle le « Musée communautaire d’Anacostia » (</w:t>
      </w:r>
      <w:r w:rsidRPr="00C92F30">
        <w:rPr>
          <w:i/>
        </w:rPr>
        <w:t>Anacostia Community Museum</w:t>
      </w:r>
      <w:r w:rsidRPr="00C92F30">
        <w:t xml:space="preserve">) ; situé à Washington DC, il est rattaché à la Smithsonian Institution et présente des expositions sur l’histoire et la culture afro-américaines. </w:t>
      </w:r>
    </w:p>
  </w:footnote>
  <w:footnote w:id="328">
    <w:p w:rsidR="004C50DC" w:rsidRDefault="004C50DC">
      <w:pPr>
        <w:pStyle w:val="Notedebasdepage"/>
      </w:pPr>
      <w:r>
        <w:rPr>
          <w:rStyle w:val="Appelnotedebasdep"/>
        </w:rPr>
        <w:footnoteRef/>
      </w:r>
      <w:r>
        <w:t xml:space="preserve"> </w:t>
      </w:r>
      <w:r>
        <w:tab/>
      </w:r>
      <w:r w:rsidRPr="00C92F30">
        <w:rPr>
          <w:lang w:val="fr-FR"/>
        </w:rPr>
        <w:t xml:space="preserve">Carroll R. Gibbs, dans </w:t>
      </w:r>
      <w:r w:rsidRPr="00C92F30">
        <w:rPr>
          <w:i/>
          <w:lang w:val="fr-FR"/>
        </w:rPr>
        <w:t>Black Explorers : 2300 B.C. to the Present</w:t>
      </w:r>
      <w:r w:rsidRPr="00C92F30">
        <w:rPr>
          <w:lang w:val="fr-FR"/>
        </w:rPr>
        <w:t xml:space="preserve"> (Silver Spring, MD, Three Dimensional Publishing, 2003), parle de découvertes scientifiques et techniques faites par les Noirs ; voir aussi Kathleen M. g, V</w:t>
      </w:r>
      <w:r w:rsidRPr="00C92F30">
        <w:rPr>
          <w:lang w:val="fr-FR"/>
        </w:rPr>
        <w:t>a</w:t>
      </w:r>
      <w:r w:rsidRPr="00C92F30">
        <w:rPr>
          <w:lang w:val="fr-FR"/>
        </w:rPr>
        <w:t xml:space="preserve">lerie Babb etCarroll R. Gibbs, </w:t>
      </w:r>
      <w:r w:rsidRPr="00C92F30">
        <w:rPr>
          <w:i/>
          <w:lang w:val="fr-FR"/>
        </w:rPr>
        <w:t xml:space="preserve">Black Georgetown Remembered. </w:t>
      </w:r>
      <w:r w:rsidRPr="00C92F30">
        <w:rPr>
          <w:i/>
          <w:lang w:val="en-US"/>
        </w:rPr>
        <w:t>A History of its Black Co</w:t>
      </w:r>
      <w:r w:rsidRPr="00C92F30">
        <w:rPr>
          <w:i/>
          <w:lang w:val="en-US"/>
        </w:rPr>
        <w:t>m</w:t>
      </w:r>
      <w:r w:rsidRPr="00C92F30">
        <w:rPr>
          <w:i/>
          <w:lang w:val="en-US"/>
        </w:rPr>
        <w:t>munity from the founding of « The Town of George » in 1751to the present day</w:t>
      </w:r>
      <w:r w:rsidRPr="00C92F30">
        <w:rPr>
          <w:lang w:val="en-US"/>
        </w:rPr>
        <w:t xml:space="preserve">, Washington, DC, Georgetown University Press, 1991. </w:t>
      </w:r>
    </w:p>
  </w:footnote>
  <w:footnote w:id="329">
    <w:p w:rsidR="004C50DC" w:rsidRDefault="004C50DC">
      <w:pPr>
        <w:pStyle w:val="Notedebasdepage"/>
      </w:pPr>
      <w:r>
        <w:rPr>
          <w:rStyle w:val="Appelnotedebasdep"/>
        </w:rPr>
        <w:footnoteRef/>
      </w:r>
      <w:r>
        <w:t xml:space="preserve"> </w:t>
      </w:r>
      <w:r>
        <w:tab/>
      </w:r>
      <w:r w:rsidRPr="00C92F30">
        <w:rPr>
          <w:lang w:val="fr-FR"/>
        </w:rPr>
        <w:t>Par exemple, la maison de Frederick Douglas à Anacostia présente l’histoire des luttes pour l’abolition au XIX</w:t>
      </w:r>
      <w:r w:rsidRPr="00C92F30">
        <w:rPr>
          <w:vertAlign w:val="superscript"/>
          <w:lang w:val="fr-FR"/>
        </w:rPr>
        <w:t>e</w:t>
      </w:r>
      <w:r w:rsidRPr="00C92F30">
        <w:rPr>
          <w:lang w:val="fr-FR"/>
        </w:rPr>
        <w:t xml:space="preserve"> siècle. </w:t>
      </w:r>
    </w:p>
  </w:footnote>
  <w:footnote w:id="330">
    <w:p w:rsidR="004C50DC" w:rsidRPr="00C92F30" w:rsidRDefault="004C50DC" w:rsidP="004C50DC">
      <w:pPr>
        <w:pStyle w:val="Notedebasdepage"/>
      </w:pPr>
      <w:r w:rsidRPr="003343FE">
        <w:rPr>
          <w:rStyle w:val="Appelnotedebasdep"/>
        </w:rPr>
        <w:footnoteRef/>
      </w:r>
      <w:r>
        <w:tab/>
      </w:r>
      <w:r w:rsidRPr="00C92F30">
        <w:t>Ces chemins de fer permettaient aux esclaves de fuir vers les États du nord où l’esclavage a été déjà aboli ou vers le Canada.</w:t>
      </w:r>
    </w:p>
  </w:footnote>
  <w:footnote w:id="331">
    <w:p w:rsidR="004C50DC" w:rsidRPr="00C92F30" w:rsidRDefault="004C50DC" w:rsidP="004C50DC">
      <w:pPr>
        <w:pStyle w:val="Notedebasdepage"/>
      </w:pPr>
      <w:r w:rsidRPr="003343FE">
        <w:rPr>
          <w:rStyle w:val="Appelnotedebasdep"/>
        </w:rPr>
        <w:footnoteRef/>
      </w:r>
      <w:r>
        <w:tab/>
      </w:r>
      <w:r w:rsidRPr="00C92F30">
        <w:t>La bibliothèque du Schomburg Center for Research in Black Culture, située à Harlem, offrait la plus grande collection  privée sur la culture noire aux États-Unis au début du XX</w:t>
      </w:r>
      <w:r w:rsidRPr="00C92F30">
        <w:rPr>
          <w:vertAlign w:val="superscript"/>
        </w:rPr>
        <w:t>e</w:t>
      </w:r>
      <w:r w:rsidRPr="00C92F30">
        <w:t xml:space="preserve"> siècle. Rachetée  par la ville de New York en 1926, elle compte aujourd’hui plus de 10 millions de documents (livres, m</w:t>
      </w:r>
      <w:r w:rsidRPr="00C92F30">
        <w:t>a</w:t>
      </w:r>
      <w:r w:rsidRPr="00C92F30">
        <w:t>nuscrits, films, vidéos, artefacts, etc.).</w:t>
      </w:r>
    </w:p>
  </w:footnote>
  <w:footnote w:id="332">
    <w:p w:rsidR="004C50DC" w:rsidRPr="00C92F30" w:rsidRDefault="004C50DC" w:rsidP="004C50DC">
      <w:pPr>
        <w:pStyle w:val="Notedebasdepage"/>
      </w:pPr>
      <w:r w:rsidRPr="003343FE">
        <w:rPr>
          <w:rStyle w:val="Appelnotedebasdep"/>
        </w:rPr>
        <w:footnoteRef/>
      </w:r>
      <w:r>
        <w:tab/>
      </w:r>
      <w:r w:rsidRPr="00C92F30">
        <w:t>Rappelons-nous la révolte des esclaves de New York en 1712.</w:t>
      </w:r>
    </w:p>
  </w:footnote>
  <w:footnote w:id="333">
    <w:p w:rsidR="004C50DC" w:rsidRDefault="004C50DC">
      <w:pPr>
        <w:pStyle w:val="Notedebasdepage"/>
      </w:pPr>
      <w:r>
        <w:rPr>
          <w:rStyle w:val="Appelnotedebasdep"/>
        </w:rPr>
        <w:footnoteRef/>
      </w:r>
      <w:r>
        <w:t xml:space="preserve"> </w:t>
      </w:r>
      <w:r>
        <w:tab/>
      </w:r>
      <w:r w:rsidRPr="00C92F30">
        <w:rPr>
          <w:lang w:val="fr-FR"/>
        </w:rPr>
        <w:t xml:space="preserve">Sur ce point, voir Sarah Sakho, « Le Cameroun, nouveau berceau des Afro-américains. De plus en plus d’Afro-américains en quête d’identité se rendent au Cameroun, pays de leurs ancêtres », </w:t>
      </w:r>
      <w:r w:rsidRPr="00C92F30">
        <w:rPr>
          <w:i/>
          <w:lang w:val="fr-FR"/>
        </w:rPr>
        <w:t>Slate Afrique</w:t>
      </w:r>
      <w:r w:rsidRPr="00C92F30">
        <w:rPr>
          <w:lang w:val="fr-FR"/>
        </w:rPr>
        <w:t xml:space="preserve">, en ligne, </w:t>
      </w:r>
      <w:hyperlink r:id="rId46" w:history="1">
        <w:r w:rsidRPr="00C92F30">
          <w:rPr>
            <w:rStyle w:val="Lienhypertexte"/>
            <w:lang w:val="fr-FR"/>
          </w:rPr>
          <w:t>http://www.slateafrique.com/80803/cameroun-afro-americain-spike-lee-racines</w:t>
        </w:r>
      </w:hyperlink>
      <w:r w:rsidRPr="00C92F30">
        <w:rPr>
          <w:lang w:val="fr-FR"/>
        </w:rPr>
        <w:t>, consulté le 13 novembre 2014.</w:t>
      </w:r>
    </w:p>
  </w:footnote>
  <w:footnote w:id="334">
    <w:p w:rsidR="004C50DC" w:rsidRDefault="004C50DC">
      <w:pPr>
        <w:pStyle w:val="Notedebasdepage"/>
      </w:pPr>
      <w:r>
        <w:rPr>
          <w:rStyle w:val="Appelnotedebasdep"/>
        </w:rPr>
        <w:footnoteRef/>
      </w:r>
      <w:r>
        <w:t xml:space="preserve"> </w:t>
      </w:r>
      <w:r>
        <w:tab/>
      </w:r>
      <w:r w:rsidRPr="00C92F30">
        <w:t xml:space="preserve">Jean-Pierre Chrétien, « Introduction à la première partie », dans Jean-Pierre Chrétien et Jean-Louis Triand (dir.), </w:t>
      </w:r>
      <w:r w:rsidRPr="00C92F30">
        <w:rPr>
          <w:i/>
        </w:rPr>
        <w:t>Histoire d’Afrique. Les enjeux de mémo</w:t>
      </w:r>
      <w:r w:rsidRPr="00C92F30">
        <w:rPr>
          <w:i/>
        </w:rPr>
        <w:t>i</w:t>
      </w:r>
      <w:r w:rsidRPr="00C92F30">
        <w:rPr>
          <w:i/>
        </w:rPr>
        <w:t>re</w:t>
      </w:r>
      <w:r w:rsidRPr="00C92F30">
        <w:t xml:space="preserve">, Paris, Karthala, 1999, p. 31. </w:t>
      </w:r>
    </w:p>
  </w:footnote>
  <w:footnote w:id="335">
    <w:p w:rsidR="004C50DC" w:rsidRDefault="004C50DC">
      <w:pPr>
        <w:pStyle w:val="Notedebasdepage"/>
      </w:pPr>
      <w:r>
        <w:rPr>
          <w:rStyle w:val="Appelnotedebasdep"/>
        </w:rPr>
        <w:footnoteRef/>
      </w:r>
      <w:r>
        <w:t xml:space="preserve"> </w:t>
      </w:r>
      <w:r>
        <w:tab/>
      </w:r>
      <w:r w:rsidRPr="00C92F30">
        <w:t>L’accession au pouvoir de Nelson Mandela en Afrique du Sud en 1994, ma</w:t>
      </w:r>
      <w:r w:rsidRPr="00C92F30">
        <w:t>r</w:t>
      </w:r>
      <w:r w:rsidRPr="00C92F30">
        <w:t xml:space="preserve">quant du même coup </w:t>
      </w:r>
      <w:r w:rsidRPr="00C92F30">
        <w:rPr>
          <w:shd w:val="clear" w:color="auto" w:fill="FFFFFF"/>
        </w:rPr>
        <w:t>l</w:t>
      </w:r>
      <w:r w:rsidRPr="00C92F30">
        <w:t xml:space="preserve">a fin de l’apartheid, est aussi l’année du lancement du projet la « Route de l’esclave »de l’UNESCO ; Annie Coombes, </w:t>
      </w:r>
      <w:r w:rsidRPr="00C92F30">
        <w:rPr>
          <w:i/>
          <w:iCs/>
        </w:rPr>
        <w:t>Visual Cult</w:t>
      </w:r>
      <w:r w:rsidRPr="00C92F30">
        <w:rPr>
          <w:i/>
          <w:iCs/>
        </w:rPr>
        <w:t>u</w:t>
      </w:r>
      <w:r w:rsidRPr="00C92F30">
        <w:rPr>
          <w:i/>
          <w:iCs/>
        </w:rPr>
        <w:t xml:space="preserve">re and Public Memory in a Democratic South Africa, </w:t>
      </w:r>
      <w:r w:rsidRPr="00C92F30">
        <w:t>Durham, Duke Unive</w:t>
      </w:r>
      <w:r w:rsidRPr="00C92F30">
        <w:t>r</w:t>
      </w:r>
      <w:r w:rsidRPr="00C92F30">
        <w:t xml:space="preserve">sity Press, 2003. </w:t>
      </w:r>
    </w:p>
  </w:footnote>
  <w:footnote w:id="336">
    <w:p w:rsidR="004C50DC" w:rsidRDefault="004C50DC">
      <w:pPr>
        <w:pStyle w:val="Notedebasdepage"/>
      </w:pPr>
      <w:r>
        <w:rPr>
          <w:rStyle w:val="Appelnotedebasdep"/>
        </w:rPr>
        <w:footnoteRef/>
      </w:r>
      <w:r>
        <w:t xml:space="preserve"> </w:t>
      </w:r>
      <w:r>
        <w:tab/>
      </w:r>
      <w:r w:rsidRPr="00C92F30">
        <w:t>Anna Seidener, « Le musée colonial à l’épreuve de la décolonisation. Étude des musées postcoloniaux au Bénin », Thèse de Doctorat de philosophie, Un</w:t>
      </w:r>
      <w:r w:rsidRPr="00C92F30">
        <w:t>i</w:t>
      </w:r>
      <w:r w:rsidRPr="00C92F30">
        <w:t>ve</w:t>
      </w:r>
      <w:r w:rsidRPr="00C92F30">
        <w:t>r</w:t>
      </w:r>
      <w:r w:rsidRPr="00C92F30">
        <w:t>sité de Paris X-Nanterre et d’Abomey-Calavi, janvier 2009. </w:t>
      </w:r>
    </w:p>
  </w:footnote>
  <w:footnote w:id="337">
    <w:p w:rsidR="004C50DC" w:rsidRDefault="004C50DC">
      <w:pPr>
        <w:pStyle w:val="Notedebasdepage"/>
      </w:pPr>
      <w:r>
        <w:rPr>
          <w:rStyle w:val="Appelnotedebasdep"/>
        </w:rPr>
        <w:footnoteRef/>
      </w:r>
      <w:r>
        <w:t xml:space="preserve"> </w:t>
      </w:r>
      <w:r>
        <w:tab/>
      </w:r>
      <w:r w:rsidRPr="00C92F30">
        <w:t xml:space="preserve">Myriam Cottias, Élisabeth Cunin et Antonio de Almeida Mendes, </w:t>
      </w:r>
      <w:hyperlink r:id="rId47" w:history="1">
        <w:r w:rsidRPr="00C92F30">
          <w:rPr>
            <w:rStyle w:val="Lienhypertexte"/>
            <w:i/>
            <w:color w:val="auto"/>
          </w:rPr>
          <w:t>Les traites et les esclavages. Perspectives historiques et contemporaines</w:t>
        </w:r>
      </w:hyperlink>
      <w:r w:rsidRPr="00C92F30">
        <w:t xml:space="preserve">, Paris, Karthala, 2010, quatrième de couverture. </w:t>
      </w:r>
    </w:p>
  </w:footnote>
  <w:footnote w:id="338">
    <w:p w:rsidR="004C50DC" w:rsidRPr="00C92F30" w:rsidRDefault="004C50DC" w:rsidP="004C50DC">
      <w:pPr>
        <w:pStyle w:val="Notedebasdepage"/>
      </w:pPr>
      <w:r w:rsidRPr="00C92F30">
        <w:rPr>
          <w:rStyle w:val="Appelnotedebasdep"/>
          <w:sz w:val="24"/>
        </w:rPr>
        <w:footnoteRef/>
      </w:r>
      <w:r>
        <w:rPr>
          <w:lang w:eastAsia="en-CA"/>
        </w:rPr>
        <w:tab/>
      </w:r>
      <w:r w:rsidRPr="00C92F30">
        <w:rPr>
          <w:lang w:eastAsia="en-CA"/>
        </w:rPr>
        <w:t>Thierry Nicolas, op. cit.</w:t>
      </w:r>
    </w:p>
  </w:footnote>
  <w:footnote w:id="339">
    <w:p w:rsidR="004C50DC" w:rsidRPr="00C92F30" w:rsidRDefault="004C50DC" w:rsidP="004C50DC">
      <w:pPr>
        <w:pStyle w:val="Notedebasdepage"/>
      </w:pPr>
      <w:r w:rsidRPr="00C92F30">
        <w:rPr>
          <w:rStyle w:val="Appelnotedebasdep"/>
          <w:sz w:val="24"/>
        </w:rPr>
        <w:footnoteRef/>
      </w:r>
      <w:r>
        <w:tab/>
      </w:r>
      <w:r w:rsidRPr="00C92F30">
        <w:t>Le panafricanisme est une idéologie et un mouvement international qui pr</w:t>
      </w:r>
      <w:r w:rsidRPr="00C92F30">
        <w:t>o</w:t>
      </w:r>
      <w:r w:rsidRPr="00C92F30">
        <w:t>meut la solidarité entre les Africains et les descendants africains de la dia</w:t>
      </w:r>
      <w:r w:rsidRPr="00C92F30">
        <w:t>s</w:t>
      </w:r>
      <w:r w:rsidRPr="00C92F30">
        <w:t>pora où qu’ils soient dans le monde.</w:t>
      </w:r>
    </w:p>
  </w:footnote>
  <w:footnote w:id="340">
    <w:p w:rsidR="004C50DC" w:rsidRPr="00C92F30" w:rsidRDefault="004C50DC" w:rsidP="004C50DC">
      <w:pPr>
        <w:pStyle w:val="Notedebasdepage"/>
      </w:pPr>
      <w:r w:rsidRPr="00C92F30">
        <w:rPr>
          <w:rStyle w:val="Appelnotedebasdep"/>
          <w:sz w:val="24"/>
        </w:rPr>
        <w:footnoteRef/>
      </w:r>
      <w:r>
        <w:tab/>
      </w:r>
      <w:r w:rsidRPr="00C92F30">
        <w:t>Léopold Sédar Senghor définit la négritude comme « l’ensemble des valeurs culturelles de l’Afrique noire ». Selon Senghor : « La négritude est un fait, une culture... La Négritude est la simple reconnaissance du fait d’être Noir, et l’acceptation de ce fait, de notre destin de Noir, de notre histoire et de n</w:t>
      </w:r>
      <w:r w:rsidRPr="00C92F30">
        <w:t>o</w:t>
      </w:r>
      <w:r w:rsidRPr="00C92F30">
        <w:t>tre culture... C’est l’ensemble des valeurs économiques, politiques, intellectue</w:t>
      </w:r>
      <w:r w:rsidRPr="00C92F30">
        <w:t>l</w:t>
      </w:r>
      <w:r w:rsidRPr="00C92F30">
        <w:t>les, morales, artistiques et sociales des peuples d’Afrique et des minorités no</w:t>
      </w:r>
      <w:r w:rsidRPr="00C92F30">
        <w:t>i</w:t>
      </w:r>
      <w:r w:rsidRPr="00C92F30">
        <w:t>res d’Amérique, d’Asie, d’Europe et d’Océanie ». De son côté, Aimé Césaire voit en ce mot un rejet : « Le rejet de l’assimilation culturelle ; le r</w:t>
      </w:r>
      <w:r w:rsidRPr="00C92F30">
        <w:t>e</w:t>
      </w:r>
      <w:r w:rsidRPr="00C92F30">
        <w:t>jet d’une certaine image du Noir paisible, incapable de construire une civil</w:t>
      </w:r>
      <w:r w:rsidRPr="00C92F30">
        <w:t>i</w:t>
      </w:r>
      <w:r w:rsidRPr="00C92F30">
        <w:t>sation… Le culturel prime sur le politique ».</w:t>
      </w:r>
    </w:p>
  </w:footnote>
  <w:footnote w:id="341">
    <w:p w:rsidR="004C50DC" w:rsidRDefault="004C50DC">
      <w:pPr>
        <w:pStyle w:val="Notedebasdepage"/>
      </w:pPr>
      <w:r w:rsidRPr="003343FE">
        <w:rPr>
          <w:rStyle w:val="Appelnotedebasdep"/>
        </w:rPr>
        <w:footnoteRef/>
      </w:r>
      <w:r w:rsidRPr="003343FE">
        <w:rPr>
          <w:sz w:val="20"/>
        </w:rPr>
        <w:t xml:space="preserve"> </w:t>
      </w:r>
      <w:r>
        <w:tab/>
      </w:r>
      <w:r w:rsidRPr="00C92F30">
        <w:t xml:space="preserve">Voir Aimé Césaire, </w:t>
      </w:r>
      <w:r w:rsidRPr="00C92F30">
        <w:rPr>
          <w:i/>
        </w:rPr>
        <w:t>Discours sur le colonialisme</w:t>
      </w:r>
      <w:r w:rsidRPr="00C92F30">
        <w:t xml:space="preserve">, Paris, Présence Africaine, </w:t>
      </w:r>
      <w:r w:rsidRPr="00C92F30">
        <w:rPr>
          <w:iCs/>
        </w:rPr>
        <w:t>1955 </w:t>
      </w:r>
      <w:r w:rsidRPr="00C92F30">
        <w:t xml:space="preserve">; et </w:t>
      </w:r>
      <w:r w:rsidRPr="00C92F30">
        <w:rPr>
          <w:i/>
        </w:rPr>
        <w:t>Cahier d’un retour au pays natal</w:t>
      </w:r>
      <w:r w:rsidRPr="00C92F30">
        <w:t>, dans la revue</w:t>
      </w:r>
      <w:r w:rsidRPr="00C92F30">
        <w:rPr>
          <w:rStyle w:val="apple-converted-space"/>
        </w:rPr>
        <w:t> </w:t>
      </w:r>
      <w:r w:rsidRPr="00C92F30">
        <w:rPr>
          <w:i/>
          <w:iCs/>
        </w:rPr>
        <w:t>Volontés</w:t>
      </w:r>
      <w:r w:rsidRPr="00C92F30">
        <w:t>, Paris, Pr</w:t>
      </w:r>
      <w:r w:rsidRPr="00C92F30">
        <w:t>é</w:t>
      </w:r>
      <w:r w:rsidRPr="00C92F30">
        <w:t>se</w:t>
      </w:r>
      <w:r w:rsidRPr="00C92F30">
        <w:t>n</w:t>
      </w:r>
      <w:r w:rsidRPr="00C92F30">
        <w:t xml:space="preserve">ce Africaine, </w:t>
      </w:r>
      <w:r w:rsidRPr="00C92F30">
        <w:rPr>
          <w:iCs/>
        </w:rPr>
        <w:t xml:space="preserve">1939, </w:t>
      </w:r>
      <w:r w:rsidRPr="00C92F30">
        <w:t>réédité en 1956.</w:t>
      </w:r>
    </w:p>
  </w:footnote>
  <w:footnote w:id="342">
    <w:p w:rsidR="004C50DC" w:rsidRPr="00C92F30" w:rsidRDefault="004C50DC" w:rsidP="004C50DC">
      <w:pPr>
        <w:pStyle w:val="Notedebasdepage"/>
      </w:pPr>
      <w:r w:rsidRPr="003343FE">
        <w:rPr>
          <w:rStyle w:val="Appelnotedebasdep"/>
        </w:rPr>
        <w:footnoteRef/>
      </w:r>
      <w:r>
        <w:tab/>
      </w:r>
      <w:r w:rsidRPr="00C92F30">
        <w:t xml:space="preserve">Voir Léopold Sédar Senghor, </w:t>
      </w:r>
      <w:r w:rsidRPr="00C92F30">
        <w:rPr>
          <w:i/>
        </w:rPr>
        <w:t>Chants d’ombre</w:t>
      </w:r>
      <w:r w:rsidRPr="00C92F30">
        <w:t xml:space="preserve">, Paris, Seuil, 1956, dans lequel il oppose « la raison hellène » à « l’émotion noire » ; Liberté 1. </w:t>
      </w:r>
      <w:r w:rsidRPr="00C92F30">
        <w:rPr>
          <w:i/>
        </w:rPr>
        <w:t>Négritude et hum</w:t>
      </w:r>
      <w:r w:rsidRPr="00C92F30">
        <w:rPr>
          <w:i/>
        </w:rPr>
        <w:t>a</w:t>
      </w:r>
      <w:r w:rsidRPr="00C92F30">
        <w:rPr>
          <w:i/>
        </w:rPr>
        <w:t>nisme</w:t>
      </w:r>
      <w:r w:rsidRPr="00C92F30">
        <w:t xml:space="preserve">, Paris, Seuil, 1964 ;  et </w:t>
      </w:r>
      <w:r w:rsidRPr="00C92F30">
        <w:rPr>
          <w:i/>
        </w:rPr>
        <w:t>Ce que je crois</w:t>
      </w:r>
      <w:r w:rsidRPr="00C92F30">
        <w:t>, Paris, Grasset, 1988.</w:t>
      </w:r>
    </w:p>
  </w:footnote>
  <w:footnote w:id="343">
    <w:p w:rsidR="004C50DC" w:rsidRPr="00C92F30" w:rsidRDefault="004C50DC" w:rsidP="004C50DC">
      <w:pPr>
        <w:pStyle w:val="Notedebasdepage"/>
        <w:rPr>
          <w:lang w:eastAsia="en-CA"/>
        </w:rPr>
      </w:pPr>
      <w:r w:rsidRPr="003343FE">
        <w:rPr>
          <w:rStyle w:val="Appelnotedebasdep"/>
        </w:rPr>
        <w:footnoteRef/>
      </w:r>
      <w:r>
        <w:tab/>
      </w:r>
      <w:r w:rsidRPr="00C92F30">
        <w:t xml:space="preserve">Voir Léon-Gontran Damas, </w:t>
      </w:r>
      <w:r w:rsidRPr="00C92F30">
        <w:rPr>
          <w:i/>
          <w:iCs/>
        </w:rPr>
        <w:t>Poètes d’expression française</w:t>
      </w:r>
      <w:r w:rsidRPr="00C92F30">
        <w:t>, Paris, Seuil, 1947.</w:t>
      </w:r>
    </w:p>
  </w:footnote>
  <w:footnote w:id="344">
    <w:p w:rsidR="004C50DC" w:rsidRPr="00C92F30" w:rsidRDefault="004C50DC" w:rsidP="004C50DC">
      <w:pPr>
        <w:pStyle w:val="Notedebasdepage"/>
      </w:pPr>
      <w:r w:rsidRPr="003343FE">
        <w:rPr>
          <w:rStyle w:val="Appelnotedebasdep"/>
        </w:rPr>
        <w:footnoteRef/>
      </w:r>
      <w:r>
        <w:tab/>
      </w:r>
      <w:r w:rsidRPr="00C92F30">
        <w:t xml:space="preserve">Lire </w:t>
      </w:r>
      <w:r w:rsidRPr="00C92F30">
        <w:rPr>
          <w:lang w:eastAsia="en-CA"/>
        </w:rPr>
        <w:t xml:space="preserve">Mouhamadou Kane, </w:t>
      </w:r>
      <w:r w:rsidRPr="00C92F30">
        <w:rPr>
          <w:i/>
          <w:lang w:eastAsia="en-CA"/>
        </w:rPr>
        <w:t>Birago Diop, l’homme et l’œuvre</w:t>
      </w:r>
      <w:r w:rsidRPr="00C92F30">
        <w:rPr>
          <w:lang w:eastAsia="en-CA"/>
        </w:rPr>
        <w:t>, Paris, Présence Africaine, 1971.</w:t>
      </w:r>
    </w:p>
  </w:footnote>
  <w:footnote w:id="345">
    <w:p w:rsidR="004C50DC" w:rsidRDefault="004C50DC">
      <w:pPr>
        <w:pStyle w:val="Notedebasdepage"/>
      </w:pPr>
      <w:r>
        <w:rPr>
          <w:rStyle w:val="Appelnotedebasdep"/>
        </w:rPr>
        <w:footnoteRef/>
      </w:r>
      <w:r>
        <w:t xml:space="preserve"> </w:t>
      </w:r>
      <w:r>
        <w:tab/>
      </w:r>
      <w:r w:rsidRPr="00C92F30">
        <w:t>Cette idée est aussi soutenue par Laënnec Hurbon : « </w:t>
      </w:r>
      <w:r w:rsidRPr="00C92F30">
        <w:rPr>
          <w:iCs/>
        </w:rPr>
        <w:t>La Révolution haïtie</w:t>
      </w:r>
      <w:r w:rsidRPr="00C92F30">
        <w:rPr>
          <w:iCs/>
        </w:rPr>
        <w:t>n</w:t>
      </w:r>
      <w:r w:rsidRPr="00C92F30">
        <w:rPr>
          <w:iCs/>
        </w:rPr>
        <w:t>ne : une avancée postcoloniale »</w:t>
      </w:r>
      <w:r w:rsidRPr="00C92F30">
        <w:t xml:space="preserve">, </w:t>
      </w:r>
      <w:r w:rsidRPr="00C92F30">
        <w:rPr>
          <w:i/>
        </w:rPr>
        <w:t>Rue Descartes</w:t>
      </w:r>
      <w:r w:rsidRPr="00C92F30">
        <w:t>, vol. 4, n</w:t>
      </w:r>
      <w:r w:rsidRPr="00C92F30">
        <w:rPr>
          <w:vertAlign w:val="superscript"/>
        </w:rPr>
        <w:t>o</w:t>
      </w:r>
      <w:r w:rsidRPr="00C92F30">
        <w:t> 58, 2007, p</w:t>
      </w:r>
      <w:r>
        <w:t>p</w:t>
      </w:r>
      <w:r w:rsidRPr="00C92F30">
        <w:t>. 56-66.</w:t>
      </w:r>
    </w:p>
  </w:footnote>
  <w:footnote w:id="346">
    <w:p w:rsidR="004C50DC" w:rsidRPr="00C92F30" w:rsidRDefault="004C50DC" w:rsidP="004C50DC">
      <w:pPr>
        <w:pStyle w:val="Notedebasdepage"/>
        <w:rPr>
          <w:rFonts w:eastAsia="MS Mincho"/>
        </w:rPr>
      </w:pPr>
      <w:r w:rsidRPr="003343FE">
        <w:rPr>
          <w:rStyle w:val="Appelnotedebasdep"/>
        </w:rPr>
        <w:footnoteRef/>
      </w:r>
      <w:r>
        <w:tab/>
      </w:r>
      <w:r w:rsidRPr="00C92F30">
        <w:t>Leslie François Manigat, « Annotations réflexives sur un thème porteur. La R</w:t>
      </w:r>
      <w:r w:rsidRPr="00C92F30">
        <w:t>é</w:t>
      </w:r>
      <w:r w:rsidRPr="00C92F30">
        <w:t>volution d’indépendance nationale  d’Haïti, de l’ethno-nationalisme à l’universalisme des droits de l’Homme (concepts et conceptions des droits de l’homme dans la dynamique du message révolutionnaire haïtien) », commun</w:t>
      </w:r>
      <w:r w:rsidRPr="00C92F30">
        <w:t>i</w:t>
      </w:r>
      <w:r w:rsidRPr="00C92F30">
        <w:t xml:space="preserve">cation au colloque international </w:t>
      </w:r>
      <w:r w:rsidRPr="00C92F30">
        <w:rPr>
          <w:i/>
        </w:rPr>
        <w:t>Révolution haïtienne et Universal</w:t>
      </w:r>
      <w:r w:rsidRPr="00C92F30">
        <w:rPr>
          <w:i/>
        </w:rPr>
        <w:t>i</w:t>
      </w:r>
      <w:r w:rsidRPr="00C92F30">
        <w:rPr>
          <w:i/>
        </w:rPr>
        <w:t>té des droits de l’Homme. Apports, parcours historique, perspectives,</w:t>
      </w:r>
      <w:r w:rsidRPr="00C92F30">
        <w:t xml:space="preserve"> à l’occasion du soixantième anniversaire de la Déclaration universelle des droits de l’Homme, Port-au-Prince, 21-23 août 2009.</w:t>
      </w:r>
    </w:p>
  </w:footnote>
  <w:footnote w:id="347">
    <w:p w:rsidR="004C50DC" w:rsidRPr="00C92F30" w:rsidRDefault="004C50DC" w:rsidP="004C50DC">
      <w:pPr>
        <w:pStyle w:val="Notedebasdepage"/>
      </w:pPr>
      <w:r w:rsidRPr="003343FE">
        <w:rPr>
          <w:rStyle w:val="Appelnotedebasdep"/>
        </w:rPr>
        <w:footnoteRef/>
      </w:r>
      <w:r>
        <w:tab/>
      </w:r>
      <w:r w:rsidRPr="00C92F30">
        <w:t>Voir la Constitution impériale de 1805.</w:t>
      </w:r>
    </w:p>
  </w:footnote>
  <w:footnote w:id="348">
    <w:p w:rsidR="004C50DC" w:rsidRDefault="004C50DC">
      <w:pPr>
        <w:pStyle w:val="Notedebasdepage"/>
      </w:pPr>
      <w:r>
        <w:rPr>
          <w:rStyle w:val="Appelnotedebasdep"/>
        </w:rPr>
        <w:footnoteRef/>
      </w:r>
      <w:r>
        <w:t xml:space="preserve"> </w:t>
      </w:r>
      <w:r>
        <w:tab/>
      </w:r>
      <w:r w:rsidRPr="00C92F30">
        <w:rPr>
          <w:lang w:val="fr-FR"/>
        </w:rPr>
        <w:t>Vertus Saint-Louis se questionne sur cette appellation : pourquoi la référe</w:t>
      </w:r>
      <w:r w:rsidRPr="00C92F30">
        <w:rPr>
          <w:lang w:val="fr-FR"/>
        </w:rPr>
        <w:t>n</w:t>
      </w:r>
      <w:r w:rsidRPr="00C92F30">
        <w:rPr>
          <w:lang w:val="fr-FR"/>
        </w:rPr>
        <w:t>ce à l’Indien depuis novembre 1802, quand Dessalines choisit de faire porter à l’armée le nom d’Incas, fils du Soleil, avant de rebaptiser le pays Haïti ? S</w:t>
      </w:r>
      <w:r w:rsidRPr="00C92F30">
        <w:rPr>
          <w:lang w:val="fr-FR"/>
        </w:rPr>
        <w:t>e</w:t>
      </w:r>
      <w:r w:rsidRPr="00C92F30">
        <w:rPr>
          <w:lang w:val="fr-FR"/>
        </w:rPr>
        <w:t>rait-ce un hommage aux luttes des Indiens ? Ou bien encore, serait-ce un moyen d’écarter à la fois l’Europe esclavagiste et l’Afrique, trop présentes en la personne des cultivateurs, dont les élites indigènes entendent se distinguer ? Voir Vertus Saint-Louis, « Les termes de citoyen et Africain pendant la rév</w:t>
      </w:r>
      <w:r w:rsidRPr="00C92F30">
        <w:rPr>
          <w:lang w:val="fr-FR"/>
        </w:rPr>
        <w:t>o</w:t>
      </w:r>
      <w:r w:rsidRPr="00C92F30">
        <w:rPr>
          <w:lang w:val="fr-FR"/>
        </w:rPr>
        <w:t xml:space="preserve">lution de Saint-Domingue », dans Laënnec Hurbon (dir.), </w:t>
      </w:r>
      <w:r w:rsidRPr="00C92F30">
        <w:rPr>
          <w:i/>
          <w:lang w:val="fr-FR"/>
        </w:rPr>
        <w:t>L’insurrection des esclaves de Saint-Domingue, 22-23 août 1791</w:t>
      </w:r>
      <w:r w:rsidRPr="00C92F30">
        <w:rPr>
          <w:lang w:val="fr-FR"/>
        </w:rPr>
        <w:t>, Paris, Karthala, 2000, p. 111-112, en ligne,</w:t>
      </w:r>
      <w:r>
        <w:rPr>
          <w:lang w:val="fr-FR"/>
        </w:rPr>
        <w:br/>
      </w:r>
      <w:hyperlink r:id="rId48" w:history="1">
        <w:r w:rsidRPr="00C92F30">
          <w:rPr>
            <w:rStyle w:val="Lienhypertexte"/>
            <w:lang w:val="fr-FR"/>
          </w:rPr>
          <w:t>http://classiques.uqac.ca/contemporains/hurbon_laennec/insurrection_esclaves/insurrection_esclaves_tdm.html</w:t>
        </w:r>
      </w:hyperlink>
      <w:r w:rsidRPr="00C92F30">
        <w:rPr>
          <w:lang w:val="fr-FR"/>
        </w:rPr>
        <w:t>, consulté le 27 juillet 2013.</w:t>
      </w:r>
    </w:p>
  </w:footnote>
  <w:footnote w:id="349">
    <w:p w:rsidR="004C50DC" w:rsidRPr="00C92F30" w:rsidRDefault="004C50DC" w:rsidP="004C50DC">
      <w:pPr>
        <w:pStyle w:val="Notedebasdepage"/>
      </w:pPr>
      <w:r w:rsidRPr="003343FE">
        <w:rPr>
          <w:rStyle w:val="Appelnotedebasdep"/>
        </w:rPr>
        <w:footnoteRef/>
      </w:r>
      <w:r>
        <w:tab/>
      </w:r>
      <w:r w:rsidRPr="00C92F30">
        <w:t>À ce sujet voir Laënnec Hurbon, « Le clergé catholique et l’insurrection de 1791 », dans Laënnec Hurbon (dir.),</w:t>
      </w:r>
      <w:r w:rsidRPr="00C92F30">
        <w:rPr>
          <w:i/>
        </w:rPr>
        <w:t xml:space="preserve"> L'insurrection des esclaves de Saint-Domingue, 22-23 août 1791</w:t>
      </w:r>
      <w:r w:rsidRPr="00C92F30">
        <w:t>, Paris, Karthala, 2000, p. 47, en l</w:t>
      </w:r>
      <w:r w:rsidRPr="00C92F30">
        <w:t>i</w:t>
      </w:r>
      <w:r w:rsidRPr="00C92F30">
        <w:t>gne,</w:t>
      </w:r>
      <w:hyperlink r:id="rId49" w:history="1">
        <w:r w:rsidRPr="00C92F30">
          <w:rPr>
            <w:rStyle w:val="Lienhypertexte"/>
            <w:color w:val="auto"/>
          </w:rPr>
          <w:t>http://classiques.uqac.ca/contemporains/hurbon_laennec/insurrection_esclaves/insurrection_esclaves_tdm.html</w:t>
        </w:r>
      </w:hyperlink>
      <w:r w:rsidRPr="00C92F30">
        <w:t xml:space="preserve">, consulté le 27 juillet 2013 ; voir aussi Laënnec Hurbon, « Esclavage, mémoire et identité culturelle », dans Max Jean Zins et Marcel Dorigny, </w:t>
      </w:r>
      <w:r w:rsidRPr="00C92F30">
        <w:rPr>
          <w:i/>
        </w:rPr>
        <w:t>Les Traites négrières coloniales. Histoire d’un crime</w:t>
      </w:r>
      <w:r w:rsidRPr="00C92F30">
        <w:t>, Paris, Cercle d’Art, 2009, p. 192-201.</w:t>
      </w:r>
    </w:p>
  </w:footnote>
  <w:footnote w:id="350">
    <w:p w:rsidR="004C50DC" w:rsidRPr="00C92F30" w:rsidRDefault="004C50DC" w:rsidP="004C50DC">
      <w:pPr>
        <w:pStyle w:val="Notedebasdepage"/>
      </w:pPr>
      <w:r w:rsidRPr="003343FE">
        <w:rPr>
          <w:rStyle w:val="Appelnotedebasdep"/>
        </w:rPr>
        <w:footnoteRef/>
      </w:r>
      <w:r>
        <w:tab/>
      </w:r>
      <w:r w:rsidRPr="00C92F30">
        <w:t>Laënnec Hurbon, « Esclavage, mémoire et identité culturelle », op. cit., 192-201.</w:t>
      </w:r>
    </w:p>
  </w:footnote>
  <w:footnote w:id="351">
    <w:p w:rsidR="004C50DC" w:rsidRPr="00C92F30" w:rsidRDefault="004C50DC" w:rsidP="004C50DC">
      <w:pPr>
        <w:pStyle w:val="Notedebasdepage"/>
      </w:pPr>
      <w:r w:rsidRPr="00C92F30">
        <w:rPr>
          <w:rStyle w:val="Appelnotedebasdep"/>
          <w:sz w:val="24"/>
        </w:rPr>
        <w:footnoteRef/>
      </w:r>
      <w:r>
        <w:tab/>
      </w:r>
      <w:r w:rsidRPr="00C92F30">
        <w:t xml:space="preserve">Voir Annexe X, Déclaration de l’Indépendance d’Haïti rédigée par Boisrond Tonnerre. </w:t>
      </w:r>
    </w:p>
  </w:footnote>
  <w:footnote w:id="352">
    <w:p w:rsidR="004C50DC" w:rsidRDefault="004C50DC">
      <w:pPr>
        <w:pStyle w:val="Notedebasdepage"/>
      </w:pPr>
      <w:r>
        <w:rPr>
          <w:rStyle w:val="Appelnotedebasdep"/>
        </w:rPr>
        <w:footnoteRef/>
      </w:r>
      <w:r>
        <w:t xml:space="preserve"> </w:t>
      </w:r>
      <w:r>
        <w:tab/>
      </w:r>
      <w:r w:rsidRPr="00C92F30">
        <w:t xml:space="preserve">« To confine its disease to its island » ; voir Laurent Dubois, </w:t>
      </w:r>
      <w:r w:rsidRPr="00C92F30">
        <w:rPr>
          <w:i/>
        </w:rPr>
        <w:t>The Avengers of the New World</w:t>
      </w:r>
      <w:r w:rsidRPr="00C92F30">
        <w:t>, Cambridge, MA, Harvard University Press, 2005, p. 225 ;voir aussi</w:t>
      </w:r>
      <w:r w:rsidRPr="00C92F30">
        <w:rPr>
          <w:shd w:val="clear" w:color="auto" w:fill="FFFFFF"/>
          <w:lang w:val="fr-FR"/>
        </w:rPr>
        <w:t xml:space="preserve"> </w:t>
      </w:r>
      <w:hyperlink r:id="rId50" w:history="1">
        <w:r w:rsidRPr="00C92F30">
          <w:rPr>
            <w:rStyle w:val="Lienhypertexte"/>
            <w:i/>
            <w:lang w:val="fr-FR"/>
          </w:rPr>
          <w:t>Leslie Péan, « Thomas Jefferson disait : “Confiner la peste dans son île” - Marasme économique, transmission des savoirs et langues (6 de 6)</w:t>
        </w:r>
      </w:hyperlink>
      <w:r w:rsidRPr="00C92F30">
        <w:rPr>
          <w:lang w:val="fr-FR"/>
        </w:rPr>
        <w:t> </w:t>
      </w:r>
      <w:r w:rsidRPr="00C92F30">
        <w:rPr>
          <w:bdr w:val="none" w:sz="0" w:space="0" w:color="auto" w:frame="1"/>
          <w:lang w:val="fr-FR"/>
        </w:rPr>
        <w:t>»</w:t>
      </w:r>
      <w:r w:rsidRPr="00C92F30">
        <w:rPr>
          <w:lang w:val="fr-FR"/>
        </w:rPr>
        <w:t xml:space="preserve">, Tout Haïti, en ligne, </w:t>
      </w:r>
      <w:hyperlink r:id="rId51" w:anchor="_edn4" w:history="1">
        <w:r w:rsidRPr="00C92F30">
          <w:rPr>
            <w:rStyle w:val="Lienhypertexte"/>
            <w:i/>
            <w:lang w:val="fr-FR"/>
          </w:rPr>
          <w:t>http://www.touthaiti.com/economie/2424-leslie-pean-thomas-jefferson-disait-confiner-la-peste-dans-son-ile-marasme-economique-transmission-des-savoirs-et-langues-6-de-6#_edn4</w:t>
        </w:r>
      </w:hyperlink>
      <w:r w:rsidRPr="00C92F30">
        <w:rPr>
          <w:lang w:val="fr-FR"/>
        </w:rPr>
        <w:t>, consulté le 24 septembre 2014.</w:t>
      </w:r>
    </w:p>
  </w:footnote>
  <w:footnote w:id="353">
    <w:p w:rsidR="004C50DC" w:rsidRDefault="004C50DC">
      <w:pPr>
        <w:pStyle w:val="Notedebasdepage"/>
      </w:pPr>
      <w:r>
        <w:rPr>
          <w:rStyle w:val="Appelnotedebasdep"/>
        </w:rPr>
        <w:footnoteRef/>
      </w:r>
      <w:r>
        <w:t xml:space="preserve"> </w:t>
      </w:r>
      <w:r>
        <w:tab/>
      </w:r>
      <w:r w:rsidRPr="00C92F30">
        <w:rPr>
          <w:lang w:val="fr-FR"/>
        </w:rPr>
        <w:t>À ce sujet voir Tim Matthewson, « Jefferson and the non recognition of Ha</w:t>
      </w:r>
      <w:r w:rsidRPr="00C92F30">
        <w:rPr>
          <w:lang w:val="fr-FR"/>
        </w:rPr>
        <w:t>ï</w:t>
      </w:r>
      <w:r w:rsidRPr="00C92F30">
        <w:rPr>
          <w:lang w:val="fr-FR"/>
        </w:rPr>
        <w:t xml:space="preserve">ti », </w:t>
      </w:r>
      <w:r w:rsidRPr="00C92F30">
        <w:rPr>
          <w:i/>
          <w:lang w:val="fr-FR"/>
        </w:rPr>
        <w:t>Proceedings of the American Philosophical Society</w:t>
      </w:r>
      <w:r w:rsidRPr="00C92F30">
        <w:rPr>
          <w:lang w:val="fr-FR"/>
        </w:rPr>
        <w:t>, vol. 140, n</w:t>
      </w:r>
      <w:r w:rsidRPr="00C92F30">
        <w:rPr>
          <w:vertAlign w:val="superscript"/>
          <w:lang w:val="fr-FR"/>
        </w:rPr>
        <w:t>o</w:t>
      </w:r>
      <w:r w:rsidRPr="00C92F30">
        <w:rPr>
          <w:lang w:val="fr-FR"/>
        </w:rPr>
        <w:t xml:space="preserve"> 1, mars 1996, p. 22-48 ; voir également </w:t>
      </w:r>
      <w:r w:rsidRPr="00C92F30">
        <w:rPr>
          <w:bCs/>
          <w:lang w:val="fr-FR"/>
        </w:rPr>
        <w:t xml:space="preserve">Sandra Rebok, </w:t>
      </w:r>
      <w:r w:rsidRPr="00C92F30">
        <w:rPr>
          <w:lang w:val="fr-FR"/>
        </w:rPr>
        <w:t>« La Révolution de Haïti vue par deux personnages contemporains : le scientifique prussien Alexander Von Hu</w:t>
      </w:r>
      <w:r w:rsidRPr="00C92F30">
        <w:rPr>
          <w:lang w:val="fr-FR"/>
        </w:rPr>
        <w:t>m</w:t>
      </w:r>
      <w:r w:rsidRPr="00C92F30">
        <w:rPr>
          <w:lang w:val="fr-FR"/>
        </w:rPr>
        <w:t xml:space="preserve">boldt et l’homme d’État américain Thomas Jefferson », </w:t>
      </w:r>
      <w:r w:rsidRPr="00C92F30">
        <w:rPr>
          <w:i/>
          <w:lang w:val="fr-FR"/>
        </w:rPr>
        <w:t>French Colonial History</w:t>
      </w:r>
      <w:r w:rsidRPr="00C92F30">
        <w:rPr>
          <w:lang w:val="fr-FR"/>
        </w:rPr>
        <w:t>, vol. 10, 2009, p</w:t>
      </w:r>
      <w:r>
        <w:rPr>
          <w:lang w:val="fr-FR"/>
        </w:rPr>
        <w:t>p</w:t>
      </w:r>
      <w:r w:rsidRPr="00C92F30">
        <w:rPr>
          <w:lang w:val="fr-FR"/>
        </w:rPr>
        <w:t>. 75-95.</w:t>
      </w:r>
    </w:p>
  </w:footnote>
  <w:footnote w:id="354">
    <w:p w:rsidR="004C50DC" w:rsidRPr="00C92F30" w:rsidRDefault="004C50DC" w:rsidP="004C50DC">
      <w:pPr>
        <w:pStyle w:val="Notedebasdepage"/>
      </w:pPr>
      <w:r w:rsidRPr="003343FE">
        <w:rPr>
          <w:rStyle w:val="Appelnotedebasdep"/>
        </w:rPr>
        <w:footnoteRef/>
      </w:r>
      <w:r>
        <w:tab/>
      </w:r>
      <w:r w:rsidRPr="00C92F30">
        <w:t>Laurent Dubois, op. cit., p. 225.</w:t>
      </w:r>
    </w:p>
  </w:footnote>
  <w:footnote w:id="355">
    <w:p w:rsidR="004C50DC" w:rsidRPr="00C92F30" w:rsidRDefault="004C50DC" w:rsidP="004C50DC">
      <w:pPr>
        <w:pStyle w:val="Notedebasdepage"/>
        <w:rPr>
          <w:lang w:val="en-US"/>
        </w:rPr>
      </w:pPr>
      <w:r w:rsidRPr="003343FE">
        <w:rPr>
          <w:rStyle w:val="Appelnotedebasdep"/>
        </w:rPr>
        <w:footnoteRef/>
      </w:r>
      <w:r>
        <w:rPr>
          <w:lang w:val="en-US"/>
        </w:rPr>
        <w:tab/>
      </w:r>
      <w:r w:rsidRPr="00C92F30">
        <w:rPr>
          <w:lang w:val="en-US"/>
        </w:rPr>
        <w:t>« As long as we don’t allow the blacks to possess a ship we can allow them to exist and even maintain very lucrative commercial contacts with them »; ibid., p. 225.</w:t>
      </w:r>
    </w:p>
  </w:footnote>
  <w:footnote w:id="356">
    <w:p w:rsidR="004C50DC" w:rsidRPr="00C92F30" w:rsidRDefault="004C50DC" w:rsidP="004C50DC">
      <w:pPr>
        <w:pStyle w:val="Notedebasdepage"/>
      </w:pPr>
      <w:r w:rsidRPr="003343FE">
        <w:rPr>
          <w:rStyle w:val="Appelnotedebasdep"/>
        </w:rPr>
        <w:footnoteRef/>
      </w:r>
      <w:r>
        <w:tab/>
      </w:r>
      <w:r w:rsidRPr="00C92F30">
        <w:t xml:space="preserve">Laënnec Hurbon, </w:t>
      </w:r>
      <w:r w:rsidRPr="00C92F30">
        <w:rPr>
          <w:i/>
        </w:rPr>
        <w:t>Le barbare imaginaire</w:t>
      </w:r>
      <w:r w:rsidRPr="00C92F30">
        <w:t>, op. cit., p. 54.</w:t>
      </w:r>
    </w:p>
  </w:footnote>
  <w:footnote w:id="357">
    <w:p w:rsidR="004C50DC" w:rsidRPr="00C92F30" w:rsidRDefault="004C50DC" w:rsidP="004C50DC">
      <w:pPr>
        <w:pStyle w:val="Notedebasdepage"/>
      </w:pPr>
      <w:r w:rsidRPr="003343FE">
        <w:rPr>
          <w:rStyle w:val="Appelnotedebasdep"/>
        </w:rPr>
        <w:footnoteRef/>
      </w:r>
      <w:r>
        <w:tab/>
      </w:r>
      <w:r w:rsidRPr="00C92F30">
        <w:t xml:space="preserve">Yves Benot, </w:t>
      </w:r>
      <w:r w:rsidRPr="00C92F30">
        <w:rPr>
          <w:i/>
          <w:iCs/>
        </w:rPr>
        <w:t>La démence coloniale sous Napoléon</w:t>
      </w:r>
      <w:r w:rsidRPr="00C92F30">
        <w:t>, Paris, La Découverte, 1992, p. 123 ; voir aussi les analyses de Laënnec Hurbon, « </w:t>
      </w:r>
      <w:r w:rsidRPr="00C92F30">
        <w:rPr>
          <w:iCs/>
        </w:rPr>
        <w:t>La Révolution haïtie</w:t>
      </w:r>
      <w:r w:rsidRPr="00C92F30">
        <w:rPr>
          <w:iCs/>
        </w:rPr>
        <w:t>n</w:t>
      </w:r>
      <w:r w:rsidRPr="00C92F30">
        <w:rPr>
          <w:iCs/>
        </w:rPr>
        <w:t>ne. Une avancée postcoloniale »</w:t>
      </w:r>
      <w:r w:rsidRPr="00C92F30">
        <w:t xml:space="preserve">, </w:t>
      </w:r>
      <w:r w:rsidRPr="00C92F30">
        <w:rPr>
          <w:i/>
        </w:rPr>
        <w:t>Rue Descartes</w:t>
      </w:r>
      <w:r w:rsidRPr="00C92F30">
        <w:t>, vol. 4, n</w:t>
      </w:r>
      <w:r w:rsidRPr="00C92F30">
        <w:rPr>
          <w:vertAlign w:val="superscript"/>
        </w:rPr>
        <w:t>o</w:t>
      </w:r>
      <w:r w:rsidRPr="00C92F30">
        <w:t> 58, 2007, p</w:t>
      </w:r>
      <w:r>
        <w:t>p</w:t>
      </w:r>
      <w:r w:rsidRPr="00C92F30">
        <w:t>. 51-52.</w:t>
      </w:r>
    </w:p>
  </w:footnote>
  <w:footnote w:id="358">
    <w:p w:rsidR="004C50DC" w:rsidRPr="00C92F30" w:rsidRDefault="004C50DC" w:rsidP="004C50DC">
      <w:pPr>
        <w:pStyle w:val="Notedebasdepage"/>
      </w:pPr>
      <w:r w:rsidRPr="003343FE">
        <w:rPr>
          <w:rStyle w:val="Appelnotedebasdep"/>
        </w:rPr>
        <w:footnoteRef/>
      </w:r>
      <w:r>
        <w:tab/>
      </w:r>
      <w:r w:rsidRPr="00C92F30">
        <w:t xml:space="preserve">Laënnec Hurbon, </w:t>
      </w:r>
      <w:r w:rsidRPr="003343FE">
        <w:rPr>
          <w:i/>
        </w:rPr>
        <w:t>La Révolution haïtienne. Une avancée postcoloniale</w:t>
      </w:r>
      <w:r w:rsidRPr="00C92F30">
        <w:t>, op. cit., p. 51-52.</w:t>
      </w:r>
    </w:p>
  </w:footnote>
  <w:footnote w:id="359">
    <w:p w:rsidR="004C50DC" w:rsidRDefault="004C50DC">
      <w:pPr>
        <w:pStyle w:val="Notedebasdepage"/>
      </w:pPr>
      <w:r w:rsidRPr="003343FE">
        <w:rPr>
          <w:rStyle w:val="Appelnotedebasdep"/>
        </w:rPr>
        <w:footnoteRef/>
      </w:r>
      <w:r w:rsidRPr="003343FE">
        <w:rPr>
          <w:sz w:val="20"/>
        </w:rPr>
        <w:t xml:space="preserve"> </w:t>
      </w:r>
      <w:r>
        <w:tab/>
      </w:r>
      <w:r w:rsidRPr="00C92F30">
        <w:t>Ce texte de Juste Chanlatte a été imprimé en 1810 au Cap Henri.</w:t>
      </w:r>
    </w:p>
  </w:footnote>
  <w:footnote w:id="360">
    <w:p w:rsidR="004C50DC" w:rsidRPr="00C92F30" w:rsidRDefault="004C50DC" w:rsidP="004C50DC">
      <w:pPr>
        <w:pStyle w:val="Notedebasdepage"/>
      </w:pPr>
      <w:r w:rsidRPr="003343FE">
        <w:rPr>
          <w:rStyle w:val="Appelnotedebasdep"/>
        </w:rPr>
        <w:footnoteRef/>
      </w:r>
      <w:r>
        <w:tab/>
      </w:r>
      <w:r w:rsidRPr="00C92F30">
        <w:t>Il faut renvoyer d’abord à Hénock Trouillot, « La pensée du docteur Jean Pr</w:t>
      </w:r>
      <w:r w:rsidRPr="00C92F30">
        <w:t>i</w:t>
      </w:r>
      <w:r w:rsidRPr="00C92F30">
        <w:t xml:space="preserve">ce-Mars », dans la </w:t>
      </w:r>
      <w:r w:rsidRPr="00C92F30">
        <w:rPr>
          <w:i/>
        </w:rPr>
        <w:t>Revue de la Société haïtienne d’histoire, de géographie et de géologie</w:t>
      </w:r>
      <w:r w:rsidRPr="00C92F30">
        <w:t>, vol. 29, n</w:t>
      </w:r>
      <w:r w:rsidRPr="00C92F30">
        <w:rPr>
          <w:vertAlign w:val="superscript"/>
        </w:rPr>
        <w:t>o</w:t>
      </w:r>
      <w:r w:rsidRPr="00C92F30">
        <w:t> 102, Port-au-Prince, juillet-octobre 1956, p. 8.</w:t>
      </w:r>
    </w:p>
  </w:footnote>
  <w:footnote w:id="361">
    <w:p w:rsidR="004C50DC" w:rsidRPr="00C92F30" w:rsidRDefault="004C50DC" w:rsidP="004C50DC">
      <w:pPr>
        <w:pStyle w:val="Notedebasdepage"/>
      </w:pPr>
      <w:r w:rsidRPr="003343FE">
        <w:rPr>
          <w:rStyle w:val="Appelnotedebasdep"/>
        </w:rPr>
        <w:footnoteRef/>
      </w:r>
      <w:r>
        <w:tab/>
      </w:r>
      <w:r w:rsidRPr="00C92F30">
        <w:t xml:space="preserve">Voir Carlo Avierl Célius, « Haïti : histoire, mémoire, patrimoine », </w:t>
      </w:r>
      <w:r w:rsidRPr="00C92F30">
        <w:rPr>
          <w:i/>
        </w:rPr>
        <w:t>Cahiers des Anneaux de la mémoire</w:t>
      </w:r>
      <w:r w:rsidRPr="00C92F30">
        <w:t>, n</w:t>
      </w:r>
      <w:r w:rsidRPr="00C92F30">
        <w:rPr>
          <w:vertAlign w:val="superscript"/>
        </w:rPr>
        <w:t>o</w:t>
      </w:r>
      <w:r w:rsidRPr="00C92F30">
        <w:t> 6, 2004, p</w:t>
      </w:r>
      <w:r>
        <w:t>p</w:t>
      </w:r>
      <w:r w:rsidRPr="00C92F30">
        <w:t>.187-221.</w:t>
      </w:r>
    </w:p>
  </w:footnote>
  <w:footnote w:id="362">
    <w:p w:rsidR="004C50DC" w:rsidRPr="00C92F30" w:rsidRDefault="004C50DC" w:rsidP="004C50DC">
      <w:pPr>
        <w:pStyle w:val="Notedebasdepage"/>
      </w:pPr>
      <w:r w:rsidRPr="003343FE">
        <w:rPr>
          <w:rStyle w:val="Appelnotedebasdep"/>
        </w:rPr>
        <w:footnoteRef/>
      </w:r>
      <w:r>
        <w:tab/>
      </w:r>
      <w:r w:rsidRPr="00C92F30">
        <w:t>Hénock Trouillot, op. cit., p. 10.</w:t>
      </w:r>
    </w:p>
  </w:footnote>
  <w:footnote w:id="363">
    <w:p w:rsidR="004C50DC" w:rsidRPr="00C92F30" w:rsidRDefault="004C50DC" w:rsidP="004C50DC">
      <w:pPr>
        <w:pStyle w:val="Notedebasdepage"/>
      </w:pPr>
      <w:r w:rsidRPr="003343FE">
        <w:rPr>
          <w:rStyle w:val="Appelnotedebasdep"/>
        </w:rPr>
        <w:footnoteRef/>
      </w:r>
      <w:r>
        <w:tab/>
      </w:r>
      <w:r w:rsidRPr="00C92F30">
        <w:t xml:space="preserve">Catts Pressoir, </w:t>
      </w:r>
      <w:r w:rsidRPr="00C92F30">
        <w:rPr>
          <w:i/>
        </w:rPr>
        <w:t>L’enseignement de l’histoire en Haïti</w:t>
      </w:r>
      <w:r w:rsidRPr="00C92F30">
        <w:t>, Mexico, Instituto de geografía e historia, 1950. Catts Pressoir a été aussi cité par Évelyne Troui</w:t>
      </w:r>
      <w:r w:rsidRPr="00C92F30">
        <w:t>l</w:t>
      </w:r>
      <w:r w:rsidRPr="00C92F30">
        <w:t>lot dans « De la survivance de la colonisation dans les manuels d’histoire</w:t>
      </w:r>
      <w:r w:rsidRPr="00C92F30">
        <w:rPr>
          <w:i/>
        </w:rPr>
        <w:t> », L</w:t>
      </w:r>
      <w:r w:rsidRPr="00C92F30">
        <w:rPr>
          <w:i/>
        </w:rPr>
        <w:t>i</w:t>
      </w:r>
      <w:r w:rsidRPr="00C92F30">
        <w:rPr>
          <w:i/>
        </w:rPr>
        <w:t>re Haïti</w:t>
      </w:r>
      <w:r w:rsidRPr="00C92F30">
        <w:t>, vol. 1, n</w:t>
      </w:r>
      <w:r w:rsidRPr="00C92F30">
        <w:rPr>
          <w:vertAlign w:val="superscript"/>
        </w:rPr>
        <w:t>o</w:t>
      </w:r>
      <w:r w:rsidRPr="00C92F30">
        <w:t> 2, 2001, p. 11.</w:t>
      </w:r>
    </w:p>
  </w:footnote>
  <w:footnote w:id="364">
    <w:p w:rsidR="004C50DC" w:rsidRPr="00C92F30" w:rsidRDefault="004C50DC" w:rsidP="004C50DC">
      <w:pPr>
        <w:pStyle w:val="Notedebasdepage"/>
      </w:pPr>
      <w:r w:rsidRPr="003343FE">
        <w:rPr>
          <w:rStyle w:val="Appelnotedebasdep"/>
        </w:rPr>
        <w:footnoteRef/>
      </w:r>
      <w:r>
        <w:tab/>
      </w:r>
      <w:r w:rsidRPr="00C92F30">
        <w:t>Pour de plus amples explications, voir Carlo Avierl Célius, « D’un nation</w:t>
      </w:r>
      <w:r w:rsidRPr="00C92F30">
        <w:t>a</w:t>
      </w:r>
      <w:r w:rsidRPr="00C92F30">
        <w:t>lisme héroïque : Haïti et son panthéon national », conférence prononcée à l’Université Laval, 11 avril 2011, en ligne,</w:t>
      </w:r>
      <w:r>
        <w:br/>
      </w:r>
      <w:hyperlink r:id="rId52" w:history="1">
        <w:r w:rsidRPr="00C92F30">
          <w:rPr>
            <w:rStyle w:val="Lienhypertexte"/>
            <w:color w:val="auto"/>
          </w:rPr>
          <w:t>https://vimeo.com/22572070</w:t>
        </w:r>
      </w:hyperlink>
      <w:r w:rsidRPr="00C92F30">
        <w:t>, consulté le 13 février 2014.</w:t>
      </w:r>
    </w:p>
  </w:footnote>
  <w:footnote w:id="365">
    <w:p w:rsidR="004C50DC" w:rsidRPr="00C92F30" w:rsidRDefault="004C50DC" w:rsidP="004C50DC">
      <w:pPr>
        <w:pStyle w:val="Notedebasdepage"/>
      </w:pPr>
      <w:r w:rsidRPr="003343FE">
        <w:rPr>
          <w:rStyle w:val="Appelnotedebasdep"/>
        </w:rPr>
        <w:footnoteRef/>
      </w:r>
      <w:r>
        <w:tab/>
      </w:r>
      <w:r w:rsidRPr="00C92F30">
        <w:t>Philippe Thoby-Marcelin</w:t>
      </w:r>
      <w:r w:rsidRPr="00C92F30">
        <w:rPr>
          <w:i/>
        </w:rPr>
        <w:t>, Panorama de l’art haïtien</w:t>
      </w:r>
      <w:r w:rsidRPr="00C92F30">
        <w:t>, Port-au-Prince, Impr</w:t>
      </w:r>
      <w:r w:rsidRPr="00C92F30">
        <w:t>i</w:t>
      </w:r>
      <w:r w:rsidRPr="00C92F30">
        <w:t xml:space="preserve">merie de l’État, 1956, cité par Carlo Arviel Célius, </w:t>
      </w:r>
      <w:r w:rsidRPr="00C92F30">
        <w:rPr>
          <w:i/>
        </w:rPr>
        <w:t>Langage plastique et énonci</w:t>
      </w:r>
      <w:r w:rsidRPr="00C92F30">
        <w:rPr>
          <w:i/>
        </w:rPr>
        <w:t>a</w:t>
      </w:r>
      <w:r w:rsidRPr="00C92F30">
        <w:rPr>
          <w:i/>
        </w:rPr>
        <w:t>tion identitaire. L’invention de l’art haïtien,</w:t>
      </w:r>
      <w:r w:rsidRPr="00C92F30">
        <w:t xml:space="preserve"> Québec, Les Presses de l’Université Laval, 2007, p. 244.</w:t>
      </w:r>
    </w:p>
  </w:footnote>
  <w:footnote w:id="366">
    <w:p w:rsidR="004C50DC" w:rsidRPr="00C92F30" w:rsidRDefault="004C50DC" w:rsidP="004C50DC">
      <w:pPr>
        <w:pStyle w:val="Notedebasdepage"/>
      </w:pPr>
      <w:r w:rsidRPr="003343FE">
        <w:rPr>
          <w:rStyle w:val="Appelnotedebasdep"/>
        </w:rPr>
        <w:footnoteRef/>
      </w:r>
      <w:r>
        <w:tab/>
      </w:r>
      <w:r w:rsidRPr="00C92F30">
        <w:t xml:space="preserve">Beaubrun Ardouin est un intellectuel mulâtre et un homme d’État. Il est l’auteur des </w:t>
      </w:r>
      <w:r w:rsidRPr="00C92F30">
        <w:rPr>
          <w:i/>
        </w:rPr>
        <w:t xml:space="preserve">Études sur l’Histoire d’Haïti </w:t>
      </w:r>
      <w:r w:rsidRPr="00C92F30">
        <w:t>en onze volumes (1853, 1860) ; voir les an</w:t>
      </w:r>
      <w:r w:rsidRPr="00C92F30">
        <w:t>a</w:t>
      </w:r>
      <w:r w:rsidRPr="00C92F30">
        <w:t xml:space="preserve">lyses de Laënnec Hurbon dans </w:t>
      </w:r>
      <w:r w:rsidRPr="00C92F30">
        <w:rPr>
          <w:i/>
        </w:rPr>
        <w:t>Le barbare imaginaire</w:t>
      </w:r>
      <w:r w:rsidRPr="00C92F30">
        <w:t>, op. cit., p. 63.</w:t>
      </w:r>
    </w:p>
  </w:footnote>
  <w:footnote w:id="367">
    <w:p w:rsidR="004C50DC" w:rsidRPr="00C92F30" w:rsidRDefault="004C50DC" w:rsidP="004C50DC">
      <w:pPr>
        <w:pStyle w:val="Notedebasdepage"/>
      </w:pPr>
      <w:r w:rsidRPr="003343FE">
        <w:rPr>
          <w:rStyle w:val="Appelnotedebasdep"/>
        </w:rPr>
        <w:footnoteRef/>
      </w:r>
      <w:r>
        <w:tab/>
      </w:r>
      <w:r w:rsidRPr="00C92F30">
        <w:t>Ibid., p. 63.</w:t>
      </w:r>
    </w:p>
  </w:footnote>
  <w:footnote w:id="368">
    <w:p w:rsidR="004C50DC" w:rsidRDefault="004C50DC">
      <w:pPr>
        <w:pStyle w:val="Notedebasdepage"/>
      </w:pPr>
      <w:r w:rsidRPr="0036713F">
        <w:rPr>
          <w:rStyle w:val="Appelnotedebasdep"/>
        </w:rPr>
        <w:footnoteRef/>
      </w:r>
      <w:r w:rsidRPr="0036713F">
        <w:rPr>
          <w:sz w:val="20"/>
        </w:rPr>
        <w:t xml:space="preserve"> </w:t>
      </w:r>
      <w:r>
        <w:tab/>
      </w:r>
      <w:r w:rsidRPr="00C92F30">
        <w:t xml:space="preserve">Louis Joseph Janvier, </w:t>
      </w:r>
      <w:r w:rsidRPr="00C92F30">
        <w:rPr>
          <w:i/>
        </w:rPr>
        <w:t>Les Constitutions d’Haïti (1801-1885),</w:t>
      </w:r>
      <w:r w:rsidRPr="00C92F30">
        <w:t xml:space="preserve"> Paris, Marpon et Flammarion, 188</w:t>
      </w:r>
      <w:r>
        <w:t>6, p. 230.</w:t>
      </w:r>
    </w:p>
  </w:footnote>
  <w:footnote w:id="369">
    <w:p w:rsidR="004C50DC" w:rsidRPr="00C92F30" w:rsidRDefault="004C50DC" w:rsidP="004C50DC">
      <w:pPr>
        <w:pStyle w:val="Notedebasdepage"/>
      </w:pPr>
      <w:r w:rsidRPr="0036713F">
        <w:rPr>
          <w:rStyle w:val="Appelnotedebasdep"/>
        </w:rPr>
        <w:footnoteRef/>
      </w:r>
      <w:r>
        <w:tab/>
      </w:r>
      <w:r w:rsidRPr="003343FE">
        <w:rPr>
          <w:i/>
        </w:rPr>
        <w:t>Ibid</w:t>
      </w:r>
      <w:r w:rsidRPr="00C92F30">
        <w:t>.</w:t>
      </w:r>
    </w:p>
  </w:footnote>
  <w:footnote w:id="370">
    <w:p w:rsidR="004C50DC" w:rsidRDefault="004C50DC">
      <w:pPr>
        <w:pStyle w:val="Notedebasdepage"/>
      </w:pPr>
      <w:r w:rsidRPr="0036713F">
        <w:rPr>
          <w:rStyle w:val="Appelnotedebasdep"/>
        </w:rPr>
        <w:footnoteRef/>
      </w:r>
      <w:r w:rsidRPr="0036713F">
        <w:rPr>
          <w:sz w:val="20"/>
        </w:rPr>
        <w:t xml:space="preserve"> </w:t>
      </w:r>
      <w:r>
        <w:tab/>
      </w:r>
      <w:r w:rsidRPr="00C92F30">
        <w:t>Louis Joseph Janvier et Anténor Firmin sont deux écrivains qui appartiennent à la classe moyenne haïtienne du XIX</w:t>
      </w:r>
      <w:r w:rsidRPr="00C92F30">
        <w:rPr>
          <w:vertAlign w:val="superscript"/>
        </w:rPr>
        <w:t>e</w:t>
      </w:r>
      <w:r w:rsidRPr="00C92F30">
        <w:t xml:space="preserve"> siècle. Louis Joseph Janvier soutenait qu’il s’était produit une amélioration du type noir en Haïti, mais que cette transform</w:t>
      </w:r>
      <w:r w:rsidRPr="00C92F30">
        <w:t>a</w:t>
      </w:r>
      <w:r w:rsidRPr="00C92F30">
        <w:t xml:space="preserve">tion était due au mélange avec « le sang européen qui se trouvait dans l’île… » ; voir Louis Joseph Janvier, </w:t>
      </w:r>
      <w:r w:rsidRPr="00C92F30">
        <w:rPr>
          <w:i/>
        </w:rPr>
        <w:t xml:space="preserve">Les détracteurs de la race noire et de la République d’Haïti (Réponse à Léo Quesnel), </w:t>
      </w:r>
      <w:r w:rsidRPr="00C92F30">
        <w:t>Paris, Marpon et Flamm</w:t>
      </w:r>
      <w:r w:rsidRPr="00C92F30">
        <w:t>a</w:t>
      </w:r>
      <w:r w:rsidRPr="00C92F30">
        <w:t xml:space="preserve">rion, 1882, p. 24, cité par Laënnec Hurbon, </w:t>
      </w:r>
      <w:r w:rsidRPr="00C92F30">
        <w:rPr>
          <w:i/>
        </w:rPr>
        <w:t>Le barbare imaginaire</w:t>
      </w:r>
      <w:r w:rsidRPr="00C92F30">
        <w:t>, op. cit., p. 59.Anténor Firmin récuse la thèse de « l’inégalité des races » soutenue par J</w:t>
      </w:r>
      <w:r w:rsidRPr="00C92F30">
        <w:t>o</w:t>
      </w:r>
      <w:r w:rsidRPr="00C92F30">
        <w:t>seph Arthur de Gobineau et présente sa théorie sur « l’égalité des races h</w:t>
      </w:r>
      <w:r w:rsidRPr="00C92F30">
        <w:t>u</w:t>
      </w:r>
      <w:r w:rsidRPr="00C92F30">
        <w:t xml:space="preserve">maines » en 1885. </w:t>
      </w:r>
    </w:p>
  </w:footnote>
  <w:footnote w:id="371">
    <w:p w:rsidR="004C50DC" w:rsidRDefault="004C50DC">
      <w:pPr>
        <w:pStyle w:val="Notedebasdepage"/>
      </w:pPr>
      <w:r w:rsidRPr="0036713F">
        <w:rPr>
          <w:rStyle w:val="Appelnotedebasdep"/>
        </w:rPr>
        <w:footnoteRef/>
      </w:r>
      <w:r w:rsidRPr="0036713F">
        <w:rPr>
          <w:sz w:val="20"/>
        </w:rPr>
        <w:t xml:space="preserve"> </w:t>
      </w:r>
      <w:r>
        <w:tab/>
      </w:r>
      <w:r w:rsidRPr="00C92F30">
        <w:t xml:space="preserve">Michel Foucault, </w:t>
      </w:r>
      <w:hyperlink r:id="rId53" w:history="1">
        <w:r w:rsidRPr="0036713F">
          <w:rPr>
            <w:rStyle w:val="Lienhypertexte"/>
            <w:i/>
          </w:rPr>
          <w:t>Les mots et les choses</w:t>
        </w:r>
      </w:hyperlink>
      <w:r w:rsidRPr="00C92F30">
        <w:t>, Paris, Gallimard, 1966, p. 318.</w:t>
      </w:r>
    </w:p>
  </w:footnote>
  <w:footnote w:id="372">
    <w:p w:rsidR="004C50DC" w:rsidRPr="00C92F30" w:rsidRDefault="004C50DC" w:rsidP="004C50DC">
      <w:pPr>
        <w:pStyle w:val="Notedebasdepage"/>
      </w:pPr>
      <w:r w:rsidRPr="0036713F">
        <w:rPr>
          <w:rStyle w:val="Appelnotedebasdep"/>
        </w:rPr>
        <w:footnoteRef/>
      </w:r>
      <w:r>
        <w:tab/>
      </w:r>
      <w:r w:rsidRPr="00C92F30">
        <w:t xml:space="preserve">Hénock Trouillot, « La pensée du docteur Jean Price-Mars », </w:t>
      </w:r>
      <w:r w:rsidRPr="00C92F30">
        <w:rPr>
          <w:i/>
        </w:rPr>
        <w:t>Revue de la S</w:t>
      </w:r>
      <w:r w:rsidRPr="00C92F30">
        <w:rPr>
          <w:i/>
        </w:rPr>
        <w:t>o</w:t>
      </w:r>
      <w:r w:rsidRPr="00C92F30">
        <w:rPr>
          <w:i/>
        </w:rPr>
        <w:t>ci</w:t>
      </w:r>
      <w:r w:rsidRPr="00C92F30">
        <w:rPr>
          <w:i/>
        </w:rPr>
        <w:t>é</w:t>
      </w:r>
      <w:r w:rsidRPr="00C92F30">
        <w:rPr>
          <w:i/>
        </w:rPr>
        <w:t>té haïtienne d’histoire, de géographie et de géologie</w:t>
      </w:r>
      <w:r w:rsidRPr="00C92F30">
        <w:t>, vol. 29, n</w:t>
      </w:r>
      <w:r w:rsidRPr="00C92F30">
        <w:rPr>
          <w:vertAlign w:val="superscript"/>
        </w:rPr>
        <w:t>o</w:t>
      </w:r>
      <w:r w:rsidRPr="00C92F30">
        <w:t> 102, Port-au-Prince, juillet-octobre 1956, p. 10.</w:t>
      </w:r>
    </w:p>
  </w:footnote>
  <w:footnote w:id="373">
    <w:p w:rsidR="004C50DC" w:rsidRPr="00C92F30" w:rsidRDefault="004C50DC" w:rsidP="004C50DC">
      <w:pPr>
        <w:pStyle w:val="Notedebasdepage"/>
      </w:pPr>
      <w:r w:rsidRPr="0036713F">
        <w:rPr>
          <w:rStyle w:val="Appelnotedebasdep"/>
        </w:rPr>
        <w:footnoteRef/>
      </w:r>
      <w:r>
        <w:tab/>
      </w:r>
      <w:r w:rsidRPr="00C92F30">
        <w:t>Hénock Trouillot, op. cit., p. 10.</w:t>
      </w:r>
    </w:p>
  </w:footnote>
  <w:footnote w:id="374">
    <w:p w:rsidR="004C50DC" w:rsidRDefault="004C50DC">
      <w:pPr>
        <w:pStyle w:val="Notedebasdepage"/>
      </w:pPr>
      <w:r w:rsidRPr="0036713F">
        <w:rPr>
          <w:rStyle w:val="Appelnotedebasdep"/>
        </w:rPr>
        <w:footnoteRef/>
      </w:r>
      <w:r w:rsidRPr="0036713F">
        <w:rPr>
          <w:sz w:val="20"/>
        </w:rPr>
        <w:t xml:space="preserve"> </w:t>
      </w:r>
      <w:r>
        <w:tab/>
      </w:r>
      <w:r w:rsidRPr="00C92F30">
        <w:t>Ibid., p. 10.</w:t>
      </w:r>
    </w:p>
  </w:footnote>
  <w:footnote w:id="375">
    <w:p w:rsidR="004C50DC" w:rsidRPr="00C92F30" w:rsidRDefault="004C50DC" w:rsidP="004C50DC">
      <w:pPr>
        <w:pStyle w:val="Notedebasdepage"/>
      </w:pPr>
      <w:r w:rsidRPr="0036713F">
        <w:rPr>
          <w:rStyle w:val="Appelnotedebasdep"/>
        </w:rPr>
        <w:footnoteRef/>
      </w:r>
      <w:r>
        <w:tab/>
      </w:r>
      <w:r w:rsidRPr="00C92F30">
        <w:t xml:space="preserve">Louis-Joseph Janvier, </w:t>
      </w:r>
      <w:r w:rsidRPr="00C92F30">
        <w:rPr>
          <w:i/>
        </w:rPr>
        <w:t>L’Égalité des races</w:t>
      </w:r>
      <w:r w:rsidRPr="00C92F30">
        <w:t>, 1884, p. 26, cité par Laënnec Hu</w:t>
      </w:r>
      <w:r w:rsidRPr="00C92F30">
        <w:t>r</w:t>
      </w:r>
      <w:r w:rsidRPr="00C92F30">
        <w:t xml:space="preserve">bon, </w:t>
      </w:r>
      <w:r w:rsidRPr="00C92F30">
        <w:rPr>
          <w:i/>
        </w:rPr>
        <w:t>Le barbare imaginaire</w:t>
      </w:r>
      <w:r w:rsidRPr="00C92F30">
        <w:t>, op. cit., p. 59.</w:t>
      </w:r>
    </w:p>
  </w:footnote>
  <w:footnote w:id="376">
    <w:p w:rsidR="004C50DC" w:rsidRPr="00C92F30" w:rsidRDefault="004C50DC" w:rsidP="004C50DC">
      <w:pPr>
        <w:pStyle w:val="Notedebasdepage"/>
      </w:pPr>
      <w:r w:rsidRPr="0036713F">
        <w:rPr>
          <w:rStyle w:val="Appelnotedebasdep"/>
        </w:rPr>
        <w:footnoteRef/>
      </w:r>
      <w:r w:rsidRPr="0036713F">
        <w:rPr>
          <w:sz w:val="20"/>
        </w:rPr>
        <w:t xml:space="preserve"> </w:t>
      </w:r>
      <w:r>
        <w:tab/>
      </w:r>
      <w:r w:rsidRPr="00C92F30">
        <w:t xml:space="preserve">Hannibal Price, </w:t>
      </w:r>
      <w:hyperlink r:id="rId54" w:history="1">
        <w:r w:rsidRPr="0036713F">
          <w:rPr>
            <w:rStyle w:val="Lienhypertexte"/>
            <w:i/>
          </w:rPr>
          <w:t>De la réhabilitation de la race noirepar la République d’Haïti</w:t>
        </w:r>
      </w:hyperlink>
      <w:r w:rsidRPr="00C92F30">
        <w:t xml:space="preserve">, 1891, p. VII, cité par Laënnec Hurbon, </w:t>
      </w:r>
      <w:r w:rsidRPr="0036713F">
        <w:rPr>
          <w:i/>
        </w:rPr>
        <w:t>Le barbare imaginaire</w:t>
      </w:r>
      <w:r w:rsidRPr="00C92F30">
        <w:t xml:space="preserve">, op. cit., p. 61.  </w:t>
      </w:r>
    </w:p>
  </w:footnote>
  <w:footnote w:id="377">
    <w:p w:rsidR="004C50DC" w:rsidRPr="00C92F30" w:rsidRDefault="004C50DC" w:rsidP="004C50DC">
      <w:pPr>
        <w:pStyle w:val="Notedebasdepage"/>
      </w:pPr>
      <w:r w:rsidRPr="0036713F">
        <w:rPr>
          <w:rStyle w:val="Appelnotedebasdep"/>
        </w:rPr>
        <w:footnoteRef/>
      </w:r>
      <w:r>
        <w:tab/>
      </w:r>
      <w:r w:rsidRPr="00C92F30">
        <w:t>« Populaire » peut faire référence ici aux pratiques culturelles et aux représe</w:t>
      </w:r>
      <w:r w:rsidRPr="00C92F30">
        <w:t>n</w:t>
      </w:r>
      <w:r w:rsidRPr="00C92F30">
        <w:t>tations qui portent à considérer le peuple haïtien comme une force sociale et p</w:t>
      </w:r>
      <w:r w:rsidRPr="00C92F30">
        <w:t>o</w:t>
      </w:r>
      <w:r w:rsidRPr="00C92F30">
        <w:t xml:space="preserve">litique.   </w:t>
      </w:r>
    </w:p>
  </w:footnote>
  <w:footnote w:id="378">
    <w:p w:rsidR="004C50DC" w:rsidRDefault="004C50DC">
      <w:pPr>
        <w:pStyle w:val="Notedebasdepage"/>
      </w:pPr>
      <w:r>
        <w:rPr>
          <w:rStyle w:val="Appelnotedebasdep"/>
        </w:rPr>
        <w:footnoteRef/>
      </w:r>
      <w:r>
        <w:t xml:space="preserve"> </w:t>
      </w:r>
      <w:r>
        <w:tab/>
      </w:r>
      <w:r w:rsidRPr="00C92F30">
        <w:t xml:space="preserve">À ce propos, voir Wiener Kerns Fleurimond, </w:t>
      </w:r>
      <w:r w:rsidRPr="00C92F30">
        <w:rPr>
          <w:i/>
        </w:rPr>
        <w:t>Haïti, de la crise à l’occupation. Histoire d'un chaos (2000-2004) - Tome I : La chute d’Aristide</w:t>
      </w:r>
      <w:r w:rsidRPr="00C92F30">
        <w:t>, Paris, L’Harmattan, 2009, p.18.</w:t>
      </w:r>
    </w:p>
  </w:footnote>
  <w:footnote w:id="379">
    <w:p w:rsidR="004C50DC" w:rsidRDefault="004C50DC">
      <w:pPr>
        <w:pStyle w:val="Notedebasdepage"/>
      </w:pPr>
      <w:r>
        <w:rPr>
          <w:rStyle w:val="Appelnotedebasdep"/>
        </w:rPr>
        <w:footnoteRef/>
      </w:r>
      <w:r>
        <w:t xml:space="preserve"> </w:t>
      </w:r>
      <w:r>
        <w:tab/>
      </w:r>
      <w:r w:rsidRPr="00C92F30">
        <w:t>Nom des cafards dans les Antilles.</w:t>
      </w:r>
    </w:p>
  </w:footnote>
  <w:footnote w:id="380">
    <w:p w:rsidR="004C50DC" w:rsidRDefault="004C50DC">
      <w:pPr>
        <w:pStyle w:val="Notedebasdepage"/>
      </w:pPr>
      <w:r>
        <w:rPr>
          <w:rStyle w:val="Appelnotedebasdep"/>
        </w:rPr>
        <w:footnoteRef/>
      </w:r>
      <w:r>
        <w:t xml:space="preserve"> </w:t>
      </w:r>
      <w:r>
        <w:tab/>
      </w:r>
      <w:r w:rsidRPr="00C92F30">
        <w:t xml:space="preserve">Roger Gaillard, </w:t>
      </w:r>
      <w:r w:rsidRPr="00C92F30">
        <w:rPr>
          <w:i/>
        </w:rPr>
        <w:t>Les Blancs débarquent - La République autoritaire</w:t>
      </w:r>
      <w:r w:rsidRPr="00C92F30">
        <w:t>, Port-au-Prince, Le Natal, 1981, p. 99.</w:t>
      </w:r>
    </w:p>
  </w:footnote>
  <w:footnote w:id="381">
    <w:p w:rsidR="004C50DC" w:rsidRPr="00C92F30" w:rsidRDefault="004C50DC" w:rsidP="004C50DC">
      <w:pPr>
        <w:pStyle w:val="Notedebasdepage"/>
      </w:pPr>
      <w:r w:rsidRPr="0036713F">
        <w:rPr>
          <w:rStyle w:val="Appelnotedebasdep"/>
        </w:rPr>
        <w:footnoteRef/>
      </w:r>
      <w:r>
        <w:tab/>
      </w:r>
      <w:r w:rsidRPr="00C92F30">
        <w:t xml:space="preserve">Lyonel Paquin, </w:t>
      </w:r>
      <w:r w:rsidRPr="00C92F30">
        <w:rPr>
          <w:i/>
        </w:rPr>
        <w:t xml:space="preserve">Les Haïtiens. Politique de classe et de couleur, </w:t>
      </w:r>
      <w:r w:rsidRPr="00C92F30">
        <w:t>Port-au-Prince, Le Natal, 1988, p. 78.</w:t>
      </w:r>
    </w:p>
  </w:footnote>
  <w:footnote w:id="382">
    <w:p w:rsidR="004C50DC" w:rsidRPr="00C92F30" w:rsidRDefault="004C50DC" w:rsidP="004C50DC">
      <w:pPr>
        <w:pStyle w:val="Notedebasdepage"/>
      </w:pPr>
      <w:r w:rsidRPr="0036713F">
        <w:rPr>
          <w:rStyle w:val="Appelnotedebasdep"/>
        </w:rPr>
        <w:footnoteRef/>
      </w:r>
      <w:r>
        <w:tab/>
      </w:r>
      <w:r w:rsidRPr="00C92F30">
        <w:t>CIDIHCA, « Haïti 1900-1934 », film réalisé par Frantz Voltaire, 2015.</w:t>
      </w:r>
    </w:p>
  </w:footnote>
  <w:footnote w:id="383">
    <w:p w:rsidR="004C50DC" w:rsidRPr="00C92F30" w:rsidRDefault="004C50DC" w:rsidP="004C50DC">
      <w:pPr>
        <w:pStyle w:val="Notedebasdepage"/>
      </w:pPr>
      <w:r w:rsidRPr="0036713F">
        <w:rPr>
          <w:rStyle w:val="Appelnotedebasdep"/>
        </w:rPr>
        <w:footnoteRef/>
      </w:r>
      <w:r>
        <w:tab/>
      </w:r>
      <w:r w:rsidRPr="00C92F30">
        <w:t xml:space="preserve">Roger Gaillard, </w:t>
      </w:r>
      <w:r w:rsidRPr="00C92F30">
        <w:rPr>
          <w:i/>
        </w:rPr>
        <w:t>Les Blancs débarquent</w:t>
      </w:r>
      <w:r w:rsidRPr="00C92F30">
        <w:t xml:space="preserve">, Tome 3, Port-au-Prince, Imprimerie le Natal, 1981, p. 265. </w:t>
      </w:r>
    </w:p>
  </w:footnote>
  <w:footnote w:id="384">
    <w:p w:rsidR="004C50DC" w:rsidRPr="00C92F30" w:rsidRDefault="004C50DC" w:rsidP="004C50DC">
      <w:pPr>
        <w:pStyle w:val="Notedebasdepage"/>
      </w:pPr>
      <w:r w:rsidRPr="0036713F">
        <w:rPr>
          <w:rStyle w:val="Appelnotedebasdep"/>
        </w:rPr>
        <w:footnoteRef/>
      </w:r>
      <w:r>
        <w:tab/>
      </w:r>
      <w:r w:rsidRPr="00C92F30">
        <w:t>Lyonel Paquin, op. cit., p. 78.</w:t>
      </w:r>
    </w:p>
  </w:footnote>
  <w:footnote w:id="385">
    <w:p w:rsidR="004C50DC" w:rsidRDefault="004C50DC">
      <w:pPr>
        <w:pStyle w:val="Notedebasdepage"/>
      </w:pPr>
      <w:r w:rsidRPr="0036713F">
        <w:rPr>
          <w:rStyle w:val="Appelnotedebasdep"/>
        </w:rPr>
        <w:footnoteRef/>
      </w:r>
      <w:r w:rsidRPr="0036713F">
        <w:rPr>
          <w:sz w:val="20"/>
        </w:rPr>
        <w:t xml:space="preserve"> </w:t>
      </w:r>
      <w:r>
        <w:tab/>
      </w:r>
      <w:r w:rsidRPr="00C92F30">
        <w:rPr>
          <w:lang w:val="fr-FR"/>
        </w:rPr>
        <w:t xml:space="preserve">Jean Price-Mars, </w:t>
      </w:r>
      <w:hyperlink r:id="rId55" w:history="1">
        <w:r w:rsidRPr="00C92F30">
          <w:rPr>
            <w:rStyle w:val="Lienhypertexte"/>
            <w:i/>
            <w:lang w:val="fr-FR"/>
          </w:rPr>
          <w:t>Ainsi parla l’oncle. Essais d’ethnographie</w:t>
        </w:r>
      </w:hyperlink>
      <w:r w:rsidRPr="00C92F30">
        <w:rPr>
          <w:lang w:val="fr-FR"/>
        </w:rPr>
        <w:t>, Port-au-Prince, Fardin, [1928] 2004, p. iii.</w:t>
      </w:r>
    </w:p>
  </w:footnote>
  <w:footnote w:id="386">
    <w:p w:rsidR="004C50DC" w:rsidRDefault="004C50DC">
      <w:pPr>
        <w:pStyle w:val="Notedebasdepage"/>
      </w:pPr>
      <w:r w:rsidRPr="0036713F">
        <w:rPr>
          <w:rStyle w:val="Appelnotedebasdep"/>
        </w:rPr>
        <w:footnoteRef/>
      </w:r>
      <w:r w:rsidRPr="0036713F">
        <w:rPr>
          <w:sz w:val="20"/>
        </w:rPr>
        <w:t xml:space="preserve"> </w:t>
      </w:r>
      <w:r>
        <w:tab/>
      </w:r>
      <w:r w:rsidRPr="00C92F30">
        <w:rPr>
          <w:lang w:val="fr-FR"/>
        </w:rPr>
        <w:t xml:space="preserve">Léon François Hoffmann, </w:t>
      </w:r>
      <w:hyperlink r:id="rId56" w:history="1">
        <w:r w:rsidRPr="00C92F30">
          <w:rPr>
            <w:rStyle w:val="Lienhypertexte"/>
            <w:i/>
            <w:lang w:val="fr-FR"/>
          </w:rPr>
          <w:t>Haïti. Couleurs, croyances créole</w:t>
        </w:r>
      </w:hyperlink>
      <w:r w:rsidRPr="00C92F30">
        <w:rPr>
          <w:lang w:val="fr-FR"/>
        </w:rPr>
        <w:t>, op. cit., p. 59.</w:t>
      </w:r>
    </w:p>
  </w:footnote>
  <w:footnote w:id="387">
    <w:p w:rsidR="004C50DC" w:rsidRPr="00C92F30" w:rsidRDefault="004C50DC" w:rsidP="004C50DC">
      <w:pPr>
        <w:pStyle w:val="Notedebasdepage"/>
      </w:pPr>
      <w:r w:rsidRPr="0036713F">
        <w:rPr>
          <w:rStyle w:val="Appelnotedebasdep"/>
        </w:rPr>
        <w:footnoteRef/>
      </w:r>
      <w:r>
        <w:tab/>
      </w:r>
      <w:r w:rsidRPr="00C92F30">
        <w:t>Jacques Roumain est un penseur marxiste fondateur du Parti communiste ha</w:t>
      </w:r>
      <w:r w:rsidRPr="00C92F30">
        <w:t>ï</w:t>
      </w:r>
      <w:r w:rsidRPr="00C92F30">
        <w:t>tien.</w:t>
      </w:r>
    </w:p>
  </w:footnote>
  <w:footnote w:id="388">
    <w:p w:rsidR="004C50DC" w:rsidRPr="00C92F30" w:rsidRDefault="004C50DC" w:rsidP="004C50DC">
      <w:pPr>
        <w:pStyle w:val="Notedebasdepage"/>
      </w:pPr>
      <w:r w:rsidRPr="0036713F">
        <w:rPr>
          <w:rStyle w:val="Appelnotedebasdep"/>
        </w:rPr>
        <w:footnoteRef/>
      </w:r>
      <w:r>
        <w:tab/>
      </w:r>
      <w:r w:rsidRPr="00C92F30">
        <w:t>CIDIHCA, « Haïti 1900-1934 », op. cit.</w:t>
      </w:r>
    </w:p>
  </w:footnote>
  <w:footnote w:id="389">
    <w:p w:rsidR="004C50DC" w:rsidRDefault="004C50DC">
      <w:pPr>
        <w:pStyle w:val="Notedebasdepage"/>
      </w:pPr>
      <w:r w:rsidRPr="0036713F">
        <w:rPr>
          <w:rStyle w:val="Appelnotedebasdep"/>
        </w:rPr>
        <w:footnoteRef/>
      </w:r>
      <w:r w:rsidRPr="0036713F">
        <w:rPr>
          <w:sz w:val="20"/>
        </w:rPr>
        <w:t xml:space="preserve"> </w:t>
      </w:r>
      <w:r>
        <w:tab/>
      </w:r>
      <w:r w:rsidRPr="00C92F30">
        <w:t xml:space="preserve">Jean Price-Mars, </w:t>
      </w:r>
      <w:hyperlink r:id="rId57" w:history="1">
        <w:r w:rsidRPr="00C92F30">
          <w:rPr>
            <w:rStyle w:val="Lienhypertexte"/>
            <w:i/>
          </w:rPr>
          <w:t>Le bilan des études ethnologiques en Haïti et le cycle d’étude nègre</w:t>
        </w:r>
      </w:hyperlink>
      <w:r w:rsidRPr="00C92F30">
        <w:t>, Port-au-Prince, Imprimerie de l’État, 1954, p. 21.</w:t>
      </w:r>
    </w:p>
  </w:footnote>
  <w:footnote w:id="390">
    <w:p w:rsidR="004C50DC" w:rsidRDefault="004C50DC">
      <w:pPr>
        <w:pStyle w:val="Notedebasdepage"/>
      </w:pPr>
      <w:r>
        <w:rPr>
          <w:rStyle w:val="Appelnotedebasdep"/>
        </w:rPr>
        <w:footnoteRef/>
      </w:r>
      <w:r>
        <w:t xml:space="preserve"> </w:t>
      </w:r>
      <w:r>
        <w:tab/>
      </w:r>
      <w:r w:rsidRPr="00C92F30">
        <w:t xml:space="preserve">Hérold Toussaint, </w:t>
      </w:r>
      <w:r w:rsidRPr="00C92F30">
        <w:rPr>
          <w:i/>
        </w:rPr>
        <w:t>L’utopie révolutionnaire en Haïti autour de Jacques Ro</w:t>
      </w:r>
      <w:r w:rsidRPr="00C92F30">
        <w:rPr>
          <w:i/>
        </w:rPr>
        <w:t>u</w:t>
      </w:r>
      <w:r w:rsidRPr="00C92F30">
        <w:rPr>
          <w:i/>
        </w:rPr>
        <w:t>main</w:t>
      </w:r>
      <w:r w:rsidRPr="00C92F30">
        <w:t xml:space="preserve">, Port-au-Prince, Presses nationales d’Haïti, 2008, p. 95. </w:t>
      </w:r>
    </w:p>
  </w:footnote>
  <w:footnote w:id="391">
    <w:p w:rsidR="004C50DC" w:rsidRDefault="004C50DC">
      <w:pPr>
        <w:pStyle w:val="Notedebasdepage"/>
      </w:pPr>
      <w:r>
        <w:rPr>
          <w:rStyle w:val="Appelnotedebasdep"/>
        </w:rPr>
        <w:footnoteRef/>
      </w:r>
      <w:r>
        <w:t xml:space="preserve"> </w:t>
      </w:r>
      <w:r>
        <w:tab/>
      </w:r>
      <w:r w:rsidRPr="00C92F30">
        <w:t xml:space="preserve">Voir Maurice Lubin, </w:t>
      </w:r>
      <w:r w:rsidRPr="00C92F30">
        <w:rPr>
          <w:i/>
        </w:rPr>
        <w:t>L’Afrique dans la poésie haïtienne</w:t>
      </w:r>
      <w:r w:rsidRPr="00C92F30">
        <w:t>, Port-au-Prince, P</w:t>
      </w:r>
      <w:r w:rsidRPr="00C92F30">
        <w:t>a</w:t>
      </w:r>
      <w:r w:rsidRPr="00C92F30">
        <w:t>norama, 1965, p. 26, cité par Hérold Toussaint, 2008, p. 95.</w:t>
      </w:r>
    </w:p>
  </w:footnote>
  <w:footnote w:id="392">
    <w:p w:rsidR="004C50DC" w:rsidRDefault="004C50DC">
      <w:pPr>
        <w:pStyle w:val="Notedebasdepage"/>
      </w:pPr>
      <w:r>
        <w:rPr>
          <w:rStyle w:val="Appelnotedebasdep"/>
        </w:rPr>
        <w:footnoteRef/>
      </w:r>
      <w:r>
        <w:t xml:space="preserve"> </w:t>
      </w:r>
      <w:r>
        <w:tab/>
      </w:r>
      <w:r w:rsidRPr="00C92F30">
        <w:t xml:space="preserve">Jacques Roumain, </w:t>
      </w:r>
      <w:r w:rsidRPr="00C92F30">
        <w:rPr>
          <w:i/>
        </w:rPr>
        <w:t>Œuvres complètes</w:t>
      </w:r>
      <w:r w:rsidRPr="00C92F30">
        <w:t>, Madrid, Critique, 2003, p. 976-977, cité par Hérold Toussaint, op.cit., 2008, p. 94-95.</w:t>
      </w:r>
    </w:p>
  </w:footnote>
  <w:footnote w:id="393">
    <w:p w:rsidR="004C50DC" w:rsidRDefault="004C50DC">
      <w:pPr>
        <w:pStyle w:val="Notedebasdepage"/>
      </w:pPr>
      <w:r>
        <w:rPr>
          <w:rStyle w:val="Appelnotedebasdep"/>
        </w:rPr>
        <w:footnoteRef/>
      </w:r>
      <w:r>
        <w:t xml:space="preserve"> </w:t>
      </w:r>
      <w:r>
        <w:tab/>
      </w:r>
      <w:r w:rsidRPr="00C92F30">
        <w:t xml:space="preserve">Jacques Roumain, </w:t>
      </w:r>
      <w:r w:rsidRPr="00C92F30">
        <w:rPr>
          <w:i/>
        </w:rPr>
        <w:t>Bois d’ébène</w:t>
      </w:r>
      <w:r w:rsidRPr="00C92F30">
        <w:t>, Port-au-Prince, Henri Deschamps, 1945, p. 5.</w:t>
      </w:r>
    </w:p>
  </w:footnote>
  <w:footnote w:id="394">
    <w:p w:rsidR="004C50DC" w:rsidRDefault="004C50DC">
      <w:pPr>
        <w:pStyle w:val="Notedebasdepage"/>
      </w:pPr>
      <w:r w:rsidRPr="0036713F">
        <w:rPr>
          <w:rStyle w:val="Appelnotedebasdep"/>
        </w:rPr>
        <w:footnoteRef/>
      </w:r>
      <w:r w:rsidRPr="0036713F">
        <w:rPr>
          <w:sz w:val="20"/>
        </w:rPr>
        <w:t xml:space="preserve"> </w:t>
      </w:r>
      <w:r>
        <w:tab/>
      </w:r>
      <w:r w:rsidRPr="00C92F30">
        <w:t xml:space="preserve">Michel RolfTrouillot, </w:t>
      </w:r>
      <w:r w:rsidRPr="00C92F30">
        <w:rPr>
          <w:i/>
        </w:rPr>
        <w:t>Les racines historiques de l’État duvaliérien</w:t>
      </w:r>
      <w:r w:rsidRPr="00C92F30">
        <w:t>, Port-au-Prince, Deschamps, 1986, p. 136, cité par Leslie Jean-Robert Péan, « La s</w:t>
      </w:r>
      <w:r w:rsidRPr="00C92F30">
        <w:t>e</w:t>
      </w:r>
      <w:r w:rsidRPr="00C92F30">
        <w:t>maine Dessalines. Le mauvais chemin pris par Haïti dans l’histoire (5 de 7) », en ligne, http://www.alterpresse.org/spip.php?article19029#.VjoJomQvcy4, consulté le 19 octobre 2015.</w:t>
      </w:r>
    </w:p>
  </w:footnote>
  <w:footnote w:id="395">
    <w:p w:rsidR="004C50DC" w:rsidRDefault="004C50DC">
      <w:pPr>
        <w:pStyle w:val="Notedebasdepage"/>
      </w:pPr>
      <w:r w:rsidRPr="0036713F">
        <w:rPr>
          <w:rStyle w:val="Appelnotedebasdep"/>
        </w:rPr>
        <w:footnoteRef/>
      </w:r>
      <w:r w:rsidRPr="0036713F">
        <w:rPr>
          <w:sz w:val="20"/>
        </w:rPr>
        <w:t xml:space="preserve"> </w:t>
      </w:r>
      <w:r>
        <w:tab/>
      </w:r>
      <w:r w:rsidRPr="00C92F30">
        <w:t>Dimitri Bechacq, « Les parcours du marronnage dans l’histoire haïtienne. E</w:t>
      </w:r>
      <w:r w:rsidRPr="00C92F30">
        <w:t>n</w:t>
      </w:r>
      <w:r w:rsidRPr="00C92F30">
        <w:t xml:space="preserve">tre instrumentalisation politique et réinterprétation sociale », </w:t>
      </w:r>
      <w:r w:rsidRPr="00C92F30">
        <w:rPr>
          <w:i/>
        </w:rPr>
        <w:t xml:space="preserve">Ethnologies, </w:t>
      </w:r>
      <w:r w:rsidRPr="00C92F30">
        <w:t>n</w:t>
      </w:r>
      <w:r w:rsidRPr="00C92F30">
        <w:t>u</w:t>
      </w:r>
      <w:r w:rsidRPr="00C92F30">
        <w:t xml:space="preserve">méro thématique </w:t>
      </w:r>
      <w:r w:rsidRPr="00C92F30">
        <w:rPr>
          <w:i/>
        </w:rPr>
        <w:t xml:space="preserve">Haïti face au passé, </w:t>
      </w:r>
      <w:r w:rsidRPr="00C92F30">
        <w:t>vol. 28, n</w:t>
      </w:r>
      <w:r w:rsidRPr="00C92F30">
        <w:rPr>
          <w:vertAlign w:val="superscript"/>
        </w:rPr>
        <w:t>o</w:t>
      </w:r>
      <w:r w:rsidRPr="00C92F30">
        <w:t> 1</w:t>
      </w:r>
      <w:r w:rsidRPr="00C92F30">
        <w:rPr>
          <w:i/>
        </w:rPr>
        <w:t xml:space="preserve">, </w:t>
      </w:r>
      <w:r w:rsidRPr="00C92F30">
        <w:t>2006, p</w:t>
      </w:r>
      <w:r>
        <w:t>p</w:t>
      </w:r>
      <w:r w:rsidRPr="00C92F30">
        <w:t>. 223-224.</w:t>
      </w:r>
    </w:p>
  </w:footnote>
  <w:footnote w:id="396">
    <w:p w:rsidR="004C50DC" w:rsidRPr="00C92F30" w:rsidRDefault="004C50DC" w:rsidP="004C50DC">
      <w:pPr>
        <w:pStyle w:val="Notedebasdepage"/>
      </w:pPr>
      <w:r w:rsidRPr="0036713F">
        <w:rPr>
          <w:rStyle w:val="Appelnotedebasdep"/>
        </w:rPr>
        <w:footnoteRef/>
      </w:r>
      <w:r>
        <w:tab/>
      </w:r>
      <w:r w:rsidRPr="0036713F">
        <w:rPr>
          <w:i/>
        </w:rPr>
        <w:t>Ibid</w:t>
      </w:r>
      <w:r w:rsidRPr="00C92F30">
        <w:t>., p</w:t>
      </w:r>
      <w:r>
        <w:t>p</w:t>
      </w:r>
      <w:r w:rsidRPr="00C92F30">
        <w:t>. 223-224.</w:t>
      </w:r>
    </w:p>
  </w:footnote>
  <w:footnote w:id="397">
    <w:p w:rsidR="004C50DC" w:rsidRPr="00C92F30" w:rsidRDefault="004C50DC" w:rsidP="004C50DC">
      <w:pPr>
        <w:pStyle w:val="Notedebasdepage"/>
      </w:pPr>
      <w:r w:rsidRPr="0036713F">
        <w:rPr>
          <w:rStyle w:val="Appelnotedebasdep"/>
        </w:rPr>
        <w:footnoteRef/>
      </w:r>
      <w:r>
        <w:tab/>
      </w:r>
      <w:r w:rsidRPr="00C92F30">
        <w:t xml:space="preserve">Étienne Balibar et Immanuel Wallerstein, </w:t>
      </w:r>
      <w:r w:rsidRPr="00C92F30">
        <w:rPr>
          <w:i/>
        </w:rPr>
        <w:t>Race, nation, classe. Les identités ambiguës</w:t>
      </w:r>
      <w:r w:rsidRPr="00C92F30">
        <w:t>, Paris, La Découverte/Poche, [1988]1997, p</w:t>
      </w:r>
      <w:r>
        <w:t>p</w:t>
      </w:r>
      <w:r w:rsidRPr="00C92F30">
        <w:t>. 130-137.</w:t>
      </w:r>
    </w:p>
  </w:footnote>
  <w:footnote w:id="398">
    <w:p w:rsidR="004C50DC" w:rsidRPr="00C92F30" w:rsidRDefault="004C50DC" w:rsidP="004C50DC">
      <w:pPr>
        <w:pStyle w:val="Notedebasdepage"/>
      </w:pPr>
      <w:r w:rsidRPr="0036713F">
        <w:rPr>
          <w:rStyle w:val="Appelnotedebasdep"/>
        </w:rPr>
        <w:footnoteRef/>
      </w:r>
      <w:r>
        <w:tab/>
      </w:r>
      <w:r w:rsidRPr="00C92F30">
        <w:t>Voir Franklin Midy, « Vers l’indépendance des colonies d’esclaves des Am</w:t>
      </w:r>
      <w:r w:rsidRPr="00C92F30">
        <w:t>é</w:t>
      </w:r>
      <w:r w:rsidRPr="00C92F30">
        <w:t xml:space="preserve">riques. L’exception haïtienne », dans Marcel Dorigny (dir.), </w:t>
      </w:r>
      <w:r w:rsidRPr="00C92F30">
        <w:rPr>
          <w:i/>
        </w:rPr>
        <w:t>Haïti, première république noire,</w:t>
      </w:r>
      <w:r w:rsidRPr="00C92F30">
        <w:t xml:space="preserve"> Paris, SFHOM-APECE, 2003, p. 121-138 etClaude Mo</w:t>
      </w:r>
      <w:r w:rsidRPr="00C92F30">
        <w:t>ï</w:t>
      </w:r>
      <w:r w:rsidRPr="00C92F30">
        <w:t xml:space="preserve">se, </w:t>
      </w:r>
      <w:r w:rsidRPr="00C92F30">
        <w:rPr>
          <w:i/>
        </w:rPr>
        <w:t>Dictionnaire historique de la Révolution haïtienne (1789-1804)</w:t>
      </w:r>
      <w:r w:rsidRPr="00C92F30">
        <w:t xml:space="preserve">, 2003, cités par Bechacq, « Les parcours du marronnage… », op. cit., p. 208. </w:t>
      </w:r>
    </w:p>
  </w:footnote>
  <w:footnote w:id="399">
    <w:p w:rsidR="004C50DC" w:rsidRPr="00C92F30" w:rsidRDefault="004C50DC" w:rsidP="004C50DC">
      <w:pPr>
        <w:pStyle w:val="Notedebasdepage"/>
      </w:pPr>
      <w:r w:rsidRPr="0036713F">
        <w:rPr>
          <w:rStyle w:val="Appelnotedebasdep"/>
        </w:rPr>
        <w:footnoteRef/>
      </w:r>
      <w:r>
        <w:tab/>
      </w:r>
      <w:r w:rsidRPr="00C92F30">
        <w:t xml:space="preserve">Leslie Jean-Robert Péan, </w:t>
      </w:r>
      <w:r w:rsidRPr="00C92F30">
        <w:rPr>
          <w:bCs/>
          <w:lang w:eastAsia="en-CA"/>
        </w:rPr>
        <w:t xml:space="preserve">« Économie politique de la corruption (1791-1990) », </w:t>
      </w:r>
      <w:r w:rsidRPr="00C92F30">
        <w:rPr>
          <w:lang w:eastAsia="en-CA"/>
        </w:rPr>
        <w:t xml:space="preserve">Allocution à l’Académie dominicaine d’Histoire </w:t>
      </w:r>
      <w:r w:rsidRPr="00C92F30">
        <w:t xml:space="preserve">le 30 mars 2007, </w:t>
      </w:r>
      <w:r w:rsidRPr="00C92F30">
        <w:rPr>
          <w:i/>
          <w:lang w:eastAsia="en-CA"/>
        </w:rPr>
        <w:t>Le Nouve</w:t>
      </w:r>
      <w:r w:rsidRPr="00C92F30">
        <w:rPr>
          <w:i/>
          <w:lang w:eastAsia="en-CA"/>
        </w:rPr>
        <w:t>l</w:t>
      </w:r>
      <w:r w:rsidRPr="00C92F30">
        <w:rPr>
          <w:i/>
          <w:lang w:eastAsia="en-CA"/>
        </w:rPr>
        <w:t>liste, e</w:t>
      </w:r>
      <w:r w:rsidRPr="00C92F30">
        <w:t xml:space="preserve">n ligne, </w:t>
      </w:r>
      <w:r>
        <w:br/>
      </w:r>
      <w:r w:rsidRPr="00C92F30">
        <w:t>http://lenouvelliste.com/lenouvelliste/article/41536/Texte-de-presentation-de-Leslie-Pean-a-lAcademie-Dominicaine-dHistoire, consulté le 17 octobre 2014.</w:t>
      </w:r>
    </w:p>
  </w:footnote>
  <w:footnote w:id="400">
    <w:p w:rsidR="004C50DC" w:rsidRPr="00C92F30" w:rsidRDefault="004C50DC" w:rsidP="004C50DC">
      <w:pPr>
        <w:pStyle w:val="Notedebasdepage"/>
      </w:pPr>
      <w:r w:rsidRPr="0036713F">
        <w:rPr>
          <w:rStyle w:val="Appelnotedebasdep"/>
        </w:rPr>
        <w:footnoteRef/>
      </w:r>
      <w:r>
        <w:tab/>
      </w:r>
      <w:r w:rsidRPr="00C92F30">
        <w:t>Les affranchis étaient des mulâtres, mais aussi des noirs ; nous évitons ainsi de verser dans l’image coloriste des classes sociales en Haïti.</w:t>
      </w:r>
    </w:p>
  </w:footnote>
  <w:footnote w:id="401">
    <w:p w:rsidR="004C50DC" w:rsidRDefault="004C50DC">
      <w:pPr>
        <w:pStyle w:val="Notedebasdepage"/>
      </w:pPr>
      <w:r>
        <w:rPr>
          <w:rStyle w:val="Appelnotedebasdep"/>
        </w:rPr>
        <w:footnoteRef/>
      </w:r>
      <w:r>
        <w:t xml:space="preserve"> </w:t>
      </w:r>
      <w:r>
        <w:tab/>
      </w:r>
      <w:r w:rsidRPr="00C92F30">
        <w:rPr>
          <w:lang w:val="fr-FR"/>
        </w:rPr>
        <w:t xml:space="preserve">Françoise Gaspard, « Multiculturalisme et identités », </w:t>
      </w:r>
      <w:r w:rsidRPr="00C92F30">
        <w:rPr>
          <w:i/>
          <w:lang w:val="fr-FR"/>
        </w:rPr>
        <w:t>Recherche sociale</w:t>
      </w:r>
      <w:r w:rsidRPr="00C92F30">
        <w:rPr>
          <w:lang w:val="fr-FR"/>
        </w:rPr>
        <w:t>, n</w:t>
      </w:r>
      <w:r w:rsidRPr="00C92F30">
        <w:rPr>
          <w:vertAlign w:val="superscript"/>
          <w:lang w:val="fr-FR"/>
        </w:rPr>
        <w:t>o</w:t>
      </w:r>
      <w:r w:rsidRPr="00C92F30">
        <w:rPr>
          <w:lang w:val="fr-FR"/>
        </w:rPr>
        <w:t> 147, 1998, p. 59.</w:t>
      </w:r>
    </w:p>
  </w:footnote>
  <w:footnote w:id="402">
    <w:p w:rsidR="004C50DC" w:rsidRDefault="004C50DC">
      <w:pPr>
        <w:pStyle w:val="Notedebasdepage"/>
      </w:pPr>
      <w:r>
        <w:rPr>
          <w:rStyle w:val="Appelnotedebasdep"/>
        </w:rPr>
        <w:footnoteRef/>
      </w:r>
      <w:r>
        <w:t xml:space="preserve"> </w:t>
      </w:r>
      <w:r>
        <w:tab/>
      </w:r>
      <w:r w:rsidRPr="00C92F30">
        <w:rPr>
          <w:lang w:val="fr-FR"/>
        </w:rPr>
        <w:t xml:space="preserve">Article « Politique culturelle », </w:t>
      </w:r>
      <w:r w:rsidRPr="00C92F30">
        <w:rPr>
          <w:i/>
          <w:lang w:val="fr-FR"/>
        </w:rPr>
        <w:t>Encyclopédie canadienne</w:t>
      </w:r>
      <w:r w:rsidRPr="00C92F30">
        <w:rPr>
          <w:lang w:val="fr-FR"/>
        </w:rPr>
        <w:t xml:space="preserve">, en ligne, </w:t>
      </w:r>
      <w:hyperlink r:id="rId58" w:history="1">
        <w:r w:rsidRPr="00C92F30">
          <w:rPr>
            <w:rStyle w:val="Lienhypertexte"/>
            <w:lang w:val="fr-FR"/>
          </w:rPr>
          <w:t>http://www.thecanadianencyclopedia.ca/fr/article/cultural-policy/ consulté</w:t>
        </w:r>
      </w:hyperlink>
      <w:r w:rsidRPr="00C92F30">
        <w:rPr>
          <w:lang w:val="fr-FR"/>
        </w:rPr>
        <w:t xml:space="preserve"> le 18 mai 2014.</w:t>
      </w:r>
    </w:p>
  </w:footnote>
  <w:footnote w:id="403">
    <w:p w:rsidR="004C50DC" w:rsidRDefault="004C50DC">
      <w:pPr>
        <w:pStyle w:val="Notedebasdepage"/>
      </w:pPr>
      <w:r>
        <w:rPr>
          <w:rStyle w:val="Appelnotedebasdep"/>
        </w:rPr>
        <w:footnoteRef/>
      </w:r>
      <w:r>
        <w:t xml:space="preserve"> </w:t>
      </w:r>
      <w:r>
        <w:tab/>
      </w:r>
      <w:r w:rsidRPr="00C92F30">
        <w:rPr>
          <w:lang w:val="fr-FR"/>
        </w:rPr>
        <w:t>Joseph Jackson et René Lemieux, « Les arts et la politique culturelle can</w:t>
      </w:r>
      <w:r w:rsidRPr="00C92F30">
        <w:rPr>
          <w:lang w:val="fr-FR"/>
        </w:rPr>
        <w:t>a</w:t>
      </w:r>
      <w:r w:rsidRPr="00C92F30">
        <w:rPr>
          <w:lang w:val="fr-FR"/>
        </w:rPr>
        <w:t>dienne », Division des affaires politiques et sociales, Parlement du Canada,</w:t>
      </w:r>
      <w:r>
        <w:rPr>
          <w:lang w:val="fr-FR"/>
        </w:rPr>
        <w:t xml:space="preserve"> </w:t>
      </w:r>
      <w:r w:rsidRPr="00C92F30">
        <w:rPr>
          <w:lang w:val="fr-FR"/>
        </w:rPr>
        <w:t xml:space="preserve"> révisé le 15 octobre 1999, en ligne, </w:t>
      </w:r>
      <w:r>
        <w:rPr>
          <w:lang w:val="fr-FR"/>
        </w:rPr>
        <w:br/>
      </w:r>
      <w:hyperlink r:id="rId59" w:anchor="DÉFINITION" w:history="1">
        <w:r w:rsidRPr="00C92F30">
          <w:rPr>
            <w:rStyle w:val="Lienhypertexte"/>
            <w:lang w:val="fr-FR"/>
          </w:rPr>
          <w:t>http://www.parl.gc.ca/content/lop/researchpublications/933-f.htm#DÉFINITION</w:t>
        </w:r>
      </w:hyperlink>
      <w:r w:rsidRPr="00C92F30">
        <w:rPr>
          <w:lang w:val="fr-FR"/>
        </w:rPr>
        <w:t>, consulté le 28 avril 2015.</w:t>
      </w:r>
    </w:p>
  </w:footnote>
  <w:footnote w:id="404">
    <w:p w:rsidR="004C50DC" w:rsidRDefault="004C50DC">
      <w:pPr>
        <w:pStyle w:val="Notedebasdepage"/>
      </w:pPr>
      <w:r>
        <w:rPr>
          <w:rStyle w:val="Appelnotedebasdep"/>
        </w:rPr>
        <w:footnoteRef/>
      </w:r>
      <w:r>
        <w:t xml:space="preserve"> </w:t>
      </w:r>
      <w:r>
        <w:tab/>
      </w:r>
      <w:r w:rsidRPr="00C92F30">
        <w:rPr>
          <w:lang w:val="fr-FR"/>
        </w:rPr>
        <w:t xml:space="preserve">François Colbert, « Les éléments des politiques culturelles », en ligne, </w:t>
      </w:r>
      <w:hyperlink r:id="rId60" w:history="1">
        <w:r w:rsidRPr="00C92F30">
          <w:rPr>
            <w:rStyle w:val="Lienhypertexte"/>
            <w:lang w:val="fr-FR"/>
          </w:rPr>
          <w:t>http://www.gestiondesarts.com/media/wysiwyg/documents/Colbert_Politiquesculturelles.pdf</w:t>
        </w:r>
      </w:hyperlink>
      <w:r w:rsidRPr="00C92F30">
        <w:rPr>
          <w:lang w:val="fr-FR"/>
        </w:rPr>
        <w:t>, consulté le 20  mai 2014.</w:t>
      </w:r>
    </w:p>
  </w:footnote>
  <w:footnote w:id="405">
    <w:p w:rsidR="004C50DC" w:rsidRDefault="004C50DC">
      <w:pPr>
        <w:pStyle w:val="Notedebasdepage"/>
      </w:pPr>
      <w:r>
        <w:rPr>
          <w:rStyle w:val="Appelnotedebasdep"/>
        </w:rPr>
        <w:footnoteRef/>
      </w:r>
      <w:r>
        <w:t xml:space="preserve"> </w:t>
      </w:r>
      <w:r>
        <w:tab/>
      </w:r>
      <w:r w:rsidRPr="00C92F30">
        <w:rPr>
          <w:lang w:val="fr-FR"/>
        </w:rPr>
        <w:t>Pour de plus amples explications, voir Organisation des Nations Unies, Droits de l’homme et diversité culturelle. Les droits de l’homme, l’intégrité et la d</w:t>
      </w:r>
      <w:r w:rsidRPr="00C92F30">
        <w:rPr>
          <w:lang w:val="fr-FR"/>
        </w:rPr>
        <w:t>i</w:t>
      </w:r>
      <w:r w:rsidRPr="00C92F30">
        <w:rPr>
          <w:lang w:val="fr-FR"/>
        </w:rPr>
        <w:t xml:space="preserve">versité des cultures, en ligne, </w:t>
      </w:r>
      <w:hyperlink r:id="rId61" w:history="1">
        <w:r w:rsidRPr="00C92F30">
          <w:rPr>
            <w:rStyle w:val="Lienhypertexte"/>
            <w:lang w:val="fr-FR"/>
          </w:rPr>
          <w:t>http://www.un.org/fr/rights/overview/themes/culture.shtml</w:t>
        </w:r>
      </w:hyperlink>
      <w:r w:rsidRPr="00C92F30">
        <w:rPr>
          <w:lang w:val="fr-FR"/>
        </w:rPr>
        <w:t xml:space="preserve">, </w:t>
      </w:r>
      <w:r w:rsidRPr="00C92F30">
        <w:rPr>
          <w:lang w:eastAsia="en-CA"/>
        </w:rPr>
        <w:t>consulté le 21 mai 2014. Il faut se référer aussi à Organisation des Nations Unies, Déclaration un</w:t>
      </w:r>
      <w:r w:rsidRPr="00C92F30">
        <w:rPr>
          <w:lang w:eastAsia="en-CA"/>
        </w:rPr>
        <w:t>i</w:t>
      </w:r>
      <w:r w:rsidRPr="00C92F30">
        <w:rPr>
          <w:lang w:eastAsia="en-CA"/>
        </w:rPr>
        <w:t>verselle des droits de l’homme, 10 décembre 1948 (Article 27, alinéa 1 : « Toute personne a le droit de prendre part librement à la vie culturelle de la communauté, de jouir des arts et de participer au progrès scientifique et aux bienfaits qui en résultent » ; voir aussi le Pacte international relatif aux droits économiques, sociaux et culturels, adopté et ouvert à la signature, à la ratific</w:t>
      </w:r>
      <w:r w:rsidRPr="00C92F30">
        <w:rPr>
          <w:lang w:eastAsia="en-CA"/>
        </w:rPr>
        <w:t>a</w:t>
      </w:r>
      <w:r w:rsidRPr="00C92F30">
        <w:rPr>
          <w:lang w:eastAsia="en-CA"/>
        </w:rPr>
        <w:t>tion et à l’adhésion le 16 décembre 1966 (article 1, alinéa 1 :« Tous les pe</w:t>
      </w:r>
      <w:r w:rsidRPr="00C92F30">
        <w:rPr>
          <w:lang w:eastAsia="en-CA"/>
        </w:rPr>
        <w:t>u</w:t>
      </w:r>
      <w:r w:rsidRPr="00C92F30">
        <w:rPr>
          <w:lang w:eastAsia="en-CA"/>
        </w:rPr>
        <w:t>ples ont le droit de disposer d’eux-mêmes. En vertu de ce droit, ils déterm</w:t>
      </w:r>
      <w:r w:rsidRPr="00C92F30">
        <w:rPr>
          <w:lang w:eastAsia="en-CA"/>
        </w:rPr>
        <w:t>i</w:t>
      </w:r>
      <w:r w:rsidRPr="00C92F30">
        <w:rPr>
          <w:lang w:eastAsia="en-CA"/>
        </w:rPr>
        <w:t>nent librement leur statut politique et assurent librement leur développement économique, social et culturel » ; voir également la Déclaration et le Pr</w:t>
      </w:r>
      <w:r w:rsidRPr="00C92F30">
        <w:rPr>
          <w:lang w:eastAsia="en-CA"/>
        </w:rPr>
        <w:t>o</w:t>
      </w:r>
      <w:r w:rsidRPr="00C92F30">
        <w:rPr>
          <w:lang w:eastAsia="en-CA"/>
        </w:rPr>
        <w:t>gramme d’action de Vienne, adoptés le 25 juin 1993 par la Conférence mo</w:t>
      </w:r>
      <w:r w:rsidRPr="00C92F30">
        <w:rPr>
          <w:lang w:eastAsia="en-CA"/>
        </w:rPr>
        <w:t>n</w:t>
      </w:r>
      <w:r w:rsidRPr="00C92F30">
        <w:rPr>
          <w:lang w:eastAsia="en-CA"/>
        </w:rPr>
        <w:t>diale sur les Droits de l’homme.</w:t>
      </w:r>
    </w:p>
  </w:footnote>
  <w:footnote w:id="406">
    <w:p w:rsidR="004C50DC" w:rsidRDefault="004C50DC">
      <w:pPr>
        <w:pStyle w:val="Notedebasdepage"/>
      </w:pPr>
      <w:r w:rsidRPr="0036713F">
        <w:rPr>
          <w:rStyle w:val="Appelnotedebasdep"/>
        </w:rPr>
        <w:footnoteRef/>
      </w:r>
      <w:r w:rsidRPr="0036713F">
        <w:rPr>
          <w:sz w:val="20"/>
        </w:rPr>
        <w:t xml:space="preserve"> </w:t>
      </w:r>
      <w:r>
        <w:tab/>
      </w:r>
      <w:r w:rsidRPr="00C92F30">
        <w:rPr>
          <w:lang w:eastAsia="en-CA"/>
        </w:rPr>
        <w:t>Voir notamment UNESCO, Déclaration universelle de l’UNESCO sur la d</w:t>
      </w:r>
      <w:r w:rsidRPr="00C92F30">
        <w:rPr>
          <w:lang w:eastAsia="en-CA"/>
        </w:rPr>
        <w:t>i</w:t>
      </w:r>
      <w:r w:rsidRPr="00C92F30">
        <w:rPr>
          <w:lang w:eastAsia="en-CA"/>
        </w:rPr>
        <w:t>versité culturelle, 2001, en ligne,</w:t>
      </w:r>
      <w:r w:rsidRPr="00C92F30">
        <w:rPr>
          <w:lang w:val="fr-FR"/>
        </w:rPr>
        <w:t xml:space="preserve"> </w:t>
      </w:r>
      <w:hyperlink r:id="rId62" w:history="1">
        <w:r w:rsidRPr="00C92F30">
          <w:rPr>
            <w:rStyle w:val="Lienhypertexte"/>
            <w:lang w:val="fr-FR"/>
          </w:rPr>
          <w:t>http://unesdoc.unesco.org/images</w:t>
        </w:r>
      </w:hyperlink>
      <w:r w:rsidRPr="00C92F30">
        <w:rPr>
          <w:lang w:val="fr-FR"/>
        </w:rPr>
        <w:t xml:space="preserve"> et </w:t>
      </w:r>
      <w:hyperlink r:id="rId63" w:history="1">
        <w:r w:rsidRPr="00C92F30">
          <w:rPr>
            <w:rStyle w:val="Lienhypertexte"/>
            <w:lang w:val="fr-FR"/>
          </w:rPr>
          <w:t>http://www.un.org/fr/rights/overview/themes/culture.shtml</w:t>
        </w:r>
      </w:hyperlink>
      <w:r w:rsidRPr="00C92F30">
        <w:rPr>
          <w:lang w:val="fr-FR"/>
        </w:rPr>
        <w:t>, consulté le 21 mai 2014.</w:t>
      </w:r>
    </w:p>
  </w:footnote>
  <w:footnote w:id="407">
    <w:p w:rsidR="004C50DC" w:rsidRPr="00C92F30" w:rsidRDefault="004C50DC" w:rsidP="004C50DC">
      <w:pPr>
        <w:pStyle w:val="Notedebasdepage"/>
        <w:rPr>
          <w:lang w:val="fr-FR"/>
        </w:rPr>
      </w:pPr>
      <w:r w:rsidRPr="0036713F">
        <w:rPr>
          <w:rStyle w:val="Appelnotedebasdep"/>
          <w:lang w:val="fr-FR"/>
        </w:rPr>
        <w:footnoteRef/>
      </w:r>
      <w:r>
        <w:rPr>
          <w:lang w:val="fr-FR"/>
        </w:rPr>
        <w:tab/>
      </w:r>
      <w:r w:rsidRPr="00C92F30">
        <w:rPr>
          <w:lang w:val="fr-FR"/>
        </w:rPr>
        <w:t xml:space="preserve">Ibid., article 9. </w:t>
      </w:r>
    </w:p>
  </w:footnote>
  <w:footnote w:id="408">
    <w:p w:rsidR="004C50DC" w:rsidRDefault="004C50DC">
      <w:pPr>
        <w:pStyle w:val="Notedebasdepage"/>
      </w:pPr>
      <w:r w:rsidRPr="0036713F">
        <w:rPr>
          <w:rStyle w:val="Appelnotedebasdep"/>
        </w:rPr>
        <w:footnoteRef/>
      </w:r>
      <w:r w:rsidRPr="0036713F">
        <w:rPr>
          <w:sz w:val="20"/>
        </w:rPr>
        <w:t xml:space="preserve"> </w:t>
      </w:r>
      <w:r>
        <w:tab/>
      </w:r>
      <w:r w:rsidRPr="00C92F30">
        <w:rPr>
          <w:lang w:val="fr-FR" w:eastAsia="en-CA"/>
        </w:rPr>
        <w:t xml:space="preserve">Jacques Charpentreau, </w:t>
      </w:r>
      <w:r w:rsidRPr="00C92F30">
        <w:rPr>
          <w:i/>
          <w:iCs/>
          <w:lang w:val="fr-FR" w:eastAsia="en-CA"/>
        </w:rPr>
        <w:t>Pour une politique culturelle</w:t>
      </w:r>
      <w:r w:rsidRPr="00C92F30">
        <w:rPr>
          <w:lang w:val="fr-FR" w:eastAsia="en-CA"/>
        </w:rPr>
        <w:t>, Paris, les Éditions o</w:t>
      </w:r>
      <w:r w:rsidRPr="00C92F30">
        <w:rPr>
          <w:lang w:val="fr-FR" w:eastAsia="en-CA"/>
        </w:rPr>
        <w:t>u</w:t>
      </w:r>
      <w:r w:rsidRPr="00C92F30">
        <w:rPr>
          <w:lang w:val="fr-FR" w:eastAsia="en-CA"/>
        </w:rPr>
        <w:t>vrières, 1967, p. 8.</w:t>
      </w:r>
    </w:p>
  </w:footnote>
  <w:footnote w:id="409">
    <w:p w:rsidR="004C50DC" w:rsidRDefault="004C50DC">
      <w:pPr>
        <w:pStyle w:val="Notedebasdepage"/>
      </w:pPr>
      <w:r>
        <w:rPr>
          <w:rStyle w:val="Appelnotedebasdep"/>
        </w:rPr>
        <w:footnoteRef/>
      </w:r>
      <w:r>
        <w:t xml:space="preserve"> </w:t>
      </w:r>
      <w:r>
        <w:tab/>
      </w:r>
      <w:r w:rsidRPr="00C92F30">
        <w:rPr>
          <w:lang w:val="fr-FR"/>
        </w:rPr>
        <w:t>Lionel de Roulet, chef de la Division du développement culturel du Conseil de l’Europe au symposium de Bruxelles en 1974.</w:t>
      </w:r>
    </w:p>
  </w:footnote>
  <w:footnote w:id="410">
    <w:p w:rsidR="004C50DC" w:rsidRDefault="004C50DC">
      <w:pPr>
        <w:pStyle w:val="Notedebasdepage"/>
      </w:pPr>
      <w:r>
        <w:rPr>
          <w:rStyle w:val="Appelnotedebasdep"/>
        </w:rPr>
        <w:footnoteRef/>
      </w:r>
      <w:r>
        <w:t xml:space="preserve"> </w:t>
      </w:r>
      <w:r>
        <w:tab/>
      </w:r>
      <w:r w:rsidRPr="00C92F30">
        <w:rPr>
          <w:lang w:val="fr-FR"/>
        </w:rPr>
        <w:t xml:space="preserve">En ce qui concerne la hiérarchisation des goûts et des habitudes culturelles, voir Pierre Bourdieu, </w:t>
      </w:r>
      <w:r w:rsidRPr="00C92F30">
        <w:rPr>
          <w:i/>
          <w:iCs/>
          <w:lang w:val="fr-FR"/>
        </w:rPr>
        <w:t xml:space="preserve">La Distinction, </w:t>
      </w:r>
      <w:r w:rsidRPr="00C92F30">
        <w:rPr>
          <w:iCs/>
          <w:lang w:val="fr-FR"/>
        </w:rPr>
        <w:t xml:space="preserve">Paris, </w:t>
      </w:r>
      <w:r w:rsidRPr="00C92F30">
        <w:rPr>
          <w:lang w:val="fr-FR"/>
        </w:rPr>
        <w:t xml:space="preserve">Éditions de Minuit, </w:t>
      </w:r>
      <w:r w:rsidRPr="00C92F30">
        <w:rPr>
          <w:iCs/>
          <w:lang w:val="fr-FR"/>
        </w:rPr>
        <w:t>1979</w:t>
      </w:r>
      <w:r w:rsidRPr="00C92F30">
        <w:rPr>
          <w:lang w:val="fr-FR"/>
        </w:rPr>
        <w:t>. Pour l’auteur, les goûts et les habitudes culturelles ne sont pas seulement différe</w:t>
      </w:r>
      <w:r w:rsidRPr="00C92F30">
        <w:rPr>
          <w:lang w:val="fr-FR"/>
        </w:rPr>
        <w:t>n</w:t>
      </w:r>
      <w:r w:rsidRPr="00C92F30">
        <w:rPr>
          <w:lang w:val="fr-FR"/>
        </w:rPr>
        <w:t>ciés, mais aussi hiérarchisés. Cette réflexion constitue la base de sa théorie de la hiérarchie sociale des pratiques culturelles ayant deux sources principales : l’</w:t>
      </w:r>
      <w:r w:rsidRPr="00C92F30">
        <w:rPr>
          <w:i/>
          <w:iCs/>
          <w:lang w:val="fr-FR"/>
        </w:rPr>
        <w:t xml:space="preserve">habitus, </w:t>
      </w:r>
      <w:r w:rsidRPr="00C92F30">
        <w:rPr>
          <w:lang w:val="fr-FR"/>
        </w:rPr>
        <w:t xml:space="preserve">c’est-à-dire les dispositions qui sont le reflet de l’environnement de chacun (de sa classe sociale, de sa communauté) et la « légitimité » culturelle. </w:t>
      </w:r>
    </w:p>
  </w:footnote>
  <w:footnote w:id="411">
    <w:p w:rsidR="004C50DC" w:rsidRDefault="004C50DC">
      <w:pPr>
        <w:pStyle w:val="Notedebasdepage"/>
      </w:pPr>
      <w:r>
        <w:rPr>
          <w:rStyle w:val="Appelnotedebasdep"/>
        </w:rPr>
        <w:footnoteRef/>
      </w:r>
      <w:r>
        <w:t xml:space="preserve"> </w:t>
      </w:r>
      <w:r>
        <w:tab/>
      </w:r>
      <w:r w:rsidRPr="00C92F30">
        <w:rPr>
          <w:lang w:val="fr-FR"/>
        </w:rPr>
        <w:t xml:space="preserve">Voir Philippe Coulangeon, </w:t>
      </w:r>
      <w:r w:rsidRPr="00C92F30">
        <w:rPr>
          <w:i/>
          <w:iCs/>
          <w:lang w:val="fr-FR"/>
        </w:rPr>
        <w:t xml:space="preserve">Sociologie des pratiques culturelles, </w:t>
      </w:r>
      <w:r w:rsidRPr="00C92F30">
        <w:rPr>
          <w:lang w:val="fr-FR"/>
        </w:rPr>
        <w:t>Paris, La D</w:t>
      </w:r>
      <w:r w:rsidRPr="00C92F30">
        <w:rPr>
          <w:lang w:val="fr-FR"/>
        </w:rPr>
        <w:t>é</w:t>
      </w:r>
      <w:r w:rsidRPr="00C92F30">
        <w:rPr>
          <w:lang w:val="fr-FR"/>
        </w:rPr>
        <w:t>couverte, coll. « Repères », 2005.</w:t>
      </w:r>
    </w:p>
  </w:footnote>
  <w:footnote w:id="412">
    <w:p w:rsidR="004C50DC" w:rsidRDefault="004C50DC">
      <w:pPr>
        <w:pStyle w:val="Notedebasdepage"/>
      </w:pPr>
      <w:r>
        <w:rPr>
          <w:rStyle w:val="Appelnotedebasdep"/>
        </w:rPr>
        <w:footnoteRef/>
      </w:r>
      <w:r>
        <w:t xml:space="preserve"> </w:t>
      </w:r>
      <w:r>
        <w:tab/>
      </w:r>
      <w:r w:rsidRPr="00C92F30">
        <w:t>Emmanuel Wallon, « La démocratisation culturelle, un horizon d’action », C</w:t>
      </w:r>
      <w:r w:rsidRPr="00C92F30">
        <w:rPr>
          <w:i/>
          <w:iCs/>
        </w:rPr>
        <w:t>a</w:t>
      </w:r>
      <w:r w:rsidRPr="00C92F30">
        <w:rPr>
          <w:i/>
          <w:iCs/>
        </w:rPr>
        <w:t xml:space="preserve">hiers français, </w:t>
      </w:r>
      <w:r w:rsidRPr="00C92F30">
        <w:t>n</w:t>
      </w:r>
      <w:r w:rsidRPr="00C92F30">
        <w:rPr>
          <w:vertAlign w:val="superscript"/>
        </w:rPr>
        <w:t>o</w:t>
      </w:r>
      <w:r w:rsidRPr="00C92F30">
        <w:t> 348, 2009, p</w:t>
      </w:r>
      <w:r>
        <w:t>p</w:t>
      </w:r>
      <w:r w:rsidRPr="00C92F30">
        <w:t>. 79-86.</w:t>
      </w:r>
    </w:p>
  </w:footnote>
  <w:footnote w:id="413">
    <w:p w:rsidR="004C50DC" w:rsidRDefault="004C50DC">
      <w:pPr>
        <w:pStyle w:val="Notedebasdepage"/>
      </w:pPr>
      <w:r>
        <w:rPr>
          <w:rStyle w:val="Appelnotedebasdep"/>
        </w:rPr>
        <w:footnoteRef/>
      </w:r>
      <w:r>
        <w:t xml:space="preserve"> </w:t>
      </w:r>
      <w:r>
        <w:tab/>
      </w:r>
      <w:r w:rsidRPr="00C92F30">
        <w:t>Le général en chef, Jean-Jacques Dessalines a désigné son secrétaire privé Boisrond Tonnerre au titre d’archiviste d’État, dont la mission était de travai</w:t>
      </w:r>
      <w:r w:rsidRPr="00C92F30">
        <w:t>l</w:t>
      </w:r>
      <w:r w:rsidRPr="00C92F30">
        <w:t xml:space="preserve">ler à la sauvegarde des archives officielles.  </w:t>
      </w:r>
    </w:p>
  </w:footnote>
  <w:footnote w:id="414">
    <w:p w:rsidR="004C50DC" w:rsidRPr="00C92F30" w:rsidRDefault="004C50DC" w:rsidP="004C50DC">
      <w:pPr>
        <w:pStyle w:val="Notedebasdepage"/>
      </w:pPr>
      <w:r w:rsidRPr="0036713F">
        <w:rPr>
          <w:rStyle w:val="Appelnotedebasdep"/>
        </w:rPr>
        <w:footnoteRef/>
      </w:r>
      <w:r>
        <w:tab/>
      </w:r>
      <w:r w:rsidRPr="00C92F30">
        <w:t xml:space="preserve">Voir ISPAN, « Lois, décrets et sauvegarde du patrimoine », </w:t>
      </w:r>
      <w:r w:rsidRPr="00C92F30">
        <w:rPr>
          <w:i/>
        </w:rPr>
        <w:t>Bulletin de l’ISPAN</w:t>
      </w:r>
      <w:r w:rsidRPr="00C92F30">
        <w:t>, n</w:t>
      </w:r>
      <w:r w:rsidRPr="00C92F30">
        <w:rPr>
          <w:vertAlign w:val="superscript"/>
        </w:rPr>
        <w:t>o</w:t>
      </w:r>
      <w:r w:rsidRPr="00C92F30">
        <w:t> 27, 1</w:t>
      </w:r>
      <w:r w:rsidRPr="00C92F30">
        <w:rPr>
          <w:vertAlign w:val="superscript"/>
        </w:rPr>
        <w:t>er</w:t>
      </w:r>
      <w:r w:rsidRPr="00C92F30">
        <w:t>août 2011, p. 2.</w:t>
      </w:r>
    </w:p>
  </w:footnote>
  <w:footnote w:id="415">
    <w:p w:rsidR="004C50DC" w:rsidRPr="00C92F30" w:rsidRDefault="004C50DC" w:rsidP="004C50DC">
      <w:pPr>
        <w:pStyle w:val="Notedebasdepage"/>
      </w:pPr>
      <w:r w:rsidRPr="0036713F">
        <w:rPr>
          <w:rStyle w:val="Appelnotedebasdep"/>
        </w:rPr>
        <w:footnoteRef/>
      </w:r>
      <w:r>
        <w:tab/>
      </w:r>
      <w:r w:rsidRPr="00C92F30">
        <w:t>Une Commission des Monuments historiques a été créée aussi par la loi de 1940 ; elle aurait dû être chargée du classement, de l’inventaire et de la publ</w:t>
      </w:r>
      <w:r w:rsidRPr="00C92F30">
        <w:t>i</w:t>
      </w:r>
      <w:r w:rsidRPr="00C92F30">
        <w:t xml:space="preserve">cation de la liste des biens culturels classés dans le </w:t>
      </w:r>
      <w:r w:rsidRPr="00C92F30">
        <w:rPr>
          <w:i/>
        </w:rPr>
        <w:t>Journal officiel</w:t>
      </w:r>
      <w:r w:rsidRPr="00C92F30">
        <w:t>, mais elle n’a jamais été constituée ; voir Ispan, ibid., p. 2.</w:t>
      </w:r>
    </w:p>
  </w:footnote>
  <w:footnote w:id="416">
    <w:p w:rsidR="004C50DC" w:rsidRPr="00C92F30" w:rsidRDefault="004C50DC" w:rsidP="004C50DC">
      <w:pPr>
        <w:pStyle w:val="Notedebasdepage"/>
      </w:pPr>
      <w:r w:rsidRPr="0036713F">
        <w:rPr>
          <w:rStyle w:val="Appelnotedebasdep"/>
        </w:rPr>
        <w:footnoteRef/>
      </w:r>
      <w:r>
        <w:tab/>
      </w:r>
      <w:r w:rsidRPr="00C92F30">
        <w:t>Voir Rachelle Charlier-Doucet, « Anthropologie, politique et engagement s</w:t>
      </w:r>
      <w:r w:rsidRPr="00C92F30">
        <w:t>o</w:t>
      </w:r>
      <w:r w:rsidRPr="00C92F30">
        <w:t xml:space="preserve">cial », </w:t>
      </w:r>
      <w:r w:rsidRPr="00C92F30">
        <w:rPr>
          <w:i/>
        </w:rPr>
        <w:t>Gradhiva</w:t>
      </w:r>
      <w:r w:rsidRPr="00C92F30">
        <w:t>, n</w:t>
      </w:r>
      <w:r w:rsidRPr="00C92F30">
        <w:rPr>
          <w:vertAlign w:val="superscript"/>
        </w:rPr>
        <w:t>o</w:t>
      </w:r>
      <w:r w:rsidRPr="00C92F30">
        <w:t xml:space="preserve"> 1, 2005, en ligne, </w:t>
      </w:r>
      <w:hyperlink r:id="rId64" w:history="1">
        <w:r w:rsidRPr="00C92F30">
          <w:rPr>
            <w:rStyle w:val="Lienhypertexte"/>
            <w:color w:val="auto"/>
          </w:rPr>
          <w:t>http://gradhiva.revues.org/313</w:t>
        </w:r>
      </w:hyperlink>
      <w:r w:rsidRPr="00C92F30">
        <w:t>, consulté le 23 mars 2015.</w:t>
      </w:r>
    </w:p>
  </w:footnote>
  <w:footnote w:id="417">
    <w:p w:rsidR="004C50DC" w:rsidRDefault="004C50DC">
      <w:pPr>
        <w:pStyle w:val="Notedebasdepage"/>
      </w:pPr>
      <w:r w:rsidRPr="0036713F">
        <w:rPr>
          <w:rStyle w:val="Appelnotedebasdep"/>
        </w:rPr>
        <w:footnoteRef/>
      </w:r>
      <w:r>
        <w:t xml:space="preserve"> </w:t>
      </w:r>
      <w:r>
        <w:tab/>
      </w:r>
      <w:r w:rsidRPr="0036713F">
        <w:rPr>
          <w:i/>
          <w:lang w:val="fr-FR"/>
        </w:rPr>
        <w:t>Ibid</w:t>
      </w:r>
      <w:r w:rsidRPr="00C92F30">
        <w:t>.</w:t>
      </w:r>
    </w:p>
  </w:footnote>
  <w:footnote w:id="418">
    <w:p w:rsidR="004C50DC" w:rsidRPr="00C92F30" w:rsidRDefault="004C50DC" w:rsidP="004C50DC">
      <w:pPr>
        <w:pStyle w:val="Notedebasdepage"/>
      </w:pPr>
      <w:r w:rsidRPr="0036713F">
        <w:rPr>
          <w:rStyle w:val="Appelnotedebasdep"/>
        </w:rPr>
        <w:footnoteRef/>
      </w:r>
      <w:r>
        <w:tab/>
      </w:r>
      <w:r w:rsidRPr="00C92F30">
        <w:t>Le projet a été approuvé par le Bureau international des Expositions (BIE) pour être l’Exposition universelle de l’année 1949.</w:t>
      </w:r>
    </w:p>
  </w:footnote>
  <w:footnote w:id="419">
    <w:p w:rsidR="004C50DC" w:rsidRDefault="004C50DC">
      <w:pPr>
        <w:pStyle w:val="Notedebasdepage"/>
      </w:pPr>
      <w:r>
        <w:rPr>
          <w:rStyle w:val="Appelnotedebasdep"/>
        </w:rPr>
        <w:footnoteRef/>
      </w:r>
      <w:r>
        <w:t xml:space="preserve"> </w:t>
      </w:r>
      <w:r>
        <w:tab/>
      </w:r>
      <w:r w:rsidRPr="00C92F30">
        <w:rPr>
          <w:lang w:val="fr-FR"/>
        </w:rPr>
        <w:t>Créé par décret le 29 mars 1979, l’Institut de sauvegarde du patrimoine nati</w:t>
      </w:r>
      <w:r w:rsidRPr="00C92F30">
        <w:rPr>
          <w:lang w:val="fr-FR"/>
        </w:rPr>
        <w:t>o</w:t>
      </w:r>
      <w:r w:rsidRPr="00C92F30">
        <w:rPr>
          <w:lang w:val="fr-FR"/>
        </w:rPr>
        <w:t>nal (ISPAN) est un organisme technique autonome du Ministère de la Culture et de la Communication. Il a pour mission de dresser l’inventaire et de proc</w:t>
      </w:r>
      <w:r w:rsidRPr="00C92F30">
        <w:rPr>
          <w:lang w:val="fr-FR"/>
        </w:rPr>
        <w:t>é</w:t>
      </w:r>
      <w:r w:rsidRPr="00C92F30">
        <w:rPr>
          <w:lang w:val="fr-FR"/>
        </w:rPr>
        <w:t>der au classement des monuments, des sites et des ensembles historiques de la République d’Haïti, de réaliser des études de projets de protection, de resta</w:t>
      </w:r>
      <w:r w:rsidRPr="00C92F30">
        <w:rPr>
          <w:lang w:val="fr-FR"/>
        </w:rPr>
        <w:t>u</w:t>
      </w:r>
      <w:r w:rsidRPr="00C92F30">
        <w:rPr>
          <w:lang w:val="fr-FR"/>
        </w:rPr>
        <w:t>ration et de mise en valeur de monuments, de sites et d’ensembles hist</w:t>
      </w:r>
      <w:r w:rsidRPr="00C92F30">
        <w:rPr>
          <w:lang w:val="fr-FR"/>
        </w:rPr>
        <w:t>o</w:t>
      </w:r>
      <w:r w:rsidRPr="00C92F30">
        <w:rPr>
          <w:lang w:val="fr-FR"/>
        </w:rPr>
        <w:t>riques, d’assurer la direction et le contrôle des travaux d’exécution de tels projets, d’aider à la promotion et au développement d’activités publiques ou privées visant à sauvegarder le Patrimoine national et, enfin, de recueillir, organiser et diffuser toutes informations et documentations relatives au Patrimoine arch</w:t>
      </w:r>
      <w:r w:rsidRPr="00C92F30">
        <w:rPr>
          <w:lang w:val="fr-FR"/>
        </w:rPr>
        <w:t>i</w:t>
      </w:r>
      <w:r w:rsidRPr="00C92F30">
        <w:rPr>
          <w:lang w:val="fr-FR"/>
        </w:rPr>
        <w:t>tectural et monumental, national et international.</w:t>
      </w:r>
    </w:p>
  </w:footnote>
  <w:footnote w:id="420">
    <w:p w:rsidR="004C50DC" w:rsidRDefault="004C50DC">
      <w:pPr>
        <w:pStyle w:val="Notedebasdepage"/>
      </w:pPr>
      <w:r>
        <w:rPr>
          <w:rStyle w:val="Appelnotedebasdep"/>
        </w:rPr>
        <w:footnoteRef/>
      </w:r>
      <w:r>
        <w:t xml:space="preserve"> </w:t>
      </w:r>
      <w:r>
        <w:tab/>
      </w:r>
      <w:r w:rsidRPr="00C92F30">
        <w:rPr>
          <w:lang w:val="fr-FR"/>
        </w:rPr>
        <w:t>Service culturel de l’ambassade d’Haïti en France, « Interview de Henry R</w:t>
      </w:r>
      <w:r w:rsidRPr="00C92F30">
        <w:rPr>
          <w:lang w:val="fr-FR"/>
        </w:rPr>
        <w:t>o</w:t>
      </w:r>
      <w:r w:rsidRPr="00C92F30">
        <w:rPr>
          <w:lang w:val="fr-FR"/>
        </w:rPr>
        <w:t xml:space="preserve">bert Jolibois, directeur général de l’ISPAN », </w:t>
      </w:r>
      <w:r w:rsidRPr="00C92F30">
        <w:rPr>
          <w:i/>
          <w:lang w:val="fr-FR"/>
        </w:rPr>
        <w:t>Lettre trimestrielle</w:t>
      </w:r>
      <w:r w:rsidRPr="00C92F30">
        <w:rPr>
          <w:lang w:val="fr-FR"/>
        </w:rPr>
        <w:t xml:space="preserve"> 4-12, n</w:t>
      </w:r>
      <w:r w:rsidRPr="00C92F30">
        <w:rPr>
          <w:vertAlign w:val="superscript"/>
          <w:lang w:val="fr-FR"/>
        </w:rPr>
        <w:t>o</w:t>
      </w:r>
      <w:r w:rsidRPr="00C92F30">
        <w:rPr>
          <w:lang w:val="fr-FR"/>
        </w:rPr>
        <w:t xml:space="preserve"> 10, en ligne, </w:t>
      </w:r>
      <w:hyperlink r:id="rId65" w:history="1">
        <w:r w:rsidRPr="00C92F30">
          <w:rPr>
            <w:rStyle w:val="Lienhypertexte"/>
            <w:lang w:val="fr-FR"/>
          </w:rPr>
          <w:t>http://oxi80.com/LLFOOWC54/edito_du_service_culturel.pdf</w:t>
        </w:r>
      </w:hyperlink>
      <w:r w:rsidRPr="00C92F30">
        <w:rPr>
          <w:lang w:val="fr-FR"/>
        </w:rPr>
        <w:t>., 2012, consulté le 13 février 2015.</w:t>
      </w:r>
    </w:p>
  </w:footnote>
  <w:footnote w:id="421">
    <w:p w:rsidR="004C50DC" w:rsidRDefault="004C50DC">
      <w:pPr>
        <w:pStyle w:val="Notedebasdepage"/>
      </w:pPr>
      <w:r>
        <w:rPr>
          <w:rStyle w:val="Appelnotedebasdep"/>
        </w:rPr>
        <w:footnoteRef/>
      </w:r>
      <w:r>
        <w:t xml:space="preserve"> </w:t>
      </w:r>
      <w:r>
        <w:tab/>
      </w:r>
      <w:r w:rsidRPr="00C92F30">
        <w:rPr>
          <w:lang w:val="fr-FR"/>
        </w:rPr>
        <w:t xml:space="preserve">Ginette Chérubin, « Patrimoine National : enfin le déclic ! », </w:t>
      </w:r>
      <w:r w:rsidRPr="00C92F30">
        <w:rPr>
          <w:i/>
          <w:lang w:val="fr-FR"/>
        </w:rPr>
        <w:t>Le Nouve</w:t>
      </w:r>
      <w:r w:rsidRPr="00C92F30">
        <w:rPr>
          <w:i/>
          <w:lang w:val="fr-FR"/>
        </w:rPr>
        <w:t>l</w:t>
      </w:r>
      <w:r w:rsidRPr="00C92F30">
        <w:rPr>
          <w:i/>
          <w:lang w:val="fr-FR"/>
        </w:rPr>
        <w:t>liste</w:t>
      </w:r>
      <w:r w:rsidRPr="00C92F30">
        <w:rPr>
          <w:lang w:val="fr-FR"/>
        </w:rPr>
        <w:t>, 19 mai 2006, en ligne,</w:t>
      </w:r>
      <w:r>
        <w:rPr>
          <w:lang w:val="fr-FR"/>
        </w:rPr>
        <w:br/>
      </w:r>
      <w:hyperlink r:id="rId66" w:history="1">
        <w:r w:rsidRPr="00C92F30">
          <w:rPr>
            <w:rStyle w:val="Lienhypertexte"/>
            <w:lang w:val="fr-FR"/>
          </w:rPr>
          <w:t>http://lenouvelliste.com/lenouvelliste/article/29379/Patrimoine-National-enfin-le-declic</w:t>
        </w:r>
      </w:hyperlink>
      <w:r w:rsidRPr="00C92F30">
        <w:rPr>
          <w:lang w:val="fr-FR"/>
        </w:rPr>
        <w:t>, consulté le 11 mars 2014.</w:t>
      </w:r>
    </w:p>
  </w:footnote>
  <w:footnote w:id="422">
    <w:p w:rsidR="004C50DC" w:rsidRDefault="004C50DC">
      <w:pPr>
        <w:pStyle w:val="Notedebasdepage"/>
      </w:pPr>
      <w:r>
        <w:rPr>
          <w:rStyle w:val="Appelnotedebasdep"/>
        </w:rPr>
        <w:footnoteRef/>
      </w:r>
      <w:r>
        <w:t xml:space="preserve"> </w:t>
      </w:r>
      <w:r>
        <w:tab/>
      </w:r>
      <w:r w:rsidRPr="00C92F30">
        <w:t>Des sites, forts et monuments historiques tels que le fort Jacques, le site du Bois Caïman, etc., ont été déclarés patrimoine national par l’ISPAN.</w:t>
      </w:r>
    </w:p>
  </w:footnote>
  <w:footnote w:id="423">
    <w:p w:rsidR="004C50DC" w:rsidRDefault="004C50DC">
      <w:pPr>
        <w:pStyle w:val="Notedebasdepage"/>
      </w:pPr>
      <w:r>
        <w:rPr>
          <w:rStyle w:val="Appelnotedebasdep"/>
        </w:rPr>
        <w:footnoteRef/>
      </w:r>
      <w:r>
        <w:t xml:space="preserve"> </w:t>
      </w:r>
      <w:r>
        <w:tab/>
      </w:r>
      <w:r w:rsidRPr="00C92F30">
        <w:rPr>
          <w:lang w:val="fr-FR"/>
        </w:rPr>
        <w:t>Les biens mentionnés à l’article 1de la Convention ont été ainsi définis et considérés comme « patrimoine culturel ». Il s’agit </w:t>
      </w:r>
      <w:r w:rsidRPr="00C92F30">
        <w:rPr>
          <w:rStyle w:val="lev"/>
          <w:b w:val="0"/>
          <w:lang w:val="fr-FR"/>
        </w:rPr>
        <w:t>: « des monuments</w:t>
      </w:r>
      <w:r w:rsidRPr="00C92F30">
        <w:rPr>
          <w:rStyle w:val="apple-converted-space"/>
          <w:b/>
          <w:bCs/>
          <w:lang w:val="fr-FR"/>
        </w:rPr>
        <w:t> </w:t>
      </w:r>
      <w:r w:rsidRPr="00C92F30">
        <w:rPr>
          <w:rStyle w:val="lev"/>
          <w:b w:val="0"/>
          <w:lang w:val="fr-FR"/>
        </w:rPr>
        <w:t xml:space="preserve">: </w:t>
      </w:r>
      <w:r w:rsidRPr="00C92F30">
        <w:rPr>
          <w:lang w:val="fr-FR"/>
        </w:rPr>
        <w:t>œ</w:t>
      </w:r>
      <w:r w:rsidRPr="00C92F30">
        <w:rPr>
          <w:lang w:val="fr-FR"/>
        </w:rPr>
        <w:t>u</w:t>
      </w:r>
      <w:r w:rsidRPr="00C92F30">
        <w:rPr>
          <w:lang w:val="fr-FR"/>
        </w:rPr>
        <w:t>vres architecturales, de sculpture ou de peinture monumentale, éléments ou structures de caractère archéologique, inscriptions, grottes et groupes d’éléments qui ont une valeur universelle exceptionnelle du point de vue de l’histoire, de l’art ou de la science ; d</w:t>
      </w:r>
      <w:r w:rsidRPr="00C92F30">
        <w:rPr>
          <w:rStyle w:val="lev"/>
          <w:b w:val="0"/>
          <w:lang w:val="fr-FR"/>
        </w:rPr>
        <w:t>es ensembles</w:t>
      </w:r>
      <w:r w:rsidRPr="00C92F30">
        <w:rPr>
          <w:rStyle w:val="apple-converted-space"/>
          <w:b/>
          <w:bCs/>
          <w:lang w:val="fr-FR"/>
        </w:rPr>
        <w:t> </w:t>
      </w:r>
      <w:r w:rsidRPr="00C92F30">
        <w:rPr>
          <w:rStyle w:val="lev"/>
          <w:b w:val="0"/>
          <w:lang w:val="fr-FR"/>
        </w:rPr>
        <w:t xml:space="preserve">: </w:t>
      </w:r>
      <w:r w:rsidRPr="00C92F30">
        <w:rPr>
          <w:lang w:val="fr-FR"/>
        </w:rPr>
        <w:t>groupes de constructions isolées ou réunies, qui, en raison de leur architecture, de leur unité, ou de leur intégration dans le paysage, ont une valeur universelle exceptionnelle du point de vue de l’histoire, de l’art ou de la science </w:t>
      </w:r>
      <w:r w:rsidRPr="00C92F30">
        <w:rPr>
          <w:rStyle w:val="lev"/>
          <w:b w:val="0"/>
          <w:lang w:val="fr-FR"/>
        </w:rPr>
        <w:t>; des sites</w:t>
      </w:r>
      <w:r w:rsidRPr="00C92F30">
        <w:rPr>
          <w:rStyle w:val="apple-converted-space"/>
          <w:b/>
          <w:bCs/>
          <w:lang w:val="fr-FR"/>
        </w:rPr>
        <w:t> </w:t>
      </w:r>
      <w:r w:rsidRPr="00C92F30">
        <w:rPr>
          <w:rStyle w:val="lev"/>
          <w:b w:val="0"/>
          <w:lang w:val="fr-FR"/>
        </w:rPr>
        <w:t xml:space="preserve">: </w:t>
      </w:r>
      <w:r w:rsidRPr="00C92F30">
        <w:rPr>
          <w:lang w:val="fr-FR"/>
        </w:rPr>
        <w:t>œuvres de l’homme ou œuvres conjuguées de l’homme et de la nature, ainsi que les zones y co</w:t>
      </w:r>
      <w:r w:rsidRPr="00C92F30">
        <w:rPr>
          <w:lang w:val="fr-FR"/>
        </w:rPr>
        <w:t>m</w:t>
      </w:r>
      <w:r w:rsidRPr="00C92F30">
        <w:rPr>
          <w:lang w:val="fr-FR"/>
        </w:rPr>
        <w:t>pris les sites archéologiques qui ont une valeur universelle exceptionnelle du point de vue historique, esthétique, ethnologique ou anthropologique ».</w:t>
      </w:r>
    </w:p>
  </w:footnote>
  <w:footnote w:id="424">
    <w:p w:rsidR="004C50DC" w:rsidRDefault="004C50DC">
      <w:pPr>
        <w:pStyle w:val="Notedebasdepage"/>
      </w:pPr>
      <w:r>
        <w:rPr>
          <w:rStyle w:val="Appelnotedebasdep"/>
        </w:rPr>
        <w:footnoteRef/>
      </w:r>
      <w:r>
        <w:t xml:space="preserve"> </w:t>
      </w:r>
      <w:r>
        <w:tab/>
      </w:r>
      <w:r w:rsidRPr="00C92F30">
        <w:rPr>
          <w:lang w:val="fr-FR"/>
        </w:rPr>
        <w:t>En fait, les Archives nationales ont été fondées le 20 août 1860 sous le go</w:t>
      </w:r>
      <w:r w:rsidRPr="00C92F30">
        <w:rPr>
          <w:lang w:val="fr-FR"/>
        </w:rPr>
        <w:t>u</w:t>
      </w:r>
      <w:r w:rsidRPr="00C92F30">
        <w:rPr>
          <w:lang w:val="fr-FR"/>
        </w:rPr>
        <w:t>vernement du président Fabre Nicolas Geffrard, mais ce décret de Jean-Claude Duvalier les organise et en fixe à nouveau les statuts – « organisme public à vocation culturelle » (article 1er) – et les missions – « conserver l’ensemble des documents d’importance nationale produits, reçus ou détenus par toute personne physique ou morale, tout organisme privé ou public dans l’exercice de leur activité. Cette conservation est faite dans l’intérêt public tant pour les besoins de la gestion administrative des entités nationales, la justific</w:t>
      </w:r>
      <w:r w:rsidRPr="00C92F30">
        <w:rPr>
          <w:lang w:val="fr-FR"/>
        </w:rPr>
        <w:t>a</w:t>
      </w:r>
      <w:r w:rsidRPr="00C92F30">
        <w:rPr>
          <w:lang w:val="fr-FR"/>
        </w:rPr>
        <w:t>tion des droits des personnes que pour celui de la recherche » (article 2). </w:t>
      </w:r>
    </w:p>
  </w:footnote>
  <w:footnote w:id="425">
    <w:p w:rsidR="004C50DC" w:rsidRDefault="004C50DC">
      <w:pPr>
        <w:pStyle w:val="Notedebasdepage"/>
      </w:pPr>
      <w:r>
        <w:rPr>
          <w:rStyle w:val="Appelnotedebasdep"/>
        </w:rPr>
        <w:footnoteRef/>
      </w:r>
      <w:r>
        <w:t xml:space="preserve"> </w:t>
      </w:r>
      <w:r>
        <w:tab/>
      </w:r>
      <w:r w:rsidRPr="00C92F30">
        <w:rPr>
          <w:lang w:val="fr-FR"/>
        </w:rPr>
        <w:t>Le Théâtre National d’Haïti a « pour mission de mettre en évidence les v</w:t>
      </w:r>
      <w:r w:rsidRPr="00C92F30">
        <w:rPr>
          <w:lang w:val="fr-FR"/>
        </w:rPr>
        <w:t>a</w:t>
      </w:r>
      <w:r w:rsidRPr="00C92F30">
        <w:rPr>
          <w:lang w:val="fr-FR"/>
        </w:rPr>
        <w:t xml:space="preserve">leurs esthétiques et intellectuelles du patrimoine culturel haïtien, de défendre, d’illustrer et de diffuser la culture haïtienne au niveau de l’espace scénique et des médias à travers le territoire national et à l’étranger » ; article 2 du décret du 22 octobre 1984, </w:t>
      </w:r>
      <w:r w:rsidRPr="00C92F30">
        <w:rPr>
          <w:i/>
          <w:lang w:val="fr-FR"/>
        </w:rPr>
        <w:t>Le Moniteur</w:t>
      </w:r>
      <w:r w:rsidRPr="00C92F30">
        <w:rPr>
          <w:lang w:val="fr-FR"/>
        </w:rPr>
        <w:t xml:space="preserve">, </w:t>
      </w:r>
      <w:r w:rsidRPr="00C92F30">
        <w:rPr>
          <w:i/>
          <w:lang w:val="fr-FR"/>
        </w:rPr>
        <w:t>Journal officiel de la République d’Haïti</w:t>
      </w:r>
      <w:r w:rsidRPr="00C92F30">
        <w:rPr>
          <w:lang w:val="fr-FR"/>
        </w:rPr>
        <w:t>,  n</w:t>
      </w:r>
      <w:r w:rsidRPr="00C92F30">
        <w:rPr>
          <w:vertAlign w:val="superscript"/>
          <w:lang w:val="fr-FR"/>
        </w:rPr>
        <w:t>o</w:t>
      </w:r>
      <w:r w:rsidRPr="00C92F30">
        <w:rPr>
          <w:lang w:val="fr-FR"/>
        </w:rPr>
        <w:t> 74, p. 1123.</w:t>
      </w:r>
    </w:p>
  </w:footnote>
  <w:footnote w:id="426">
    <w:p w:rsidR="004C50DC" w:rsidRDefault="004C50DC">
      <w:pPr>
        <w:pStyle w:val="Notedebasdepage"/>
      </w:pPr>
      <w:r>
        <w:rPr>
          <w:rStyle w:val="Appelnotedebasdep"/>
        </w:rPr>
        <w:footnoteRef/>
      </w:r>
      <w:r>
        <w:t xml:space="preserve"> </w:t>
      </w:r>
      <w:r>
        <w:tab/>
      </w:r>
      <w:r w:rsidRPr="00C92F30">
        <w:rPr>
          <w:lang w:val="fr-FR"/>
        </w:rPr>
        <w:t>Le Musée du Panthéon national haïtien est un musée historique et artistique créé par le décret du 21 octobre 1982 « dans le but de perpétuer et de diffuser le souvenir des Pères de la Patrie » ; ibid., p. 1126.</w:t>
      </w:r>
    </w:p>
  </w:footnote>
  <w:footnote w:id="427">
    <w:p w:rsidR="004C50DC" w:rsidRDefault="004C50DC">
      <w:pPr>
        <w:pStyle w:val="Notedebasdepage"/>
      </w:pPr>
      <w:r>
        <w:rPr>
          <w:rStyle w:val="Appelnotedebasdep"/>
        </w:rPr>
        <w:footnoteRef/>
      </w:r>
      <w:r>
        <w:t xml:space="preserve"> </w:t>
      </w:r>
      <w:r>
        <w:tab/>
      </w:r>
      <w:r w:rsidRPr="00C92F30">
        <w:rPr>
          <w:lang w:val="fr-FR"/>
        </w:rPr>
        <w:t xml:space="preserve">Voir en annexe les décrets parus dans </w:t>
      </w:r>
      <w:r w:rsidRPr="00C92F30">
        <w:rPr>
          <w:i/>
          <w:lang w:val="fr-FR"/>
        </w:rPr>
        <w:t>Le Moniteur</w:t>
      </w:r>
      <w:r w:rsidRPr="00C92F30">
        <w:rPr>
          <w:lang w:val="fr-FR"/>
        </w:rPr>
        <w:t>, ibid., p</w:t>
      </w:r>
      <w:r>
        <w:rPr>
          <w:lang w:val="fr-FR"/>
        </w:rPr>
        <w:t>p</w:t>
      </w:r>
      <w:r w:rsidRPr="00C92F30">
        <w:rPr>
          <w:lang w:val="fr-FR"/>
        </w:rPr>
        <w:t xml:space="preserve">.1119-1127.  </w:t>
      </w:r>
    </w:p>
  </w:footnote>
  <w:footnote w:id="428">
    <w:p w:rsidR="004C50DC" w:rsidRDefault="004C50DC">
      <w:pPr>
        <w:pStyle w:val="Notedebasdepage"/>
      </w:pPr>
      <w:r>
        <w:rPr>
          <w:rStyle w:val="Appelnotedebasdep"/>
        </w:rPr>
        <w:footnoteRef/>
      </w:r>
      <w:r>
        <w:t xml:space="preserve"> </w:t>
      </w:r>
      <w:r>
        <w:tab/>
      </w:r>
      <w:r w:rsidRPr="00C92F30">
        <w:rPr>
          <w:lang w:val="fr-FR"/>
        </w:rPr>
        <w:t xml:space="preserve">Pour de plus amples explications, voir le décret du 20 mars 1986 dans </w:t>
      </w:r>
      <w:r w:rsidRPr="00C92F30">
        <w:rPr>
          <w:i/>
          <w:lang w:val="fr-FR"/>
        </w:rPr>
        <w:t>Le M</w:t>
      </w:r>
      <w:r w:rsidRPr="00C92F30">
        <w:rPr>
          <w:i/>
          <w:lang w:val="fr-FR"/>
        </w:rPr>
        <w:t>o</w:t>
      </w:r>
      <w:r w:rsidRPr="00C92F30">
        <w:rPr>
          <w:i/>
          <w:lang w:val="fr-FR"/>
        </w:rPr>
        <w:t>niteur, Journal officiel de la République d’Haïti</w:t>
      </w:r>
      <w:r w:rsidRPr="00C92F30">
        <w:rPr>
          <w:lang w:val="fr-FR"/>
        </w:rPr>
        <w:t>,  n</w:t>
      </w:r>
      <w:r w:rsidRPr="00C92F30">
        <w:rPr>
          <w:vertAlign w:val="superscript"/>
          <w:lang w:val="fr-FR"/>
        </w:rPr>
        <w:t>o</w:t>
      </w:r>
      <w:r w:rsidRPr="00C92F30">
        <w:rPr>
          <w:lang w:val="fr-FR"/>
        </w:rPr>
        <w:t> 26. En effet, il supprime l’organisme dénommé Institut national haïtien de la Culture et des Arts (INAHCA) (article 1) pour créer le Musée du Panthéon national, les Archives nationales, la Bibliothèque nationale, le Théâtre national, services autonomes placés sous la tutelle du Ministère de l’Information et des Relations publiques (article 2).</w:t>
      </w:r>
    </w:p>
  </w:footnote>
  <w:footnote w:id="429">
    <w:p w:rsidR="004C50DC" w:rsidRPr="00C92F30" w:rsidRDefault="004C50DC" w:rsidP="004C50DC">
      <w:pPr>
        <w:pStyle w:val="Notedebasdepage"/>
      </w:pPr>
      <w:r w:rsidRPr="0036713F">
        <w:rPr>
          <w:rStyle w:val="Appelnotedebasdep"/>
        </w:rPr>
        <w:footnoteRef/>
      </w:r>
      <w:r>
        <w:tab/>
      </w:r>
      <w:r w:rsidRPr="00C92F30">
        <w:t>Voir le préambule de la Constitution du 29 mars 1987.</w:t>
      </w:r>
    </w:p>
  </w:footnote>
  <w:footnote w:id="430">
    <w:p w:rsidR="004C50DC" w:rsidRPr="00C92F30" w:rsidRDefault="004C50DC" w:rsidP="004C50DC">
      <w:pPr>
        <w:pStyle w:val="Notedebasdepage"/>
      </w:pPr>
      <w:r w:rsidRPr="0036713F">
        <w:rPr>
          <w:rStyle w:val="Appelnotedebasdep"/>
        </w:rPr>
        <w:footnoteRef/>
      </w:r>
      <w:r>
        <w:tab/>
      </w:r>
      <w:r w:rsidRPr="00C92F30">
        <w:t>Aujourd’hui, on en compte onze : les Archives nationales d’Haïti, la Bibli</w:t>
      </w:r>
      <w:r w:rsidRPr="00C92F30">
        <w:t>o</w:t>
      </w:r>
      <w:r w:rsidRPr="00C92F30">
        <w:t>thèque nationale, l’École nationale des Arts (ENARTS), le Théâtre national, le Musée du Panthéon national haïtien, le Bureau national d’Ethnologie, l’Institut de Sauvegarde du Patrimoine national, les Presses nationales, la R</w:t>
      </w:r>
      <w:r w:rsidRPr="00C92F30">
        <w:t>a</w:t>
      </w:r>
      <w:r w:rsidRPr="00C92F30">
        <w:t>dio nationale, la Télévision nationale d’Haïti et le Journal l</w:t>
      </w:r>
      <w:r w:rsidRPr="00C92F30">
        <w:rPr>
          <w:i/>
        </w:rPr>
        <w:t>’Union</w:t>
      </w:r>
      <w:r w:rsidRPr="00C92F30">
        <w:t>.</w:t>
      </w:r>
    </w:p>
  </w:footnote>
  <w:footnote w:id="431">
    <w:p w:rsidR="004C50DC" w:rsidRDefault="004C50DC">
      <w:pPr>
        <w:pStyle w:val="Notedebasdepage"/>
      </w:pPr>
      <w:r>
        <w:rPr>
          <w:rStyle w:val="Appelnotedebasdep"/>
        </w:rPr>
        <w:footnoteRef/>
      </w:r>
      <w:r>
        <w:t xml:space="preserve"> </w:t>
      </w:r>
      <w:r>
        <w:tab/>
      </w:r>
      <w:r w:rsidRPr="00C92F30">
        <w:rPr>
          <w:lang w:val="fr-FR"/>
        </w:rPr>
        <w:t xml:space="preserve">Prosper Avril, dans </w:t>
      </w:r>
      <w:r w:rsidRPr="00C92F30">
        <w:rPr>
          <w:i/>
          <w:lang w:val="fr-FR"/>
        </w:rPr>
        <w:t xml:space="preserve">Le MUPANAH : un monde à découvrir. Haïti, 1983-2013, </w:t>
      </w:r>
      <w:r w:rsidRPr="00C92F30">
        <w:rPr>
          <w:lang w:val="fr-FR"/>
        </w:rPr>
        <w:t>Port-au-Prince, L’Imprimeur, 2013, a exposé les faits et l’histoire du musée. Il a été l’un des artisans associé à cette création pour avoir été membre du conseil d’administration de l’Institut national de la Culture et des Arts (I</w:t>
      </w:r>
      <w:r w:rsidRPr="00C92F30">
        <w:rPr>
          <w:lang w:val="fr-FR"/>
        </w:rPr>
        <w:t>N</w:t>
      </w:r>
      <w:r w:rsidRPr="00C92F30">
        <w:rPr>
          <w:lang w:val="fr-FR"/>
        </w:rPr>
        <w:t>HACA) et il relate les difficultés et les sacrifices consentis dans cet ouvrage éclairant,qui se veut un outil pédagogique, éducatif et mémoriel pour la je</w:t>
      </w:r>
      <w:r w:rsidRPr="00C92F30">
        <w:rPr>
          <w:lang w:val="fr-FR"/>
        </w:rPr>
        <w:t>u</w:t>
      </w:r>
      <w:r w:rsidRPr="00C92F30">
        <w:rPr>
          <w:lang w:val="fr-FR"/>
        </w:rPr>
        <w:t xml:space="preserve">nesse haïtienne, les chercheurs et les passionnés de la culture en général. </w:t>
      </w:r>
    </w:p>
  </w:footnote>
  <w:footnote w:id="432">
    <w:p w:rsidR="004C50DC" w:rsidRDefault="004C50DC">
      <w:pPr>
        <w:pStyle w:val="Notedebasdepage"/>
      </w:pPr>
      <w:r>
        <w:rPr>
          <w:rStyle w:val="Appelnotedebasdep"/>
        </w:rPr>
        <w:footnoteRef/>
      </w:r>
      <w:r>
        <w:t xml:space="preserve"> </w:t>
      </w:r>
      <w:r>
        <w:tab/>
      </w:r>
      <w:r w:rsidRPr="00C92F30">
        <w:t>Voir</w:t>
      </w:r>
      <w:r>
        <w:t xml:space="preserve"> </w:t>
      </w:r>
      <w:r w:rsidRPr="00C92F30">
        <w:t xml:space="preserve">« Lois, décrets et sauvegarde du patrimoine », </w:t>
      </w:r>
      <w:r w:rsidRPr="00C92F30">
        <w:rPr>
          <w:i/>
        </w:rPr>
        <w:t>Bulletin de l’ISPAN</w:t>
      </w:r>
      <w:r w:rsidRPr="00C92F30">
        <w:t>, n</w:t>
      </w:r>
      <w:r w:rsidRPr="00C92F30">
        <w:rPr>
          <w:vertAlign w:val="superscript"/>
        </w:rPr>
        <w:t>o</w:t>
      </w:r>
      <w:r w:rsidRPr="00C92F30">
        <w:t> 27, 1</w:t>
      </w:r>
      <w:r w:rsidRPr="00C92F30">
        <w:rPr>
          <w:vertAlign w:val="superscript"/>
        </w:rPr>
        <w:t>er</w:t>
      </w:r>
      <w:r w:rsidRPr="00C92F30">
        <w:t xml:space="preserve"> août 2011, p. 5.</w:t>
      </w:r>
    </w:p>
  </w:footnote>
  <w:footnote w:id="433">
    <w:p w:rsidR="004C50DC" w:rsidRDefault="004C50DC">
      <w:pPr>
        <w:pStyle w:val="Notedebasdepage"/>
      </w:pPr>
      <w:r>
        <w:rPr>
          <w:rStyle w:val="Appelnotedebasdep"/>
        </w:rPr>
        <w:footnoteRef/>
      </w:r>
      <w:r>
        <w:t xml:space="preserve"> </w:t>
      </w:r>
      <w:r>
        <w:tab/>
      </w:r>
      <w:r w:rsidRPr="00C92F30">
        <w:rPr>
          <w:lang w:val="fr-FR" w:eastAsia="en-CA"/>
        </w:rPr>
        <w:t>Magalie Comeau, « Message du ministre de la Culture et de la Communic</w:t>
      </w:r>
      <w:r w:rsidRPr="00C92F30">
        <w:rPr>
          <w:lang w:val="fr-FR" w:eastAsia="en-CA"/>
        </w:rPr>
        <w:t>a</w:t>
      </w:r>
      <w:r w:rsidRPr="00C92F30">
        <w:rPr>
          <w:lang w:val="fr-FR" w:eastAsia="en-CA"/>
        </w:rPr>
        <w:t xml:space="preserve">tion », </w:t>
      </w:r>
      <w:r w:rsidRPr="00C92F30">
        <w:rPr>
          <w:i/>
          <w:lang w:val="fr-FR" w:eastAsia="en-CA"/>
        </w:rPr>
        <w:t>Livre blanc du gouvernement de  transition</w:t>
      </w:r>
      <w:r w:rsidRPr="00C92F30">
        <w:rPr>
          <w:lang w:val="fr-FR" w:eastAsia="en-CA"/>
        </w:rPr>
        <w:t xml:space="preserve">, janvier 2006, p. 403. </w:t>
      </w:r>
    </w:p>
  </w:footnote>
  <w:footnote w:id="434">
    <w:p w:rsidR="004C50DC" w:rsidRDefault="004C50DC">
      <w:pPr>
        <w:pStyle w:val="Notedebasdepage"/>
      </w:pPr>
      <w:r>
        <w:rPr>
          <w:rStyle w:val="Appelnotedebasdep"/>
        </w:rPr>
        <w:footnoteRef/>
      </w:r>
      <w:r>
        <w:t xml:space="preserve"> </w:t>
      </w:r>
      <w:r>
        <w:tab/>
      </w:r>
      <w:r w:rsidRPr="0036713F">
        <w:rPr>
          <w:i/>
          <w:lang w:val="fr-FR" w:eastAsia="en-CA"/>
        </w:rPr>
        <w:t>Ibid</w:t>
      </w:r>
      <w:r w:rsidRPr="00C92F30">
        <w:rPr>
          <w:lang w:val="fr-FR"/>
        </w:rPr>
        <w:t>.</w:t>
      </w:r>
    </w:p>
  </w:footnote>
  <w:footnote w:id="435">
    <w:p w:rsidR="004C50DC" w:rsidRDefault="004C50DC">
      <w:pPr>
        <w:pStyle w:val="Notedebasdepage"/>
      </w:pPr>
      <w:r>
        <w:rPr>
          <w:rStyle w:val="Appelnotedebasdep"/>
        </w:rPr>
        <w:footnoteRef/>
      </w:r>
      <w:r>
        <w:t xml:space="preserve"> </w:t>
      </w:r>
      <w:r>
        <w:tab/>
      </w:r>
      <w:r w:rsidRPr="0036713F">
        <w:rPr>
          <w:i/>
          <w:lang w:val="fr-FR"/>
        </w:rPr>
        <w:t>Ibid</w:t>
      </w:r>
      <w:r w:rsidRPr="00C92F30">
        <w:rPr>
          <w:lang w:val="fr-FR"/>
        </w:rPr>
        <w:t>.</w:t>
      </w:r>
    </w:p>
  </w:footnote>
  <w:footnote w:id="436">
    <w:p w:rsidR="004C50DC" w:rsidRDefault="004C50DC">
      <w:pPr>
        <w:pStyle w:val="Notedebasdepage"/>
      </w:pPr>
      <w:r>
        <w:rPr>
          <w:rStyle w:val="Appelnotedebasdep"/>
        </w:rPr>
        <w:footnoteRef/>
      </w:r>
      <w:r>
        <w:t xml:space="preserve"> </w:t>
      </w:r>
      <w:r>
        <w:tab/>
      </w:r>
      <w:r w:rsidRPr="00C92F30">
        <w:rPr>
          <w:lang w:val="fr-FR"/>
        </w:rPr>
        <w:t>« Déclaration de politique générale du Premier ministre Jacques Édouard Alexis », texte officiel, 2006, p. 35 ; voir aussi « Rapport du Ministère de la Culture et de la Communication », Document de participation d’Haïti à la Troisième réunion des ministres et hauts fonctionnaires chargés de la Culture, Organisation des États Américains, Montréal  13-15 novembre 2006.</w:t>
      </w:r>
    </w:p>
  </w:footnote>
  <w:footnote w:id="437">
    <w:p w:rsidR="004C50DC" w:rsidRDefault="004C50DC">
      <w:pPr>
        <w:pStyle w:val="Notedebasdepage"/>
      </w:pPr>
      <w:r>
        <w:rPr>
          <w:rStyle w:val="Appelnotedebasdep"/>
        </w:rPr>
        <w:footnoteRef/>
      </w:r>
      <w:r>
        <w:t xml:space="preserve"> </w:t>
      </w:r>
      <w:r>
        <w:tab/>
      </w:r>
      <w:r w:rsidRPr="00C92F30">
        <w:rPr>
          <w:i/>
          <w:lang w:val="fr-FR"/>
        </w:rPr>
        <w:t xml:space="preserve">Ibid, </w:t>
      </w:r>
      <w:r w:rsidRPr="00C92F30">
        <w:rPr>
          <w:lang w:val="fr-FR"/>
        </w:rPr>
        <w:t>p</w:t>
      </w:r>
      <w:r>
        <w:rPr>
          <w:lang w:val="fr-FR"/>
        </w:rPr>
        <w:t>p</w:t>
      </w:r>
      <w:r w:rsidRPr="00C92F30">
        <w:rPr>
          <w:lang w:val="fr-FR"/>
        </w:rPr>
        <w:t>. 35-36</w:t>
      </w:r>
      <w:r w:rsidRPr="00C92F30">
        <w:rPr>
          <w:i/>
          <w:lang w:val="fr-FR"/>
        </w:rPr>
        <w:t>.</w:t>
      </w:r>
    </w:p>
  </w:footnote>
  <w:footnote w:id="438">
    <w:p w:rsidR="004C50DC" w:rsidRDefault="004C50DC" w:rsidP="004C50DC">
      <w:pPr>
        <w:pStyle w:val="Notedebasdepage"/>
      </w:pPr>
      <w:r>
        <w:rPr>
          <w:rStyle w:val="Appelnotedebasdep"/>
        </w:rPr>
        <w:footnoteRef/>
      </w:r>
      <w:r>
        <w:t xml:space="preserve"> </w:t>
      </w:r>
      <w:r>
        <w:tab/>
      </w:r>
      <w:r w:rsidRPr="00C92F30">
        <w:rPr>
          <w:lang w:val="fr-FR"/>
        </w:rPr>
        <w:t>Pour de plus amples explications, voir le « Rapport du Ministère de la Culture et de la Communication », Document de participation d’Haïti à la Troisième réunion des ministres et hauts fonctionnaires chargés de la Culture, Organis</w:t>
      </w:r>
      <w:r w:rsidRPr="00C92F30">
        <w:rPr>
          <w:lang w:val="fr-FR"/>
        </w:rPr>
        <w:t>a</w:t>
      </w:r>
      <w:r w:rsidRPr="00C92F30">
        <w:rPr>
          <w:lang w:val="fr-FR"/>
        </w:rPr>
        <w:t>tion des États américains, Montréal, 13-15 novembre 2006.</w:t>
      </w:r>
    </w:p>
  </w:footnote>
  <w:footnote w:id="439">
    <w:p w:rsidR="004C50DC" w:rsidRDefault="004C50DC">
      <w:pPr>
        <w:pStyle w:val="Notedebasdepage"/>
      </w:pPr>
      <w:r>
        <w:rPr>
          <w:rStyle w:val="Appelnotedebasdep"/>
        </w:rPr>
        <w:footnoteRef/>
      </w:r>
      <w:r>
        <w:t xml:space="preserve"> </w:t>
      </w:r>
      <w:r>
        <w:tab/>
      </w:r>
      <w:r w:rsidRPr="00C92F30">
        <w:rPr>
          <w:lang w:val="fr-FR"/>
        </w:rPr>
        <w:t xml:space="preserve">Ministère de la Culture et de la Communication, </w:t>
      </w:r>
      <w:r w:rsidRPr="00C92F30">
        <w:rPr>
          <w:i/>
          <w:lang w:val="fr-FR"/>
        </w:rPr>
        <w:t>Les grands axes de l’action du gouvernement dans le secteur de la culture et de la communication. Feuille de route</w:t>
      </w:r>
      <w:r w:rsidRPr="00C92F30">
        <w:rPr>
          <w:lang w:val="fr-FR"/>
        </w:rPr>
        <w:t xml:space="preserve">, Port-au-Prince, octobre 2008. </w:t>
      </w:r>
    </w:p>
  </w:footnote>
  <w:footnote w:id="440">
    <w:p w:rsidR="004C50DC" w:rsidRDefault="004C50DC">
      <w:pPr>
        <w:pStyle w:val="Notedebasdepage"/>
      </w:pPr>
      <w:r>
        <w:rPr>
          <w:rStyle w:val="Appelnotedebasdep"/>
        </w:rPr>
        <w:footnoteRef/>
      </w:r>
      <w:r>
        <w:t xml:space="preserve"> </w:t>
      </w:r>
      <w:r>
        <w:tab/>
      </w:r>
      <w:r w:rsidRPr="00C92F30">
        <w:t xml:space="preserve">Voir Eddy Lubin et Ronald Paul, </w:t>
      </w:r>
      <w:r w:rsidRPr="00C92F30">
        <w:rPr>
          <w:i/>
        </w:rPr>
        <w:t>La politique culturelle de la République d’Haïti. Proposition du ministre Eddy Lubin</w:t>
      </w:r>
      <w:r w:rsidRPr="00C92F30">
        <w:t>, Port-au-Prince, Presses nation</w:t>
      </w:r>
      <w:r w:rsidRPr="00C92F30">
        <w:t>a</w:t>
      </w:r>
      <w:r w:rsidRPr="00C92F30">
        <w:t>les d’Haïti, mars 2008.</w:t>
      </w:r>
    </w:p>
  </w:footnote>
  <w:footnote w:id="441">
    <w:p w:rsidR="004C50DC" w:rsidRDefault="004C50DC">
      <w:pPr>
        <w:pStyle w:val="Notedebasdepage"/>
      </w:pPr>
      <w:r>
        <w:rPr>
          <w:rStyle w:val="Appelnotedebasdep"/>
        </w:rPr>
        <w:footnoteRef/>
      </w:r>
      <w:r>
        <w:t xml:space="preserve"> </w:t>
      </w:r>
      <w:r>
        <w:tab/>
      </w:r>
      <w:r w:rsidRPr="00C92F30">
        <w:rPr>
          <w:lang w:val="fr-FR"/>
        </w:rPr>
        <w:t xml:space="preserve">Voir les </w:t>
      </w:r>
      <w:r w:rsidRPr="00C92F30">
        <w:rPr>
          <w:i/>
          <w:lang w:val="fr-FR" w:eastAsia="en-CA"/>
        </w:rPr>
        <w:t>Actes des Assises nationales de la culture</w:t>
      </w:r>
      <w:r w:rsidRPr="00C92F30">
        <w:rPr>
          <w:lang w:val="fr-FR" w:eastAsia="en-CA"/>
        </w:rPr>
        <w:t>, Port-au-Prince (28, 29, 30 juillet 2011).</w:t>
      </w:r>
    </w:p>
  </w:footnote>
  <w:footnote w:id="442">
    <w:p w:rsidR="004C50DC" w:rsidRDefault="004C50DC">
      <w:pPr>
        <w:pStyle w:val="Notedebasdepage"/>
      </w:pPr>
      <w:r>
        <w:rPr>
          <w:rStyle w:val="Appelnotedebasdep"/>
        </w:rPr>
        <w:footnoteRef/>
      </w:r>
      <w:r>
        <w:t xml:space="preserve"> </w:t>
      </w:r>
      <w:r>
        <w:tab/>
      </w:r>
      <w:r w:rsidRPr="00C92F30">
        <w:rPr>
          <w:lang w:val="fr-FR"/>
        </w:rPr>
        <w:t>Ibid.</w:t>
      </w:r>
    </w:p>
  </w:footnote>
  <w:footnote w:id="443">
    <w:p w:rsidR="004C50DC" w:rsidRDefault="004C50DC">
      <w:pPr>
        <w:pStyle w:val="Notedebasdepage"/>
      </w:pPr>
      <w:r>
        <w:rPr>
          <w:rStyle w:val="Appelnotedebasdep"/>
        </w:rPr>
        <w:footnoteRef/>
      </w:r>
      <w:r>
        <w:t xml:space="preserve"> </w:t>
      </w:r>
      <w:r>
        <w:tab/>
      </w:r>
      <w:r w:rsidRPr="00C92F30">
        <w:rPr>
          <w:lang w:val="fr-FR"/>
        </w:rPr>
        <w:t xml:space="preserve">Les cinq « E » mettent en relief : </w:t>
      </w:r>
      <w:r w:rsidRPr="00C92F30">
        <w:rPr>
          <w:bCs/>
          <w:iCs/>
          <w:lang w:val="fr-FR" w:eastAsia="en-CA"/>
        </w:rPr>
        <w:t>État de Droit et Démocratie ; Économie et Emploi ; Environnement et aménagement du territoire ; Énergie ; Éducation, d</w:t>
      </w:r>
      <w:r w:rsidRPr="00C92F30">
        <w:rPr>
          <w:bCs/>
          <w:iCs/>
          <w:lang w:val="fr-FR" w:eastAsia="en-CA"/>
        </w:rPr>
        <w:t>é</w:t>
      </w:r>
      <w:r w:rsidRPr="00C92F30">
        <w:rPr>
          <w:bCs/>
          <w:iCs/>
          <w:lang w:val="fr-FR" w:eastAsia="en-CA"/>
        </w:rPr>
        <w:t xml:space="preserve">veloppement humain et social. Voir </w:t>
      </w:r>
      <w:r w:rsidRPr="00C92F30">
        <w:rPr>
          <w:lang w:val="fr-FR"/>
        </w:rPr>
        <w:t>Laurent Salvador Lamothe,</w:t>
      </w:r>
      <w:r w:rsidRPr="00C92F30">
        <w:rPr>
          <w:i/>
          <w:lang w:val="fr-FR"/>
        </w:rPr>
        <w:t xml:space="preserve"> « Fòk pèp la jwenn »</w:t>
      </w:r>
      <w:r w:rsidRPr="00C92F30">
        <w:rPr>
          <w:lang w:val="fr-FR"/>
        </w:rPr>
        <w:t>, Énoncé de politique générale du Premier ministre, Port-au-Prince, mai 2012, en ligne, http://www.haitilibre.com/article-5597-haiti-politique-texte-de-la-politique-generale-du-premier-ministre-premiere-partie.html</w:t>
      </w:r>
      <w:r>
        <w:rPr>
          <w:lang w:val="fr-FR"/>
        </w:rPr>
        <w:t>.</w:t>
      </w:r>
    </w:p>
  </w:footnote>
  <w:footnote w:id="444">
    <w:p w:rsidR="004C50DC" w:rsidRDefault="004C50DC">
      <w:pPr>
        <w:pStyle w:val="Notedebasdepage"/>
      </w:pPr>
      <w:r>
        <w:rPr>
          <w:rStyle w:val="Appelnotedebasdep"/>
        </w:rPr>
        <w:footnoteRef/>
      </w:r>
      <w:r>
        <w:t xml:space="preserve"> </w:t>
      </w:r>
      <w:r>
        <w:tab/>
      </w:r>
      <w:r w:rsidRPr="00977C3B">
        <w:rPr>
          <w:i/>
          <w:lang w:val="fr-FR"/>
        </w:rPr>
        <w:t>Ibid</w:t>
      </w:r>
      <w:r w:rsidRPr="00C92F30">
        <w:rPr>
          <w:lang w:val="fr-FR"/>
        </w:rPr>
        <w:t>.</w:t>
      </w:r>
    </w:p>
  </w:footnote>
  <w:footnote w:id="445">
    <w:p w:rsidR="004C50DC" w:rsidRDefault="004C50DC">
      <w:pPr>
        <w:pStyle w:val="Notedebasdepage"/>
      </w:pPr>
      <w:r>
        <w:rPr>
          <w:rStyle w:val="Appelnotedebasdep"/>
        </w:rPr>
        <w:footnoteRef/>
      </w:r>
      <w:r>
        <w:t xml:space="preserve"> </w:t>
      </w:r>
      <w:r>
        <w:tab/>
      </w:r>
      <w:r w:rsidRPr="00C92F30">
        <w:t>Voir le communiqué du Bureau national d’Ethnologie en date du 11 décembre 2013 se rapportant à toute exploitation, recherche et exploration touchant le patrimoine archéologique, matériel et immatériel ainsi que la pratique de la spéléologie en Haïti (Annexe V).</w:t>
      </w:r>
    </w:p>
  </w:footnote>
  <w:footnote w:id="446">
    <w:p w:rsidR="004C50DC" w:rsidRDefault="004C50DC">
      <w:pPr>
        <w:pStyle w:val="Notedebasdepage"/>
      </w:pPr>
      <w:r>
        <w:rPr>
          <w:rStyle w:val="Appelnotedebasdep"/>
        </w:rPr>
        <w:footnoteRef/>
      </w:r>
      <w:r>
        <w:t xml:space="preserve"> </w:t>
      </w:r>
      <w:r>
        <w:tab/>
      </w:r>
      <w:r w:rsidRPr="00C92F30">
        <w:t>Suivant le décret du 20 octobre 1984, le BNE a pour mission d’identifier, de grouper et de conserver les objets archéologiques trouvés en territoire ha</w:t>
      </w:r>
      <w:r w:rsidRPr="00C92F30">
        <w:t>ï</w:t>
      </w:r>
      <w:r w:rsidRPr="00C92F30">
        <w:t>tien ; de constituer une source précieuse pour les études de  reconstitution de l’histoire et de la culture des peuples ayant habité l’île ; et d’entreprendre des études sur la société et sur la culture haïtiennes en vue d’une meilleure co</w:t>
      </w:r>
      <w:r w:rsidRPr="00C92F30">
        <w:t>m</w:t>
      </w:r>
      <w:r w:rsidRPr="00C92F30">
        <w:t>préhension de l’homme haïtien. Ces dispositions font du BNE un org</w:t>
      </w:r>
      <w:r w:rsidRPr="00C92F30">
        <w:t>a</w:t>
      </w:r>
      <w:r w:rsidRPr="00C92F30">
        <w:t>nisme public de recherche, de transmission, de sauvegarde et de valorisation du p</w:t>
      </w:r>
      <w:r w:rsidRPr="00C92F30">
        <w:t>a</w:t>
      </w:r>
      <w:r w:rsidRPr="00C92F30">
        <w:t>trimoine culturel haïtien (Article 2 du décret du 20 octobre 1984, Le Moniteur, no 73, p. 1096)</w:t>
      </w:r>
    </w:p>
  </w:footnote>
  <w:footnote w:id="447">
    <w:p w:rsidR="004C50DC" w:rsidRPr="00C92F30" w:rsidRDefault="004C50DC" w:rsidP="004C50DC">
      <w:pPr>
        <w:pStyle w:val="Notedebasdepage"/>
        <w:rPr>
          <w:lang w:eastAsia="ja-JP"/>
        </w:rPr>
      </w:pPr>
      <w:r w:rsidRPr="00977C3B">
        <w:rPr>
          <w:rStyle w:val="Appelnotedebasdep"/>
        </w:rPr>
        <w:footnoteRef/>
      </w:r>
      <w:r>
        <w:tab/>
      </w:r>
      <w:r w:rsidRPr="00C92F30">
        <w:t xml:space="preserve">Par exemple, lors des manifestations carnavalesques, des groupes musicaux, comme </w:t>
      </w:r>
      <w:r w:rsidRPr="00C92F30">
        <w:rPr>
          <w:i/>
        </w:rPr>
        <w:t xml:space="preserve">Boukman Eksperyans </w:t>
      </w:r>
      <w:r w:rsidRPr="00C92F30">
        <w:t xml:space="preserve">et </w:t>
      </w:r>
      <w:r w:rsidRPr="00C92F30">
        <w:rPr>
          <w:i/>
        </w:rPr>
        <w:t>Brothers Posse,</w:t>
      </w:r>
      <w:r w:rsidRPr="00C92F30">
        <w:t xml:space="preserve"> qui dénonçaient les exa</w:t>
      </w:r>
      <w:r w:rsidRPr="00C92F30">
        <w:t>c</w:t>
      </w:r>
      <w:r w:rsidRPr="00C92F30">
        <w:t>tions et la corruption au sein du gouvernement en place n’avaient pas été r</w:t>
      </w:r>
      <w:r w:rsidRPr="00C92F30">
        <w:t>e</w:t>
      </w:r>
      <w:r w:rsidRPr="00C92F30">
        <w:t>tenus pour participer aux défil</w:t>
      </w:r>
      <w:r w:rsidRPr="00C92F30">
        <w:rPr>
          <w:lang w:eastAsia="ja-JP"/>
        </w:rPr>
        <w:t xml:space="preserve">és officiels durant les trois jours gras de 2012 et de 2013. </w:t>
      </w:r>
    </w:p>
  </w:footnote>
  <w:footnote w:id="448">
    <w:p w:rsidR="004C50DC" w:rsidRPr="00C92F30" w:rsidRDefault="004C50DC" w:rsidP="004C50DC">
      <w:pPr>
        <w:pStyle w:val="Notedebasdepage"/>
        <w:rPr>
          <w:lang w:val="fr-FR"/>
        </w:rPr>
      </w:pPr>
      <w:r w:rsidRPr="00977C3B">
        <w:rPr>
          <w:rStyle w:val="Appelnotedebasdep"/>
          <w:lang w:val="fr-FR"/>
        </w:rPr>
        <w:footnoteRef/>
      </w:r>
      <w:r>
        <w:rPr>
          <w:lang w:val="fr-FR"/>
        </w:rPr>
        <w:tab/>
      </w:r>
      <w:r w:rsidRPr="00C92F30">
        <w:rPr>
          <w:lang w:val="fr-FR"/>
        </w:rPr>
        <w:t>Voir Magalie Comeau, op. cit., p. 427.</w:t>
      </w:r>
    </w:p>
  </w:footnote>
  <w:footnote w:id="449">
    <w:p w:rsidR="004C50DC" w:rsidRPr="00C92F30" w:rsidRDefault="004C50DC" w:rsidP="004C50DC">
      <w:pPr>
        <w:pStyle w:val="Notedebasdepage"/>
      </w:pPr>
      <w:r w:rsidRPr="00977C3B">
        <w:rPr>
          <w:rStyle w:val="Appelnotedebasdep"/>
        </w:rPr>
        <w:footnoteRef/>
      </w:r>
      <w:r>
        <w:tab/>
      </w:r>
      <w:r w:rsidRPr="00C92F30">
        <w:t>Voir Annexe IV.</w:t>
      </w:r>
    </w:p>
  </w:footnote>
  <w:footnote w:id="450">
    <w:p w:rsidR="004C50DC" w:rsidRPr="00C92F30" w:rsidRDefault="004C50DC" w:rsidP="004C50DC">
      <w:pPr>
        <w:pStyle w:val="Notedebasdepage"/>
      </w:pPr>
      <w:r w:rsidRPr="00977C3B">
        <w:rPr>
          <w:rStyle w:val="Appelnotedebasdep"/>
        </w:rPr>
        <w:footnoteRef/>
      </w:r>
      <w:r>
        <w:tab/>
      </w:r>
      <w:r w:rsidRPr="00C92F30">
        <w:t xml:space="preserve">Paul Ricœur, </w:t>
      </w:r>
      <w:r w:rsidRPr="00C92F30">
        <w:rPr>
          <w:i/>
        </w:rPr>
        <w:t>Soi-même comme un autre</w:t>
      </w:r>
      <w:r w:rsidRPr="00C92F30">
        <w:t>, Paris, Seuil, 1990, p</w:t>
      </w:r>
      <w:r>
        <w:t>p</w:t>
      </w:r>
      <w:r w:rsidRPr="00C92F30">
        <w:t>. 223-224.</w:t>
      </w:r>
    </w:p>
  </w:footnote>
  <w:footnote w:id="451">
    <w:p w:rsidR="004C50DC" w:rsidRPr="00C92F30" w:rsidRDefault="004C50DC" w:rsidP="004C50DC">
      <w:pPr>
        <w:pStyle w:val="Notedebasdepage"/>
      </w:pPr>
      <w:r w:rsidRPr="00977C3B">
        <w:rPr>
          <w:rStyle w:val="Appelnotedebasdep"/>
        </w:rPr>
        <w:footnoteRef/>
      </w:r>
      <w:r>
        <w:tab/>
      </w:r>
      <w:r w:rsidRPr="00C92F30">
        <w:t>C’est souvent la mauvaise gestion des pouvoirs publics qui suscite cette crit</w:t>
      </w:r>
      <w:r w:rsidRPr="00C92F30">
        <w:t>i</w:t>
      </w:r>
      <w:r w:rsidRPr="00C92F30">
        <w:t>que et cette méfiance du pouvoir</w:t>
      </w:r>
      <w:r w:rsidRPr="00C92F30">
        <w:rPr>
          <w:lang w:eastAsia="ja-JP"/>
        </w:rPr>
        <w:t>. En revanche, autour de ce travail sur la m</w:t>
      </w:r>
      <w:r w:rsidRPr="00C92F30">
        <w:rPr>
          <w:lang w:eastAsia="ja-JP"/>
        </w:rPr>
        <w:t>é</w:t>
      </w:r>
      <w:r w:rsidRPr="00C92F30">
        <w:rPr>
          <w:lang w:eastAsia="ja-JP"/>
        </w:rPr>
        <w:t>moire de l’esclavage se créent des complicités, des terrains communs.</w:t>
      </w:r>
    </w:p>
  </w:footnote>
  <w:footnote w:id="452">
    <w:p w:rsidR="004C50DC" w:rsidRDefault="004C50DC">
      <w:pPr>
        <w:pStyle w:val="Notedebasdepage"/>
      </w:pPr>
      <w:r>
        <w:rPr>
          <w:rStyle w:val="Appelnotedebasdep"/>
        </w:rPr>
        <w:footnoteRef/>
      </w:r>
      <w:r>
        <w:t xml:space="preserve"> </w:t>
      </w:r>
      <w:r>
        <w:tab/>
      </w:r>
      <w:r w:rsidRPr="00C92F30">
        <w:rPr>
          <w:lang w:val="fr-FR"/>
        </w:rPr>
        <w:t xml:space="preserve">Maurice Halbwachs, </w:t>
      </w:r>
      <w:hyperlink r:id="rId67" w:history="1">
        <w:r w:rsidRPr="00635EDE">
          <w:rPr>
            <w:rStyle w:val="Lienhypertexte"/>
            <w:i/>
            <w:lang w:val="fr-FR"/>
          </w:rPr>
          <w:t>La mémoire collective</w:t>
        </w:r>
      </w:hyperlink>
      <w:r w:rsidRPr="00C92F30">
        <w:rPr>
          <w:lang w:val="fr-FR"/>
        </w:rPr>
        <w:t xml:space="preserve">, Paris, Albin, Michel, [1950] 1997. </w:t>
      </w:r>
    </w:p>
  </w:footnote>
  <w:footnote w:id="453">
    <w:p w:rsidR="004C50DC" w:rsidRDefault="004C50DC">
      <w:pPr>
        <w:pStyle w:val="Notedebasdepage"/>
      </w:pPr>
      <w:r>
        <w:rPr>
          <w:rStyle w:val="Appelnotedebasdep"/>
        </w:rPr>
        <w:footnoteRef/>
      </w:r>
      <w:r>
        <w:t xml:space="preserve"> </w:t>
      </w:r>
      <w:r>
        <w:tab/>
      </w:r>
      <w:r w:rsidRPr="00C92F30">
        <w:rPr>
          <w:lang w:val="fr-FR"/>
        </w:rPr>
        <w:t xml:space="preserve">Gérard Barthélémy, </w:t>
      </w:r>
      <w:r w:rsidRPr="00C92F30">
        <w:rPr>
          <w:i/>
          <w:lang w:val="fr-FR"/>
        </w:rPr>
        <w:t>Le pays en dehors, essai sur l’univers rural haïtien</w:t>
      </w:r>
      <w:r w:rsidRPr="00C92F30">
        <w:rPr>
          <w:lang w:val="fr-FR"/>
        </w:rPr>
        <w:t>, Port-au-Prince, Henri Deschamps et Cidhica, 1989, p. 58.</w:t>
      </w:r>
    </w:p>
  </w:footnote>
  <w:footnote w:id="454">
    <w:p w:rsidR="004C50DC" w:rsidRDefault="004C50DC">
      <w:pPr>
        <w:pStyle w:val="Notedebasdepage"/>
      </w:pPr>
      <w:r>
        <w:rPr>
          <w:rStyle w:val="Appelnotedebasdep"/>
        </w:rPr>
        <w:footnoteRef/>
      </w:r>
      <w:r>
        <w:t xml:space="preserve"> </w:t>
      </w:r>
      <w:r>
        <w:tab/>
      </w:r>
      <w:r w:rsidRPr="00C92F30">
        <w:rPr>
          <w:lang w:val="fr-FR"/>
        </w:rPr>
        <w:t xml:space="preserve">Orlando Patterson, « Recent Studies on Caribbean Slavery and the Atlantic Slave Trade », </w:t>
      </w:r>
      <w:r w:rsidRPr="00C92F30">
        <w:rPr>
          <w:i/>
          <w:iCs/>
          <w:lang w:val="fr-FR"/>
        </w:rPr>
        <w:t xml:space="preserve">Latin American Research Review, </w:t>
      </w:r>
      <w:r w:rsidRPr="00C92F30">
        <w:rPr>
          <w:lang w:val="fr-FR"/>
        </w:rPr>
        <w:t xml:space="preserve">17, 1982 : 251-275, traduit et cité par Richard Price, </w:t>
      </w:r>
      <w:r w:rsidRPr="00C92F30">
        <w:rPr>
          <w:i/>
          <w:iCs/>
          <w:lang w:val="fr-FR"/>
        </w:rPr>
        <w:t>Le bagnard et le colonel</w:t>
      </w:r>
      <w:r w:rsidRPr="00C92F30">
        <w:rPr>
          <w:lang w:val="fr-FR"/>
        </w:rPr>
        <w:t>, Paris, PUF, 2000 et repris par Jean-Luc Bonniol, « De la construction d’une mémoire historique aux f</w:t>
      </w:r>
      <w:r w:rsidRPr="00C92F30">
        <w:rPr>
          <w:lang w:val="fr-FR"/>
        </w:rPr>
        <w:t>i</w:t>
      </w:r>
      <w:r w:rsidRPr="00C92F30">
        <w:rPr>
          <w:lang w:val="fr-FR"/>
        </w:rPr>
        <w:t xml:space="preserve">gurations de la traite et de l’esclavage dans l’espace public antillais », dans Jean-Luc Bonniol et Maryline Crivello (dir.), </w:t>
      </w:r>
      <w:r w:rsidRPr="00C92F30">
        <w:rPr>
          <w:i/>
          <w:lang w:val="fr-FR"/>
        </w:rPr>
        <w:t>Façonner le passé. Représent</w:t>
      </w:r>
      <w:r w:rsidRPr="00C92F30">
        <w:rPr>
          <w:i/>
          <w:lang w:val="fr-FR"/>
        </w:rPr>
        <w:t>a</w:t>
      </w:r>
      <w:r w:rsidRPr="00C92F30">
        <w:rPr>
          <w:i/>
          <w:lang w:val="fr-FR"/>
        </w:rPr>
        <w:t>tions et cultures de l’histoire (XVI</w:t>
      </w:r>
      <w:r w:rsidRPr="00C92F30">
        <w:rPr>
          <w:i/>
          <w:vertAlign w:val="superscript"/>
          <w:lang w:val="fr-FR"/>
        </w:rPr>
        <w:t>e</w:t>
      </w:r>
      <w:r w:rsidRPr="00C92F30">
        <w:rPr>
          <w:i/>
          <w:lang w:val="fr-FR"/>
        </w:rPr>
        <w:t>-XXI</w:t>
      </w:r>
      <w:r w:rsidRPr="00C92F30">
        <w:rPr>
          <w:i/>
          <w:vertAlign w:val="superscript"/>
          <w:lang w:val="fr-FR"/>
        </w:rPr>
        <w:t>e</w:t>
      </w:r>
      <w:r w:rsidRPr="00C92F30">
        <w:rPr>
          <w:i/>
          <w:lang w:val="fr-FR"/>
        </w:rPr>
        <w:t xml:space="preserve"> siècle)</w:t>
      </w:r>
      <w:r w:rsidRPr="00C92F30">
        <w:rPr>
          <w:lang w:val="fr-FR"/>
        </w:rPr>
        <w:t xml:space="preserve">, Aix-en-Provence, Presses de l’Université de Provence, 2004, </w:t>
      </w:r>
      <w:r>
        <w:rPr>
          <w:lang w:val="fr-FR"/>
        </w:rPr>
        <w:t>p</w:t>
      </w:r>
      <w:r w:rsidRPr="00C92F30">
        <w:rPr>
          <w:lang w:val="fr-FR"/>
        </w:rPr>
        <w:t>p. 263-284.</w:t>
      </w:r>
    </w:p>
  </w:footnote>
  <w:footnote w:id="455">
    <w:p w:rsidR="004C50DC" w:rsidRDefault="004C50DC">
      <w:pPr>
        <w:pStyle w:val="Notedebasdepage"/>
      </w:pPr>
      <w:r>
        <w:rPr>
          <w:rStyle w:val="Appelnotedebasdep"/>
        </w:rPr>
        <w:footnoteRef/>
      </w:r>
      <w:r>
        <w:t xml:space="preserve"> </w:t>
      </w:r>
      <w:r>
        <w:tab/>
      </w:r>
      <w:r w:rsidRPr="00C92F30">
        <w:rPr>
          <w:lang w:val="fr-FR"/>
        </w:rPr>
        <w:t xml:space="preserve">En répondant à la question « qu’est-ce qu’un esclave ? », Blandine Kriegel nous permet de mieux faire le lien : « C’est un homme privé du droit parce que dépossédé du droit de s’approprier les choses et d’abord sa propre vie » ; Blandine Kriegel, </w:t>
      </w:r>
      <w:r w:rsidRPr="00C92F30">
        <w:rPr>
          <w:i/>
          <w:lang w:val="fr-FR"/>
        </w:rPr>
        <w:t>L'État et les esclaves. Réflexion pour l’histoire des États</w:t>
      </w:r>
      <w:r w:rsidRPr="00C92F30">
        <w:rPr>
          <w:lang w:val="fr-FR"/>
        </w:rPr>
        <w:t>, Paris, Payot &amp; Rivages, 2003, p. 280.</w:t>
      </w:r>
    </w:p>
  </w:footnote>
  <w:footnote w:id="456">
    <w:p w:rsidR="004C50DC" w:rsidRDefault="004C50DC">
      <w:pPr>
        <w:pStyle w:val="Notedebasdepage"/>
      </w:pPr>
      <w:r>
        <w:rPr>
          <w:rStyle w:val="Appelnotedebasdep"/>
        </w:rPr>
        <w:footnoteRef/>
      </w:r>
      <w:r>
        <w:t xml:space="preserve"> </w:t>
      </w:r>
      <w:r>
        <w:tab/>
      </w:r>
      <w:r w:rsidRPr="00C92F30">
        <w:rPr>
          <w:lang w:val="fr-FR"/>
        </w:rPr>
        <w:t xml:space="preserve">Édouard Glissant, </w:t>
      </w:r>
      <w:r w:rsidRPr="00C92F30">
        <w:rPr>
          <w:i/>
          <w:lang w:val="fr-FR"/>
        </w:rPr>
        <w:t>Le Discours antillais</w:t>
      </w:r>
      <w:r w:rsidRPr="00C92F30">
        <w:rPr>
          <w:lang w:val="fr-FR"/>
        </w:rPr>
        <w:t>, Paris, Seuil, 1981, p. 21.</w:t>
      </w:r>
    </w:p>
  </w:footnote>
  <w:footnote w:id="457">
    <w:p w:rsidR="004C50DC" w:rsidRDefault="004C50DC">
      <w:pPr>
        <w:pStyle w:val="Notedebasdepage"/>
      </w:pPr>
      <w:r>
        <w:rPr>
          <w:rStyle w:val="Appelnotedebasdep"/>
        </w:rPr>
        <w:footnoteRef/>
      </w:r>
      <w:r>
        <w:t xml:space="preserve"> </w:t>
      </w:r>
      <w:r>
        <w:tab/>
      </w:r>
      <w:r w:rsidRPr="00C92F30">
        <w:t xml:space="preserve">Pour une meilleure compréhension de la notion de la mémoire collective et de ses particularités, voir Maurice Halbwachs, </w:t>
      </w:r>
      <w:hyperlink r:id="rId68" w:history="1">
        <w:r w:rsidRPr="00635EDE">
          <w:rPr>
            <w:rStyle w:val="Lienhypertexte"/>
            <w:i/>
          </w:rPr>
          <w:t>Les cadres sociaux de la mémoire</w:t>
        </w:r>
      </w:hyperlink>
      <w:r w:rsidRPr="00C92F30">
        <w:t xml:space="preserve">, Paris, Albin Michel, 1994. </w:t>
      </w:r>
    </w:p>
  </w:footnote>
  <w:footnote w:id="458">
    <w:p w:rsidR="004C50DC" w:rsidRDefault="004C50DC">
      <w:pPr>
        <w:pStyle w:val="Notedebasdepage"/>
      </w:pPr>
      <w:r>
        <w:rPr>
          <w:rStyle w:val="Appelnotedebasdep"/>
        </w:rPr>
        <w:footnoteRef/>
      </w:r>
      <w:r>
        <w:t xml:space="preserve"> </w:t>
      </w:r>
      <w:r>
        <w:tab/>
      </w:r>
      <w:r w:rsidRPr="00C92F30">
        <w:t>Guillaume Étienne, « La patrimonialisation de l’immigration polonaise du Cher. Construction du mythe de l’ouvrier fondeur », dans Karine Hébert et J</w:t>
      </w:r>
      <w:r w:rsidRPr="00C92F30">
        <w:t>u</w:t>
      </w:r>
      <w:r w:rsidRPr="00C92F30">
        <w:t xml:space="preserve">lien Goyette (dir.), </w:t>
      </w:r>
      <w:r w:rsidRPr="00C92F30">
        <w:rPr>
          <w:i/>
        </w:rPr>
        <w:t>Histoire et idées du patrimoine, entre régionalisation et mondial</w:t>
      </w:r>
      <w:r w:rsidRPr="00C92F30">
        <w:rPr>
          <w:i/>
        </w:rPr>
        <w:t>i</w:t>
      </w:r>
      <w:r w:rsidRPr="00C92F30">
        <w:rPr>
          <w:i/>
        </w:rPr>
        <w:t>sation</w:t>
      </w:r>
      <w:r w:rsidRPr="00C92F30">
        <w:t>, collection des Cahiers de l’Institut du patrimoine du Québec à Montréal, Multimondes, 2010, p</w:t>
      </w:r>
      <w:r>
        <w:t>p</w:t>
      </w:r>
      <w:r w:rsidRPr="00C92F30">
        <w:t>. 79-90.</w:t>
      </w:r>
    </w:p>
  </w:footnote>
  <w:footnote w:id="459">
    <w:p w:rsidR="004C50DC" w:rsidRDefault="004C50DC">
      <w:pPr>
        <w:pStyle w:val="Notedebasdepage"/>
      </w:pPr>
      <w:r>
        <w:rPr>
          <w:rStyle w:val="Appelnotedebasdep"/>
        </w:rPr>
        <w:footnoteRef/>
      </w:r>
      <w:r>
        <w:t xml:space="preserve"> </w:t>
      </w:r>
      <w:r>
        <w:tab/>
      </w:r>
      <w:r w:rsidRPr="00C92F30">
        <w:rPr>
          <w:lang w:val="fr-FR"/>
        </w:rPr>
        <w:t>Jean-Luc Bonniol, « </w:t>
      </w:r>
      <w:hyperlink r:id="rId69" w:history="1">
        <w:r w:rsidRPr="008E3A5E">
          <w:rPr>
            <w:rStyle w:val="Lienhypertexte"/>
            <w:lang w:val="fr-FR"/>
          </w:rPr>
          <w:t>De la construction d’une mémoire historique aux figur</w:t>
        </w:r>
        <w:r w:rsidRPr="008E3A5E">
          <w:rPr>
            <w:rStyle w:val="Lienhypertexte"/>
            <w:lang w:val="fr-FR"/>
          </w:rPr>
          <w:t>a</w:t>
        </w:r>
        <w:r w:rsidRPr="008E3A5E">
          <w:rPr>
            <w:rStyle w:val="Lienhypertexte"/>
            <w:lang w:val="fr-FR"/>
          </w:rPr>
          <w:t>tions de la traite et de l’esclavage dans l’espace public antillais </w:t>
        </w:r>
      </w:hyperlink>
      <w:r w:rsidRPr="00C92F30">
        <w:rPr>
          <w:lang w:val="fr-FR"/>
        </w:rPr>
        <w:t>», dans Bo</w:t>
      </w:r>
      <w:r w:rsidRPr="00C92F30">
        <w:rPr>
          <w:lang w:val="fr-FR"/>
        </w:rPr>
        <w:t>n</w:t>
      </w:r>
      <w:r w:rsidRPr="00C92F30">
        <w:rPr>
          <w:lang w:val="fr-FR"/>
        </w:rPr>
        <w:t>niol et Crivello, (dir.), op. cit., p</w:t>
      </w:r>
      <w:r>
        <w:rPr>
          <w:lang w:val="fr-FR"/>
        </w:rPr>
        <w:t>p</w:t>
      </w:r>
      <w:r w:rsidRPr="00C92F30">
        <w:rPr>
          <w:lang w:val="fr-FR"/>
        </w:rPr>
        <w:t>. 263-284.</w:t>
      </w:r>
    </w:p>
  </w:footnote>
  <w:footnote w:id="460">
    <w:p w:rsidR="004C50DC" w:rsidRDefault="004C50DC">
      <w:pPr>
        <w:pStyle w:val="Notedebasdepage"/>
      </w:pPr>
      <w:r>
        <w:rPr>
          <w:rStyle w:val="Appelnotedebasdep"/>
        </w:rPr>
        <w:footnoteRef/>
      </w:r>
      <w:r>
        <w:t xml:space="preserve"> </w:t>
      </w:r>
      <w:r>
        <w:tab/>
      </w:r>
      <w:r w:rsidRPr="00C92F30">
        <w:rPr>
          <w:lang w:val="fr-FR"/>
        </w:rPr>
        <w:t xml:space="preserve">Aimé Césaire, </w:t>
      </w:r>
      <w:r w:rsidRPr="00C92F30">
        <w:rPr>
          <w:i/>
          <w:iCs/>
          <w:lang w:val="fr-FR"/>
        </w:rPr>
        <w:t>Moi laminaire</w:t>
      </w:r>
      <w:r w:rsidRPr="00C92F30">
        <w:rPr>
          <w:lang w:val="fr-FR"/>
        </w:rPr>
        <w:t>, Paris, Seuil, 1981.</w:t>
      </w:r>
    </w:p>
  </w:footnote>
  <w:footnote w:id="461">
    <w:p w:rsidR="004C50DC" w:rsidRDefault="004C50DC">
      <w:pPr>
        <w:pStyle w:val="Notedebasdepage"/>
      </w:pPr>
      <w:r>
        <w:rPr>
          <w:rStyle w:val="Appelnotedebasdep"/>
        </w:rPr>
        <w:footnoteRef/>
      </w:r>
      <w:r>
        <w:t xml:space="preserve"> </w:t>
      </w:r>
      <w:r>
        <w:tab/>
      </w:r>
      <w:r w:rsidRPr="00C92F30">
        <w:rPr>
          <w:lang w:val="fr-FR"/>
        </w:rPr>
        <w:t xml:space="preserve">Aimé Césaire, </w:t>
      </w:r>
      <w:r w:rsidRPr="00C92F30">
        <w:rPr>
          <w:i/>
          <w:iCs/>
          <w:lang w:val="fr-FR"/>
        </w:rPr>
        <w:t>Cahier d’un retour au pays natal</w:t>
      </w:r>
      <w:r w:rsidRPr="00C92F30">
        <w:rPr>
          <w:lang w:val="fr-FR"/>
        </w:rPr>
        <w:t>, Paris, Présence africaine, 1983 [1939], cité par Jean-Luc Bonniol, op. cit., p</w:t>
      </w:r>
      <w:r>
        <w:rPr>
          <w:lang w:val="fr-FR"/>
        </w:rPr>
        <w:t>p</w:t>
      </w:r>
      <w:r w:rsidRPr="00C92F30">
        <w:rPr>
          <w:lang w:val="fr-FR"/>
        </w:rPr>
        <w:t>. 263-284.</w:t>
      </w:r>
    </w:p>
  </w:footnote>
  <w:footnote w:id="462">
    <w:p w:rsidR="004C50DC" w:rsidRDefault="004C50DC">
      <w:pPr>
        <w:pStyle w:val="Notedebasdepage"/>
      </w:pPr>
      <w:r>
        <w:rPr>
          <w:rStyle w:val="Appelnotedebasdep"/>
        </w:rPr>
        <w:footnoteRef/>
      </w:r>
      <w:r>
        <w:t xml:space="preserve"> </w:t>
      </w:r>
      <w:r>
        <w:tab/>
      </w:r>
      <w:r w:rsidRPr="00C92F30">
        <w:rPr>
          <w:lang w:val="en-US"/>
        </w:rPr>
        <w:t xml:space="preserve">Derek Walcott, « The Muse of History », dans Orde Coombs (éd.), </w:t>
      </w:r>
      <w:r w:rsidRPr="00C92F30">
        <w:rPr>
          <w:i/>
          <w:iCs/>
          <w:lang w:val="en-US"/>
        </w:rPr>
        <w:t>Is Massa Day Dead </w:t>
      </w:r>
      <w:r w:rsidRPr="00C92F30">
        <w:rPr>
          <w:i/>
          <w:lang w:val="en-US"/>
        </w:rPr>
        <w:t xml:space="preserve">? </w:t>
      </w:r>
      <w:r w:rsidRPr="00C92F30">
        <w:rPr>
          <w:i/>
        </w:rPr>
        <w:t xml:space="preserve">Black Moods in the Caribbean, </w:t>
      </w:r>
      <w:r w:rsidRPr="00C92F30">
        <w:t xml:space="preserve">New-York, Anchor, 1974, p.1-27, cité et traduit par Richard Price, </w:t>
      </w:r>
      <w:r w:rsidRPr="00C92F30">
        <w:rPr>
          <w:i/>
          <w:iCs/>
        </w:rPr>
        <w:t>Le bagnard et le colonel</w:t>
      </w:r>
      <w:r w:rsidRPr="00C92F30">
        <w:t>, Paris, PUF, 2000 ; voir aussi Jean-Luc Bonniol</w:t>
      </w:r>
      <w:r w:rsidRPr="00C92F30">
        <w:rPr>
          <w:lang w:val="fr-FR"/>
        </w:rPr>
        <w:t>, « </w:t>
      </w:r>
      <w:hyperlink r:id="rId70" w:history="1">
        <w:r w:rsidRPr="008E3A5E">
          <w:rPr>
            <w:rStyle w:val="Lienhypertexte"/>
            <w:lang w:val="fr-FR"/>
          </w:rPr>
          <w:t>Les usages publics de la mémoire de l’esclavage colonial </w:t>
        </w:r>
      </w:hyperlink>
      <w:r w:rsidRPr="00C92F30">
        <w:rPr>
          <w:lang w:val="fr-FR"/>
        </w:rPr>
        <w:t>», Université d’Aix-Marseille III, Laboratoire d’Écologie humaine, 2007, en l</w:t>
      </w:r>
      <w:r w:rsidRPr="00C92F30">
        <w:rPr>
          <w:lang w:val="fr-FR"/>
        </w:rPr>
        <w:t>i</w:t>
      </w:r>
      <w:r w:rsidRPr="00C92F30">
        <w:rPr>
          <w:lang w:val="fr-FR"/>
        </w:rPr>
        <w:t>gne,</w:t>
      </w:r>
      <w:r>
        <w:rPr>
          <w:lang w:val="fr-FR"/>
        </w:rPr>
        <w:t xml:space="preserve"> </w:t>
      </w:r>
      <w:r>
        <w:rPr>
          <w:lang w:val="fr-FR"/>
        </w:rPr>
        <w:br/>
      </w:r>
      <w:hyperlink r:id="rId71" w:history="1">
        <w:r w:rsidRPr="00C92F30">
          <w:rPr>
            <w:rStyle w:val="Lienhypertexte"/>
          </w:rPr>
          <w:t>http://classiques.uqac.ca/.../usages_memoire_esclavage.rtf</w:t>
        </w:r>
      </w:hyperlink>
      <w:r w:rsidRPr="00C92F30">
        <w:t>, consulté le 12 f</w:t>
      </w:r>
      <w:r w:rsidRPr="00C92F30">
        <w:t>é</w:t>
      </w:r>
      <w:r w:rsidRPr="00C92F30">
        <w:t>vrier 2012.</w:t>
      </w:r>
    </w:p>
  </w:footnote>
  <w:footnote w:id="463">
    <w:p w:rsidR="004C50DC" w:rsidRDefault="004C50DC">
      <w:pPr>
        <w:pStyle w:val="Notedebasdepage"/>
      </w:pPr>
      <w:r>
        <w:rPr>
          <w:rStyle w:val="Appelnotedebasdep"/>
        </w:rPr>
        <w:footnoteRef/>
      </w:r>
      <w:r>
        <w:t xml:space="preserve"> </w:t>
      </w:r>
      <w:r>
        <w:tab/>
      </w:r>
      <w:r w:rsidRPr="00C92F30">
        <w:t xml:space="preserve">Thomas Madiou, </w:t>
      </w:r>
      <w:r w:rsidRPr="00C92F30">
        <w:rPr>
          <w:i/>
        </w:rPr>
        <w:t>Histoire d’Haïti</w:t>
      </w:r>
      <w:r w:rsidRPr="00C92F30">
        <w:t>, Tome III, Port-au-Prince, Henri De</w:t>
      </w:r>
      <w:r w:rsidRPr="00C92F30">
        <w:t>s</w:t>
      </w:r>
      <w:r w:rsidRPr="00C92F30">
        <w:t xml:space="preserve">champs, 1989, </w:t>
      </w:r>
      <w:r>
        <w:t>p</w:t>
      </w:r>
      <w:r w:rsidRPr="00C92F30">
        <w:t>p. 221-222.</w:t>
      </w:r>
    </w:p>
  </w:footnote>
  <w:footnote w:id="464">
    <w:p w:rsidR="004C50DC" w:rsidRDefault="004C50DC">
      <w:pPr>
        <w:pStyle w:val="Notedebasdepage"/>
      </w:pPr>
      <w:r>
        <w:rPr>
          <w:rStyle w:val="Appelnotedebasdep"/>
        </w:rPr>
        <w:footnoteRef/>
      </w:r>
      <w:r>
        <w:t xml:space="preserve"> </w:t>
      </w:r>
      <w:r>
        <w:tab/>
      </w:r>
      <w:r w:rsidRPr="00C92F30">
        <w:t>Leslie Péan, « Haïti : Retour sur l’article“Économie d’une langue et langue d’une économie” » (Partie 1 de 2), en l</w:t>
      </w:r>
      <w:r w:rsidRPr="00C92F30">
        <w:t>i</w:t>
      </w:r>
      <w:r w:rsidRPr="00C92F30">
        <w:t>gne,</w:t>
      </w:r>
      <w:r>
        <w:br/>
      </w:r>
      <w:r w:rsidRPr="00C92F30">
        <w:t>http://www.alterpresse.org/spip.php?article14332#.VBy4U_ldW8A, 28 mars 2013, consulté le 19 septembre 2014.</w:t>
      </w:r>
    </w:p>
  </w:footnote>
  <w:footnote w:id="465">
    <w:p w:rsidR="004C50DC" w:rsidRDefault="004C50DC">
      <w:pPr>
        <w:pStyle w:val="Notedebasdepage"/>
      </w:pPr>
      <w:r>
        <w:rPr>
          <w:rStyle w:val="Appelnotedebasdep"/>
        </w:rPr>
        <w:footnoteRef/>
      </w:r>
      <w:r>
        <w:t xml:space="preserve"> </w:t>
      </w:r>
      <w:r>
        <w:tab/>
      </w:r>
      <w:r w:rsidRPr="00C92F30">
        <w:rPr>
          <w:iCs/>
        </w:rPr>
        <w:t xml:space="preserve">Michel Foucault, </w:t>
      </w:r>
      <w:r w:rsidRPr="00C92F30">
        <w:rPr>
          <w:i/>
          <w:iCs/>
        </w:rPr>
        <w:t>Dits et écrits</w:t>
      </w:r>
      <w:r w:rsidRPr="00C92F30">
        <w:rPr>
          <w:iCs/>
        </w:rPr>
        <w:t>, tome I, Paris, Gallimard, 1994, p. 515</w:t>
      </w:r>
      <w:r w:rsidRPr="00C92F30">
        <w:rPr>
          <w:i/>
          <w:iCs/>
        </w:rPr>
        <w:t>.</w:t>
      </w:r>
    </w:p>
  </w:footnote>
  <w:footnote w:id="466">
    <w:p w:rsidR="004C50DC" w:rsidRDefault="004C50DC">
      <w:pPr>
        <w:pStyle w:val="Notedebasdepage"/>
      </w:pPr>
      <w:r>
        <w:rPr>
          <w:rStyle w:val="Appelnotedebasdep"/>
        </w:rPr>
        <w:footnoteRef/>
      </w:r>
      <w:r>
        <w:t xml:space="preserve"> </w:t>
      </w:r>
      <w:r>
        <w:tab/>
      </w:r>
      <w:r w:rsidRPr="00C92F30">
        <w:t xml:space="preserve">Sténio Vincent et L.C. Lhérisson, </w:t>
      </w:r>
      <w:r w:rsidRPr="00C92F30">
        <w:rPr>
          <w:i/>
        </w:rPr>
        <w:t>La législation de l’instruction publique de la République d’Haïti (1804-1895)</w:t>
      </w:r>
      <w:r w:rsidRPr="00C92F30">
        <w:t>, Paris, première édition Vve Ch. Dunod &amp; Vicq, Quai des Grands-Augustins, 1898. Dans cet ouvrage, les auteurs nous pr</w:t>
      </w:r>
      <w:r w:rsidRPr="00C92F30">
        <w:t>é</w:t>
      </w:r>
      <w:r w:rsidRPr="00C92F30">
        <w:t>sentent et analysent les différents projets de réforme dans l’éducation d’Haïti au XIX</w:t>
      </w:r>
      <w:r w:rsidRPr="00C92F30">
        <w:rPr>
          <w:vertAlign w:val="superscript"/>
        </w:rPr>
        <w:t>e</w:t>
      </w:r>
      <w:r w:rsidRPr="00C92F30">
        <w:t xml:space="preserve"> siècle.</w:t>
      </w:r>
    </w:p>
  </w:footnote>
  <w:footnote w:id="467">
    <w:p w:rsidR="004C50DC" w:rsidRDefault="004C50DC">
      <w:pPr>
        <w:pStyle w:val="Notedebasdepage"/>
      </w:pPr>
      <w:r>
        <w:rPr>
          <w:rStyle w:val="Appelnotedebasdep"/>
        </w:rPr>
        <w:footnoteRef/>
      </w:r>
      <w:r>
        <w:t xml:space="preserve"> </w:t>
      </w:r>
      <w:r>
        <w:tab/>
      </w:r>
      <w:r w:rsidRPr="00C92F30">
        <w:t xml:space="preserve">Catts Pressoir, </w:t>
      </w:r>
      <w:r w:rsidRPr="00C92F30">
        <w:rPr>
          <w:i/>
        </w:rPr>
        <w:t>L’enseignement de l’histoire en Haïti</w:t>
      </w:r>
      <w:r w:rsidRPr="00C92F30">
        <w:t>, Mexico, Instituto de ge</w:t>
      </w:r>
      <w:r w:rsidRPr="00C92F30">
        <w:t>o</w:t>
      </w:r>
      <w:r w:rsidRPr="00C92F30">
        <w:t xml:space="preserve">grafía e historia, 1950. Catts Pressoir retrace l’évolution de l’enseignement de l’histoire en Haïti tout en relatant les problèmes de l’instruction nationale dont l’origine peut se situer dans le passé colonial esclavagiste. </w:t>
      </w:r>
    </w:p>
  </w:footnote>
  <w:footnote w:id="468">
    <w:p w:rsidR="004C50DC" w:rsidRDefault="004C50DC">
      <w:pPr>
        <w:pStyle w:val="Notedebasdepage"/>
      </w:pPr>
      <w:r>
        <w:rPr>
          <w:rStyle w:val="Appelnotedebasdep"/>
        </w:rPr>
        <w:footnoteRef/>
      </w:r>
      <w:r>
        <w:t xml:space="preserve"> </w:t>
      </w:r>
      <w:r>
        <w:tab/>
      </w:r>
      <w:r w:rsidRPr="00C92F30">
        <w:t>Jean-Joseph Maurice Dartigue (1903-1983) fut l’un des premiers critiques ha</w:t>
      </w:r>
      <w:r w:rsidRPr="00C92F30">
        <w:t>ï</w:t>
      </w:r>
      <w:r w:rsidRPr="00C92F30">
        <w:t>tiens à avoir réfléchi aux problèmes de l’éducation et proposé des réformes dans ce domaine. Directeur del’enseignement rural, dans ses bulletins annuels il ne manque pas d’exposer ses réflexions. Par exemple, dans le bulletin de 1933-1934, il évoque ses contributions les plus importantes à l’enseignement en Haïti. Au départ des forces d’occupation américaines en 1934, il écrit : « Pour que la disc</w:t>
      </w:r>
      <w:r w:rsidRPr="00C92F30">
        <w:t>i</w:t>
      </w:r>
      <w:r w:rsidRPr="00C92F30">
        <w:t>pline s’implante en Haïti, il faut qu’elle vienne d’en haut ! D’autre part, il s’agit d’éduquer le peuple pour qu’il puisse lui-même veiller à ce que les services p</w:t>
      </w:r>
      <w:r w:rsidRPr="00C92F30">
        <w:t>u</w:t>
      </w:r>
      <w:r w:rsidRPr="00C92F30">
        <w:t>blics fonctionnent bien. Si la masse est éduquée, elle n’acceptera plus que les ro</w:t>
      </w:r>
      <w:r w:rsidRPr="00C92F30">
        <w:t>u</w:t>
      </w:r>
      <w:r w:rsidRPr="00C92F30">
        <w:t>tes dont elle se sert cessent d’exister. Elle n’acceptera plus que les hôpitaux et les cliniques cessent de fonctionner, bien que les médecins et les infirmières soient des gens qui ne connaissent pas leur métier, et les instituteurs illettrés. Elle verra la différence entre les bonnes et les mauvaises écoles et ne tolérera plus ce</w:t>
      </w:r>
      <w:r w:rsidRPr="00C92F30">
        <w:t>l</w:t>
      </w:r>
      <w:r w:rsidRPr="00C92F30">
        <w:t>les-ci. Elle n’admettra plus que ses représentants votent des lois contraires à ses intérêts… » À ce sujet, voir E</w:t>
      </w:r>
      <w:r w:rsidRPr="00C92F30">
        <w:t>s</w:t>
      </w:r>
      <w:r w:rsidRPr="00C92F30">
        <w:t xml:space="preserve">ther Dartigue, </w:t>
      </w:r>
      <w:r w:rsidRPr="00C92F30">
        <w:rPr>
          <w:i/>
        </w:rPr>
        <w:t>Un Haïtien exceptionnel. Maurice Da</w:t>
      </w:r>
      <w:r w:rsidRPr="00C92F30">
        <w:rPr>
          <w:i/>
        </w:rPr>
        <w:t>r</w:t>
      </w:r>
      <w:r w:rsidRPr="00C92F30">
        <w:rPr>
          <w:i/>
        </w:rPr>
        <w:t>tigue. La contribution de Maurice Dartigue à l’éducation en Haïti, aux N</w:t>
      </w:r>
      <w:r w:rsidRPr="00C92F30">
        <w:rPr>
          <w:i/>
        </w:rPr>
        <w:t>a</w:t>
      </w:r>
      <w:r w:rsidRPr="00C92F30">
        <w:rPr>
          <w:i/>
        </w:rPr>
        <w:t xml:space="preserve">tions Unies et à l’UNESCO, </w:t>
      </w:r>
      <w:r w:rsidRPr="00C92F30">
        <w:t>Paris, éd. J’étais une fois, 1992</w:t>
      </w:r>
      <w:r w:rsidRPr="00C92F30">
        <w:rPr>
          <w:i/>
        </w:rPr>
        <w:t xml:space="preserve">, </w:t>
      </w:r>
      <w:r w:rsidRPr="00C92F30">
        <w:t>p. 25, en l</w:t>
      </w:r>
      <w:r w:rsidRPr="00C92F30">
        <w:t>i</w:t>
      </w:r>
      <w:r w:rsidRPr="00C92F30">
        <w:t>gne,http://dloc.com/AA00007503/00001/5j?search=dartigue, consulté le 11 se</w:t>
      </w:r>
      <w:r w:rsidRPr="00C92F30">
        <w:t>p</w:t>
      </w:r>
      <w:r w:rsidRPr="00C92F30">
        <w:t>tembre 2014 ; voir aussi Chantalle Francesca Verna, « Maurice Dartigue, Educ</w:t>
      </w:r>
      <w:r w:rsidRPr="00C92F30">
        <w:t>a</w:t>
      </w:r>
      <w:r w:rsidRPr="00C92F30">
        <w:t xml:space="preserve">tional Reform, and Intellectual Cooperation with the United States as a Strategy for Haitian National Development, 1934-46 », </w:t>
      </w:r>
      <w:r w:rsidRPr="00C92F30">
        <w:rPr>
          <w:i/>
        </w:rPr>
        <w:t>Journal of Haitian Studies</w:t>
      </w:r>
      <w:r w:rsidRPr="00C92F30">
        <w:t>, auto</w:t>
      </w:r>
      <w:r w:rsidRPr="00C92F30">
        <w:t>m</w:t>
      </w:r>
      <w:r w:rsidRPr="00C92F30">
        <w:t>ne2007, en ligne,</w:t>
      </w:r>
      <w:r>
        <w:t xml:space="preserve"> </w:t>
      </w:r>
      <w:hyperlink r:id="rId72" w:history="1">
        <w:r w:rsidRPr="00C92F30">
          <w:rPr>
            <w:rStyle w:val="Lienhypertexte"/>
          </w:rPr>
          <w:t>http://www.questia.com/read/1P3-1476918131/maurice-dartigue-educational-reform-and-intellectual</w:t>
        </w:r>
      </w:hyperlink>
      <w:r w:rsidRPr="00C92F30">
        <w:t>, consulté le 11 septembre 2014.</w:t>
      </w:r>
    </w:p>
  </w:footnote>
  <w:footnote w:id="469">
    <w:p w:rsidR="004C50DC" w:rsidRDefault="004C50DC">
      <w:pPr>
        <w:pStyle w:val="Notedebasdepage"/>
      </w:pPr>
      <w:r>
        <w:rPr>
          <w:rStyle w:val="Appelnotedebasdep"/>
        </w:rPr>
        <w:footnoteRef/>
      </w:r>
      <w:r>
        <w:t xml:space="preserve"> </w:t>
      </w:r>
      <w:r>
        <w:tab/>
      </w:r>
      <w:r w:rsidRPr="00C92F30">
        <w:t xml:space="preserve">Jean-Joseph Maurice Dartigue, </w:t>
      </w:r>
      <w:r w:rsidRPr="00C92F30">
        <w:rPr>
          <w:i/>
        </w:rPr>
        <w:t xml:space="preserve">L’enseignement en Haïti (1804-1938), </w:t>
      </w:r>
      <w:r w:rsidRPr="00C92F30">
        <w:t>Port-au-Prince, Imprimerie de l’État, 1939. L’ouvrage de Maurice Dartigue a été l’occasion de faire le bilan du système éducatif haïtien et de ses nombreux a</w:t>
      </w:r>
      <w:r w:rsidRPr="00C92F30">
        <w:t>p</w:t>
      </w:r>
      <w:r w:rsidRPr="00C92F30">
        <w:t xml:space="preserve">ports à sa structuration. </w:t>
      </w:r>
    </w:p>
  </w:footnote>
  <w:footnote w:id="470">
    <w:p w:rsidR="004C50DC" w:rsidRDefault="004C50DC">
      <w:pPr>
        <w:pStyle w:val="Notedebasdepage"/>
      </w:pPr>
      <w:r>
        <w:rPr>
          <w:rStyle w:val="Appelnotedebasdep"/>
        </w:rPr>
        <w:footnoteRef/>
      </w:r>
      <w:r>
        <w:t xml:space="preserve"> </w:t>
      </w:r>
      <w:r>
        <w:tab/>
      </w:r>
      <w:r w:rsidRPr="00C92F30">
        <w:t xml:space="preserve">Edner Brutus, Instruction publique en </w:t>
      </w:r>
      <w:r w:rsidRPr="00C92F30">
        <w:rPr>
          <w:i/>
        </w:rPr>
        <w:t xml:space="preserve">Haïti </w:t>
      </w:r>
      <w:r w:rsidRPr="00C92F30">
        <w:t>(1492-1945), Port-au-Prince, I</w:t>
      </w:r>
      <w:r w:rsidRPr="00C92F30">
        <w:t>m</w:t>
      </w:r>
      <w:r w:rsidRPr="00C92F30">
        <w:t>pr</w:t>
      </w:r>
      <w:r w:rsidRPr="00C92F30">
        <w:t>i</w:t>
      </w:r>
      <w:r w:rsidRPr="00C92F30">
        <w:t>merie de l’État, 1979. Brutus présente les différentes figures de proue de l’éducation en Haïti de 1804 à 1945, en mettant l’accent sur leur contribution au développement du système éducatif haïtien ; cet ouvrage est un véritable homm</w:t>
      </w:r>
      <w:r w:rsidRPr="00C92F30">
        <w:t>a</w:t>
      </w:r>
      <w:r w:rsidRPr="00C92F30">
        <w:t>ge à ces intellectuels et hommes politiques haïtiens.</w:t>
      </w:r>
    </w:p>
  </w:footnote>
  <w:footnote w:id="471">
    <w:p w:rsidR="004C50DC" w:rsidRDefault="004C50DC">
      <w:pPr>
        <w:pStyle w:val="Notedebasdepage"/>
      </w:pPr>
      <w:r>
        <w:rPr>
          <w:rStyle w:val="Appelnotedebasdep"/>
        </w:rPr>
        <w:footnoteRef/>
      </w:r>
      <w:r>
        <w:t xml:space="preserve"> </w:t>
      </w:r>
      <w:r>
        <w:tab/>
      </w:r>
      <w:r w:rsidRPr="00C92F30">
        <w:t xml:space="preserve">Charles Tardieu, </w:t>
      </w:r>
      <w:r w:rsidRPr="00C92F30">
        <w:rPr>
          <w:i/>
        </w:rPr>
        <w:t>L’éducation en Haïti de la période coloniale à nos jours (1980</w:t>
      </w:r>
      <w:r w:rsidRPr="00C92F30">
        <w:t xml:space="preserve">), Port-au-Prince, Henri Deschamps, 1988. L’auteur prend soin dans cet ouvrage de faire une analyse critique de l’évolution de l’éducation en Haïti.  </w:t>
      </w:r>
    </w:p>
  </w:footnote>
  <w:footnote w:id="472">
    <w:p w:rsidR="004C50DC" w:rsidRDefault="004C50DC">
      <w:pPr>
        <w:pStyle w:val="Notedebasdepage"/>
      </w:pPr>
      <w:r>
        <w:rPr>
          <w:rStyle w:val="Appelnotedebasdep"/>
        </w:rPr>
        <w:footnoteRef/>
      </w:r>
      <w:r>
        <w:t xml:space="preserve"> </w:t>
      </w:r>
      <w:r>
        <w:tab/>
      </w:r>
      <w:r w:rsidRPr="00C92F30">
        <w:t xml:space="preserve">Daniel Fignolé, </w:t>
      </w:r>
      <w:r w:rsidRPr="00C92F30">
        <w:rPr>
          <w:i/>
        </w:rPr>
        <w:t>L’instruction publique en Haïti</w:t>
      </w:r>
      <w:r w:rsidRPr="00C92F30">
        <w:t xml:space="preserve">, Port-au-Prince, Le Réveil, 1945. L’auteur pose les grands problèmes de l’instruction publique, présente son évolution ainsi que des pistes pour un système éducatif efficace en Haïti. </w:t>
      </w:r>
    </w:p>
  </w:footnote>
  <w:footnote w:id="473">
    <w:p w:rsidR="004C50DC" w:rsidRDefault="004C50DC">
      <w:pPr>
        <w:pStyle w:val="Notedebasdepage"/>
      </w:pPr>
      <w:r>
        <w:rPr>
          <w:rStyle w:val="Appelnotedebasdep"/>
        </w:rPr>
        <w:footnoteRef/>
      </w:r>
      <w:r>
        <w:t xml:space="preserve"> </w:t>
      </w:r>
      <w:r>
        <w:tab/>
      </w:r>
      <w:r w:rsidRPr="00C92F30">
        <w:t xml:space="preserve">Pierre Enocque François, </w:t>
      </w:r>
      <w:r w:rsidRPr="00C92F30">
        <w:rPr>
          <w:i/>
        </w:rPr>
        <w:t>Politique éducative et inégalités des chances scola</w:t>
      </w:r>
      <w:r w:rsidRPr="00C92F30">
        <w:rPr>
          <w:i/>
        </w:rPr>
        <w:t>i</w:t>
      </w:r>
      <w:r w:rsidRPr="00C92F30">
        <w:rPr>
          <w:i/>
        </w:rPr>
        <w:t>res en Haïti</w:t>
      </w:r>
      <w:r w:rsidRPr="00C92F30">
        <w:t>, Port-au-Prince, Université d’État d’Haïti, 2010, p. 207.</w:t>
      </w:r>
    </w:p>
  </w:footnote>
  <w:footnote w:id="474">
    <w:p w:rsidR="004C50DC" w:rsidRDefault="004C50DC">
      <w:pPr>
        <w:pStyle w:val="Notedebasdepage"/>
      </w:pPr>
      <w:r>
        <w:rPr>
          <w:rStyle w:val="Appelnotedebasdep"/>
        </w:rPr>
        <w:footnoteRef/>
      </w:r>
      <w:r>
        <w:t xml:space="preserve"> </w:t>
      </w:r>
      <w:r>
        <w:tab/>
      </w:r>
      <w:r w:rsidRPr="00C92F30">
        <w:t xml:space="preserve">Léon Dénius Pamphile, </w:t>
      </w:r>
      <w:r w:rsidRPr="00C92F30">
        <w:rPr>
          <w:i/>
        </w:rPr>
        <w:t xml:space="preserve">L’éducation </w:t>
      </w:r>
      <w:r w:rsidRPr="00C92F30">
        <w:t>en Haïti </w:t>
      </w:r>
      <w:r w:rsidRPr="00C92F30">
        <w:rPr>
          <w:i/>
        </w:rPr>
        <w:t>sous l’occupation américaine</w:t>
      </w:r>
      <w:r w:rsidRPr="00C92F30">
        <w:t xml:space="preserve">, </w:t>
      </w:r>
      <w:r w:rsidRPr="00C92F30">
        <w:rPr>
          <w:i/>
        </w:rPr>
        <w:t>1915-1934</w:t>
      </w:r>
      <w:r w:rsidRPr="00C92F30">
        <w:t>, Port-au-Prince, Imprimerie des Antilles, 1988, p. 37.</w:t>
      </w:r>
    </w:p>
  </w:footnote>
  <w:footnote w:id="475">
    <w:p w:rsidR="004C50DC" w:rsidRDefault="004C50DC">
      <w:pPr>
        <w:pStyle w:val="Notedebasdepage"/>
      </w:pPr>
      <w:r>
        <w:rPr>
          <w:rStyle w:val="Appelnotedebasdep"/>
        </w:rPr>
        <w:footnoteRef/>
      </w:r>
      <w:r>
        <w:t xml:space="preserve"> </w:t>
      </w:r>
      <w:r>
        <w:tab/>
      </w:r>
      <w:r w:rsidRPr="00C92F30">
        <w:rPr>
          <w:lang w:val="fr-FR"/>
        </w:rPr>
        <w:t>Léon Dénius Pamphile, op. cit., p. 37.</w:t>
      </w:r>
    </w:p>
  </w:footnote>
  <w:footnote w:id="476">
    <w:p w:rsidR="004C50DC" w:rsidRDefault="004C50DC">
      <w:pPr>
        <w:pStyle w:val="Notedebasdepage"/>
      </w:pPr>
      <w:r>
        <w:rPr>
          <w:rStyle w:val="Appelnotedebasdep"/>
        </w:rPr>
        <w:footnoteRef/>
      </w:r>
      <w:r>
        <w:t xml:space="preserve"> </w:t>
      </w:r>
      <w:r>
        <w:tab/>
      </w:r>
      <w:r w:rsidRPr="00C92F30">
        <w:t>Cette réforme dite « réforme Bernard » (1979-1980), du nom du ministre de l’Éducation de l’époque, Joseph C. Bernard, a débouché sur une démocratis</w:t>
      </w:r>
      <w:r w:rsidRPr="00C92F30">
        <w:t>a</w:t>
      </w:r>
      <w:r w:rsidRPr="00C92F30">
        <w:t>tion de l’instruction en Haïti en introduisant le créole haïtien comme langue d’enseignement au niveau des cycles primaires et secondaires et en entraînant du même coup la valorisation du paysan et de sa culture populaire.</w:t>
      </w:r>
    </w:p>
  </w:footnote>
  <w:footnote w:id="477">
    <w:p w:rsidR="004C50DC" w:rsidRDefault="004C50DC">
      <w:pPr>
        <w:pStyle w:val="Notedebasdepage"/>
      </w:pPr>
      <w:r>
        <w:rPr>
          <w:rStyle w:val="Appelnotedebasdep"/>
        </w:rPr>
        <w:footnoteRef/>
      </w:r>
      <w:r>
        <w:t xml:space="preserve"> </w:t>
      </w:r>
      <w:r>
        <w:tab/>
      </w:r>
      <w:r w:rsidRPr="00C92F30">
        <w:t>Catts Pressoir, op. cit., p. 25.</w:t>
      </w:r>
    </w:p>
  </w:footnote>
  <w:footnote w:id="478">
    <w:p w:rsidR="004C50DC" w:rsidRDefault="004C50DC">
      <w:pPr>
        <w:pStyle w:val="Notedebasdepage"/>
      </w:pPr>
      <w:r>
        <w:rPr>
          <w:rStyle w:val="Appelnotedebasdep"/>
        </w:rPr>
        <w:footnoteRef/>
      </w:r>
      <w:r>
        <w:t xml:space="preserve"> </w:t>
      </w:r>
      <w:r>
        <w:tab/>
      </w:r>
      <w:r w:rsidRPr="00C92F30">
        <w:t>L’article 88 précise que « l’enseignement secondaire plus, embrasse la lecture, l’écriture, le dessin linéaire, les langues française, espagnole et anglaise, l’arithmétique, les éléments de la géométrie, la mythologie, l’histoire ancie</w:t>
      </w:r>
      <w:r w:rsidRPr="00C92F30">
        <w:t>n</w:t>
      </w:r>
      <w:r w:rsidRPr="00C92F30">
        <w:t>ne, l’histoire moderne, la géographie et particulièrement l’histoire et la Gé</w:t>
      </w:r>
      <w:r w:rsidRPr="00C92F30">
        <w:t>o</w:t>
      </w:r>
      <w:r w:rsidRPr="00C92F30">
        <w:t>graphie d’Haïti » (</w:t>
      </w:r>
      <w:r w:rsidRPr="00C92F30">
        <w:rPr>
          <w:i/>
        </w:rPr>
        <w:t>Loi du 29 décembre 1848</w:t>
      </w:r>
      <w:r w:rsidRPr="00C92F30">
        <w:t>).</w:t>
      </w:r>
    </w:p>
  </w:footnote>
  <w:footnote w:id="479">
    <w:p w:rsidR="004C50DC" w:rsidRDefault="004C50DC">
      <w:pPr>
        <w:pStyle w:val="Notedebasdepage"/>
      </w:pPr>
      <w:r>
        <w:rPr>
          <w:rStyle w:val="Appelnotedebasdep"/>
        </w:rPr>
        <w:footnoteRef/>
      </w:r>
      <w:r>
        <w:t xml:space="preserve"> </w:t>
      </w:r>
      <w:r>
        <w:tab/>
      </w:r>
      <w:r w:rsidRPr="00C92F30">
        <w:t xml:space="preserve">À ce propos, voir Serge Petit-Frère, </w:t>
      </w:r>
      <w:r w:rsidRPr="00C92F30">
        <w:rPr>
          <w:i/>
        </w:rPr>
        <w:t>L’éducation haïtienne en question</w:t>
      </w:r>
      <w:r w:rsidRPr="00C92F30">
        <w:t>, Port-au-Prince, Fardin, 1980, p. 53.</w:t>
      </w:r>
    </w:p>
  </w:footnote>
  <w:footnote w:id="480">
    <w:p w:rsidR="004C50DC" w:rsidRDefault="004C50DC">
      <w:pPr>
        <w:pStyle w:val="Notedebasdepage"/>
      </w:pPr>
      <w:r>
        <w:rPr>
          <w:rStyle w:val="Appelnotedebasdep"/>
        </w:rPr>
        <w:footnoteRef/>
      </w:r>
      <w:r>
        <w:t xml:space="preserve"> </w:t>
      </w:r>
      <w:r>
        <w:tab/>
      </w:r>
      <w:r w:rsidRPr="00C92F30">
        <w:t xml:space="preserve">Voir l’Annexe II pour une idée de l’ensemble de ces ouvrages publiés. </w:t>
      </w:r>
    </w:p>
  </w:footnote>
  <w:footnote w:id="481">
    <w:p w:rsidR="004C50DC" w:rsidRDefault="004C50DC">
      <w:pPr>
        <w:pStyle w:val="Notedebasdepage"/>
      </w:pPr>
      <w:r>
        <w:rPr>
          <w:rStyle w:val="Appelnotedebasdep"/>
        </w:rPr>
        <w:footnoteRef/>
      </w:r>
      <w:r>
        <w:t xml:space="preserve"> </w:t>
      </w:r>
      <w:r>
        <w:tab/>
      </w:r>
      <w:r w:rsidRPr="00C92F30">
        <w:t>Il faut noter que la question des manuels d’histoire fut une des plus fondament</w:t>
      </w:r>
      <w:r w:rsidRPr="00C92F30">
        <w:t>a</w:t>
      </w:r>
      <w:r w:rsidRPr="00C92F30">
        <w:t>les de la problématique de l’Instruction publique en Haïti durant tout le XIX</w:t>
      </w:r>
      <w:r w:rsidRPr="00C92F30">
        <w:rPr>
          <w:vertAlign w:val="superscript"/>
        </w:rPr>
        <w:t>e</w:t>
      </w:r>
      <w:r w:rsidRPr="00C92F30">
        <w:t xml:space="preserve"> si</w:t>
      </w:r>
      <w:r w:rsidRPr="00C92F30">
        <w:t>è</w:t>
      </w:r>
      <w:r w:rsidRPr="00C92F30">
        <w:t>cle. Touché par le problème, le ministre Mac Donald Apollon, dans un arrêté en date du 16 février 1893, avait lancé un concours visant à encour</w:t>
      </w:r>
      <w:r w:rsidRPr="00C92F30">
        <w:t>a</w:t>
      </w:r>
      <w:r w:rsidRPr="00C92F30">
        <w:t>ger les hist</w:t>
      </w:r>
      <w:r w:rsidRPr="00C92F30">
        <w:t>o</w:t>
      </w:r>
      <w:r w:rsidRPr="00C92F30">
        <w:t>riens et les pédagogues à écrire deux manuels d’histoire d’Haïti, dont l’un serait destiné aux élèves des lycées et des collèges, et l’autre aux écoles primaires, car les o</w:t>
      </w:r>
      <w:r w:rsidRPr="00C92F30">
        <w:t>u</w:t>
      </w:r>
      <w:r w:rsidRPr="00C92F30">
        <w:t xml:space="preserve">vrages alors consacrés à l’étude de l’histoire d’Haïti ne répondaient que d’une façon incomplète aux besoins de l’enseignement ; voir le « Considérant #2 » et l’article 2  de l’Arrêté, </w:t>
      </w:r>
      <w:r w:rsidRPr="00C92F30">
        <w:rPr>
          <w:i/>
        </w:rPr>
        <w:t>Le Mon</w:t>
      </w:r>
      <w:r w:rsidRPr="00C92F30">
        <w:rPr>
          <w:i/>
        </w:rPr>
        <w:t>i</w:t>
      </w:r>
      <w:r w:rsidRPr="00C92F30">
        <w:rPr>
          <w:i/>
        </w:rPr>
        <w:t>teur</w:t>
      </w:r>
      <w:r w:rsidRPr="00C92F30">
        <w:t>, 18 février 1893). Le ministre avait également précisé que : « le point de départ doit être la découverte de l’île pour s’arrêter au gouvernement de S</w:t>
      </w:r>
      <w:r w:rsidRPr="00C92F30">
        <w:t>a</w:t>
      </w:r>
      <w:r w:rsidRPr="00C92F30">
        <w:t>lomon ».Le concours n’avait pas obtenu les résultats escom</w:t>
      </w:r>
      <w:r w:rsidRPr="00C92F30">
        <w:t>p</w:t>
      </w:r>
      <w:r w:rsidRPr="00C92F30">
        <w:t xml:space="preserve">tés si l’on en croit l’avis de février 1894 du département de l’Instruction Publique.  </w:t>
      </w:r>
    </w:p>
  </w:footnote>
  <w:footnote w:id="482">
    <w:p w:rsidR="004C50DC" w:rsidRDefault="004C50DC">
      <w:pPr>
        <w:pStyle w:val="Notedebasdepage"/>
      </w:pPr>
      <w:r>
        <w:rPr>
          <w:rStyle w:val="Appelnotedebasdep"/>
        </w:rPr>
        <w:footnoteRef/>
      </w:r>
      <w:r>
        <w:t xml:space="preserve"> </w:t>
      </w:r>
      <w:r>
        <w:tab/>
      </w:r>
      <w:r w:rsidRPr="00C92F30">
        <w:t xml:space="preserve">Nous citons par exemple : Jean-Baptiste Dorsainvil, </w:t>
      </w:r>
      <w:r w:rsidRPr="00C92F30">
        <w:rPr>
          <w:i/>
        </w:rPr>
        <w:t>Cours d’histoire d’Haïti à l’usage de l’enseignement secondaire (seconde partie :1804-1889</w:t>
      </w:r>
      <w:r w:rsidRPr="00C92F30">
        <w:t>), Paris, D</w:t>
      </w:r>
      <w:r w:rsidRPr="00C92F30">
        <w:t>u</w:t>
      </w:r>
      <w:r w:rsidRPr="00C92F30">
        <w:t xml:space="preserve">bois et Bauer, [1892]1912 ; Odette Roy Fombrun, </w:t>
      </w:r>
      <w:r w:rsidRPr="00C92F30">
        <w:rPr>
          <w:i/>
        </w:rPr>
        <w:t>Histoire d’Haïti, de l’indépendance à nos jours. Cours moyens et supérieurs</w:t>
      </w:r>
      <w:r w:rsidRPr="00C92F30">
        <w:t>, Port-au-Prince, A</w:t>
      </w:r>
      <w:r w:rsidRPr="00C92F30">
        <w:t>c</w:t>
      </w:r>
      <w:r w:rsidRPr="00C92F30">
        <w:t>tion Sociale et Odette Roy Fombrun, 1981.</w:t>
      </w:r>
    </w:p>
  </w:footnote>
  <w:footnote w:id="483">
    <w:p w:rsidR="004C50DC" w:rsidRDefault="004C50DC">
      <w:pPr>
        <w:pStyle w:val="Notedebasdepage"/>
      </w:pPr>
      <w:r>
        <w:rPr>
          <w:rStyle w:val="Appelnotedebasdep"/>
        </w:rPr>
        <w:footnoteRef/>
      </w:r>
      <w:r>
        <w:t xml:space="preserve"> </w:t>
      </w:r>
      <w:r>
        <w:tab/>
      </w:r>
      <w:r w:rsidRPr="00C92F30">
        <w:rPr>
          <w:lang w:val="en-US"/>
        </w:rPr>
        <w:t>« History is the fruit of power, but power itself is never transparent that its anal</w:t>
      </w:r>
      <w:r w:rsidRPr="00C92F30">
        <w:rPr>
          <w:lang w:val="en-US"/>
        </w:rPr>
        <w:t>y</w:t>
      </w:r>
      <w:r w:rsidRPr="00C92F30">
        <w:rPr>
          <w:lang w:val="en-US"/>
        </w:rPr>
        <w:t xml:space="preserve">sis becomes superfluous » ; Michel-Rolph Trouillot, </w:t>
      </w:r>
      <w:r w:rsidRPr="00C92F30">
        <w:rPr>
          <w:i/>
          <w:lang w:val="en-US"/>
        </w:rPr>
        <w:t>Silencing the Past</w:t>
      </w:r>
      <w:r w:rsidRPr="00C92F30">
        <w:rPr>
          <w:lang w:val="en-US"/>
        </w:rPr>
        <w:t>, op. cit. p. XIV.</w:t>
      </w:r>
    </w:p>
  </w:footnote>
  <w:footnote w:id="484">
    <w:p w:rsidR="004C50DC" w:rsidRDefault="004C50DC">
      <w:pPr>
        <w:pStyle w:val="Notedebasdepage"/>
      </w:pPr>
      <w:r>
        <w:rPr>
          <w:rStyle w:val="Appelnotedebasdep"/>
        </w:rPr>
        <w:footnoteRef/>
      </w:r>
      <w:r>
        <w:t xml:space="preserve"> </w:t>
      </w:r>
      <w:r>
        <w:tab/>
      </w:r>
      <w:r w:rsidRPr="00C92F30">
        <w:rPr>
          <w:lang w:val="en-US"/>
        </w:rPr>
        <w:t>« Silences are inherent in the creation of sources, the first moment of histor</w:t>
      </w:r>
      <w:r w:rsidRPr="00C92F30">
        <w:rPr>
          <w:lang w:val="en-US"/>
        </w:rPr>
        <w:t>i</w:t>
      </w:r>
      <w:r w:rsidRPr="00C92F30">
        <w:rPr>
          <w:lang w:val="en-US"/>
        </w:rPr>
        <w:t>cal production » ; ibid.,</w:t>
      </w:r>
      <w:r>
        <w:rPr>
          <w:lang w:val="en-US"/>
        </w:rPr>
        <w:t xml:space="preserve"> </w:t>
      </w:r>
      <w:r w:rsidRPr="00C92F30">
        <w:rPr>
          <w:lang w:val="en-US"/>
        </w:rPr>
        <w:t>p. 51.</w:t>
      </w:r>
    </w:p>
  </w:footnote>
  <w:footnote w:id="485">
    <w:p w:rsidR="004C50DC" w:rsidRDefault="004C50DC">
      <w:pPr>
        <w:pStyle w:val="Notedebasdepage"/>
      </w:pPr>
      <w:r>
        <w:rPr>
          <w:rStyle w:val="Appelnotedebasdep"/>
        </w:rPr>
        <w:footnoteRef/>
      </w:r>
      <w:r>
        <w:t xml:space="preserve"> </w:t>
      </w:r>
      <w:r>
        <w:tab/>
      </w:r>
      <w:r w:rsidRPr="00C92F30">
        <w:t xml:space="preserve">Voir l’article « Histoire » dans Georges Labica et Gérard Bensussan (dir.), </w:t>
      </w:r>
      <w:r w:rsidRPr="00C92F30">
        <w:rPr>
          <w:i/>
        </w:rPr>
        <w:t>Di</w:t>
      </w:r>
      <w:r w:rsidRPr="00C92F30">
        <w:rPr>
          <w:i/>
        </w:rPr>
        <w:t>c</w:t>
      </w:r>
      <w:r w:rsidRPr="00C92F30">
        <w:rPr>
          <w:i/>
        </w:rPr>
        <w:t>tionnaire critique du marxisme</w:t>
      </w:r>
      <w:r w:rsidRPr="00C92F30">
        <w:t>, Paris, PUF, 1985.</w:t>
      </w:r>
    </w:p>
  </w:footnote>
  <w:footnote w:id="486">
    <w:p w:rsidR="004C50DC" w:rsidRDefault="004C50DC">
      <w:pPr>
        <w:pStyle w:val="Notedebasdepage"/>
      </w:pPr>
      <w:r>
        <w:rPr>
          <w:rStyle w:val="Appelnotedebasdep"/>
        </w:rPr>
        <w:footnoteRef/>
      </w:r>
      <w:r>
        <w:t xml:space="preserve"> </w:t>
      </w:r>
      <w:r>
        <w:tab/>
      </w:r>
      <w:r w:rsidRPr="00C92F30">
        <w:rPr>
          <w:lang w:val="fr-FR"/>
        </w:rPr>
        <w:t>« Proclamation du Général en Chef au Peuple d’Haïti », Quartier-général des Gonaïves, le 1</w:t>
      </w:r>
      <w:r w:rsidRPr="00C92F30">
        <w:rPr>
          <w:vertAlign w:val="superscript"/>
          <w:lang w:val="fr-FR"/>
        </w:rPr>
        <w:t xml:space="preserve">er </w:t>
      </w:r>
      <w:r w:rsidRPr="00C92F30">
        <w:rPr>
          <w:lang w:val="fr-FR"/>
        </w:rPr>
        <w:t>janvier 1804, an 1</w:t>
      </w:r>
      <w:r w:rsidRPr="00C92F30">
        <w:rPr>
          <w:vertAlign w:val="superscript"/>
          <w:lang w:val="fr-FR"/>
        </w:rPr>
        <w:t>er</w:t>
      </w:r>
      <w:r w:rsidRPr="00C92F30">
        <w:rPr>
          <w:lang w:val="fr-FR"/>
        </w:rPr>
        <w:t xml:space="preserve"> de l’Indépendance, en ligne, </w:t>
      </w:r>
      <w:hyperlink r:id="rId73" w:history="1">
        <w:r w:rsidRPr="00C92F30">
          <w:rPr>
            <w:rStyle w:val="Lienhypertexte"/>
            <w:lang w:val="fr-FR"/>
          </w:rPr>
          <w:t>http://windowsonhaiti.com/windowsonhaiti/act2.shtml</w:t>
        </w:r>
      </w:hyperlink>
      <w:r w:rsidRPr="00C92F30">
        <w:rPr>
          <w:lang w:val="fr-FR"/>
        </w:rPr>
        <w:t>, consulté le 23 nove</w:t>
      </w:r>
      <w:r w:rsidRPr="00C92F30">
        <w:rPr>
          <w:lang w:val="fr-FR"/>
        </w:rPr>
        <w:t>m</w:t>
      </w:r>
      <w:r w:rsidRPr="00C92F30">
        <w:rPr>
          <w:lang w:val="fr-FR"/>
        </w:rPr>
        <w:t>bre 2015.</w:t>
      </w:r>
    </w:p>
  </w:footnote>
  <w:footnote w:id="487">
    <w:p w:rsidR="004C50DC" w:rsidRDefault="004C50DC">
      <w:pPr>
        <w:pStyle w:val="Notedebasdepage"/>
      </w:pPr>
      <w:r>
        <w:rPr>
          <w:rStyle w:val="Appelnotedebasdep"/>
        </w:rPr>
        <w:footnoteRef/>
      </w:r>
      <w:r>
        <w:t xml:space="preserve"> </w:t>
      </w:r>
      <w:r>
        <w:tab/>
      </w:r>
      <w:r w:rsidRPr="00C92F30">
        <w:t xml:space="preserve">Richard Price, </w:t>
      </w:r>
      <w:r w:rsidRPr="00C92F30">
        <w:rPr>
          <w:i/>
        </w:rPr>
        <w:t>Le bagnard et le colonel</w:t>
      </w:r>
      <w:r w:rsidRPr="00C92F30">
        <w:t>, cité par Jean-Luc Bonniol, op. cit., p</w:t>
      </w:r>
      <w:r>
        <w:t>p</w:t>
      </w:r>
      <w:r w:rsidRPr="00C92F30">
        <w:t>. 263-284.</w:t>
      </w:r>
    </w:p>
  </w:footnote>
  <w:footnote w:id="488">
    <w:p w:rsidR="004C50DC" w:rsidRDefault="004C50DC">
      <w:pPr>
        <w:pStyle w:val="Notedebasdepage"/>
      </w:pPr>
      <w:r>
        <w:rPr>
          <w:rStyle w:val="Appelnotedebasdep"/>
        </w:rPr>
        <w:footnoteRef/>
      </w:r>
      <w:r>
        <w:t xml:space="preserve"> </w:t>
      </w:r>
      <w:r>
        <w:tab/>
      </w:r>
      <w:r w:rsidRPr="00C92F30">
        <w:t>Savary est une localité située dans la 4</w:t>
      </w:r>
      <w:r w:rsidRPr="00C92F30">
        <w:rPr>
          <w:vertAlign w:val="superscript"/>
        </w:rPr>
        <w:t>e</w:t>
      </w:r>
      <w:r w:rsidRPr="00C92F30">
        <w:t xml:space="preserve"> section communale de Lalouère dans la commune de Saint-Marc.</w:t>
      </w:r>
    </w:p>
  </w:footnote>
  <w:footnote w:id="489">
    <w:p w:rsidR="004C50DC" w:rsidRDefault="004C50DC">
      <w:pPr>
        <w:pStyle w:val="Notedebasdepage"/>
      </w:pPr>
      <w:r>
        <w:rPr>
          <w:rStyle w:val="Appelnotedebasdep"/>
        </w:rPr>
        <w:footnoteRef/>
      </w:r>
      <w:r>
        <w:t xml:space="preserve"> </w:t>
      </w:r>
      <w:r>
        <w:tab/>
      </w:r>
      <w:r w:rsidRPr="00C92F30">
        <w:t xml:space="preserve">Édouard Glissant, </w:t>
      </w:r>
      <w:r w:rsidRPr="00C92F30">
        <w:rPr>
          <w:i/>
        </w:rPr>
        <w:t>Le Discours antillais</w:t>
      </w:r>
      <w:r w:rsidRPr="00C92F30">
        <w:t>, op. cit., p</w:t>
      </w:r>
      <w:r>
        <w:t>p</w:t>
      </w:r>
      <w:r w:rsidRPr="00C92F30">
        <w:t>. 130-131.</w:t>
      </w:r>
    </w:p>
  </w:footnote>
  <w:footnote w:id="490">
    <w:p w:rsidR="004C50DC" w:rsidRDefault="004C50DC">
      <w:pPr>
        <w:pStyle w:val="Notedebasdepage"/>
      </w:pPr>
      <w:r>
        <w:rPr>
          <w:rStyle w:val="Appelnotedebasdep"/>
        </w:rPr>
        <w:footnoteRef/>
      </w:r>
      <w:r>
        <w:t xml:space="preserve"> </w:t>
      </w:r>
      <w:r>
        <w:tab/>
      </w:r>
      <w:r w:rsidRPr="00C92F30">
        <w:t>Derek Walcott (op. cit.) soutient que « pour le monde caribéen, l’histoire reste le territoire de l’imagination et de la mémoire ».</w:t>
      </w:r>
    </w:p>
  </w:footnote>
  <w:footnote w:id="491">
    <w:p w:rsidR="004C50DC" w:rsidRDefault="004C50DC">
      <w:pPr>
        <w:pStyle w:val="Notedebasdepage"/>
      </w:pPr>
      <w:r>
        <w:rPr>
          <w:rStyle w:val="Appelnotedebasdep"/>
        </w:rPr>
        <w:footnoteRef/>
      </w:r>
      <w:r>
        <w:t xml:space="preserve"> </w:t>
      </w:r>
      <w:r>
        <w:tab/>
      </w:r>
      <w:r w:rsidRPr="00C92F30">
        <w:t xml:space="preserve">Thomas Madiou, </w:t>
      </w:r>
      <w:r w:rsidRPr="00C92F30">
        <w:rPr>
          <w:i/>
        </w:rPr>
        <w:t>Histoire d’Haïti</w:t>
      </w:r>
      <w:r w:rsidRPr="00C92F30">
        <w:t>, tome I, Port-au-Prince, J. Courtois, 1847, p. v.</w:t>
      </w:r>
    </w:p>
  </w:footnote>
  <w:footnote w:id="492">
    <w:p w:rsidR="004C50DC" w:rsidRDefault="004C50DC">
      <w:pPr>
        <w:pStyle w:val="Notedebasdepage"/>
      </w:pPr>
      <w:r>
        <w:rPr>
          <w:rStyle w:val="Appelnotedebasdep"/>
        </w:rPr>
        <w:footnoteRef/>
      </w:r>
      <w:r>
        <w:t xml:space="preserve"> </w:t>
      </w:r>
      <w:r>
        <w:tab/>
      </w:r>
      <w:r w:rsidRPr="002D7D14">
        <w:rPr>
          <w:i/>
        </w:rPr>
        <w:t>Ibid</w:t>
      </w:r>
      <w:r w:rsidRPr="00C92F30">
        <w:t>., p. 27.</w:t>
      </w:r>
    </w:p>
  </w:footnote>
  <w:footnote w:id="493">
    <w:p w:rsidR="004C50DC" w:rsidRDefault="004C50DC">
      <w:pPr>
        <w:pStyle w:val="Notedebasdepage"/>
      </w:pPr>
      <w:r>
        <w:rPr>
          <w:rStyle w:val="Appelnotedebasdep"/>
        </w:rPr>
        <w:footnoteRef/>
      </w:r>
      <w:r>
        <w:t xml:space="preserve"> </w:t>
      </w:r>
      <w:r>
        <w:tab/>
      </w:r>
      <w:r w:rsidRPr="00C92F30">
        <w:t xml:space="preserve">Beaubrun Ardouin, </w:t>
      </w:r>
      <w:r w:rsidRPr="00C92F30">
        <w:rPr>
          <w:i/>
          <w:lang w:eastAsia="fr-FR"/>
        </w:rPr>
        <w:t>Études sur l’histoire d’Haïti</w:t>
      </w:r>
      <w:r w:rsidRPr="00C92F30">
        <w:rPr>
          <w:lang w:eastAsia="fr-FR"/>
        </w:rPr>
        <w:t xml:space="preserve">, </w:t>
      </w:r>
      <w:r w:rsidRPr="00C92F30">
        <w:rPr>
          <w:i/>
          <w:lang w:eastAsia="fr-FR"/>
        </w:rPr>
        <w:t>suivies de la vie du général J.M. Borgella</w:t>
      </w:r>
      <w:r w:rsidRPr="00C92F30">
        <w:rPr>
          <w:lang w:eastAsia="fr-FR"/>
        </w:rPr>
        <w:t xml:space="preserve">, tome premier, Paris, Dezobry et E. Magdeleine, 1853, </w:t>
      </w:r>
      <w:r>
        <w:rPr>
          <w:lang w:eastAsia="fr-FR"/>
        </w:rPr>
        <w:t>p</w:t>
      </w:r>
      <w:r w:rsidRPr="00C92F30">
        <w:t>p. 216-217.</w:t>
      </w:r>
    </w:p>
  </w:footnote>
  <w:footnote w:id="494">
    <w:p w:rsidR="004C50DC" w:rsidRDefault="004C50DC">
      <w:pPr>
        <w:pStyle w:val="Notedebasdepage"/>
      </w:pPr>
      <w:r>
        <w:rPr>
          <w:rStyle w:val="Appelnotedebasdep"/>
        </w:rPr>
        <w:footnoteRef/>
      </w:r>
      <w:r>
        <w:t xml:space="preserve"> </w:t>
      </w:r>
      <w:r>
        <w:tab/>
      </w:r>
      <w:r w:rsidRPr="00C92F30">
        <w:rPr>
          <w:lang w:val="fr-FR"/>
        </w:rPr>
        <w:t xml:space="preserve">Joseph Saint-Rémy, </w:t>
      </w:r>
      <w:r w:rsidRPr="00C92F30">
        <w:rPr>
          <w:i/>
          <w:lang w:val="fr-FR"/>
        </w:rPr>
        <w:t>Mémoires du Général Toussaint Louverture</w:t>
      </w:r>
      <w:r w:rsidRPr="00C92F30">
        <w:rPr>
          <w:lang w:val="fr-FR"/>
        </w:rPr>
        <w:t>, Paris, P</w:t>
      </w:r>
      <w:r w:rsidRPr="00C92F30">
        <w:rPr>
          <w:lang w:val="fr-FR"/>
        </w:rPr>
        <w:t>a</w:t>
      </w:r>
      <w:r w:rsidRPr="00C92F30">
        <w:rPr>
          <w:lang w:val="fr-FR"/>
        </w:rPr>
        <w:t>gne</w:t>
      </w:r>
      <w:r w:rsidRPr="00C92F30">
        <w:rPr>
          <w:lang w:val="fr-FR"/>
        </w:rPr>
        <w:t>r</w:t>
      </w:r>
      <w:r w:rsidRPr="00C92F30">
        <w:rPr>
          <w:lang w:val="fr-FR"/>
        </w:rPr>
        <w:t>re, 1853, p</w:t>
      </w:r>
      <w:r>
        <w:rPr>
          <w:lang w:val="fr-FR"/>
        </w:rPr>
        <w:t>p</w:t>
      </w:r>
      <w:r w:rsidRPr="00C92F30">
        <w:rPr>
          <w:lang w:val="fr-FR"/>
        </w:rPr>
        <w:t>. 7-8.</w:t>
      </w:r>
    </w:p>
  </w:footnote>
  <w:footnote w:id="495">
    <w:p w:rsidR="004C50DC" w:rsidRDefault="004C50DC">
      <w:pPr>
        <w:pStyle w:val="Notedebasdepage"/>
      </w:pPr>
      <w:r>
        <w:rPr>
          <w:rStyle w:val="Appelnotedebasdep"/>
        </w:rPr>
        <w:footnoteRef/>
      </w:r>
      <w:r>
        <w:t xml:space="preserve"> </w:t>
      </w:r>
      <w:r>
        <w:tab/>
      </w:r>
      <w:r w:rsidRPr="00C92F30">
        <w:rPr>
          <w:lang w:val="fr-FR"/>
        </w:rPr>
        <w:t xml:space="preserve">Émile Nau, Ducis Viard et Eugène Nau, </w:t>
      </w:r>
      <w:r w:rsidRPr="00C92F30">
        <w:rPr>
          <w:i/>
          <w:lang w:val="fr-FR"/>
        </w:rPr>
        <w:t>Histoire des Caciques d’Haïti</w:t>
      </w:r>
      <w:r w:rsidRPr="00C92F30">
        <w:rPr>
          <w:lang w:val="fr-FR"/>
        </w:rPr>
        <w:t>, P</w:t>
      </w:r>
      <w:r w:rsidRPr="00C92F30">
        <w:rPr>
          <w:lang w:val="fr-FR"/>
        </w:rPr>
        <w:t>a</w:t>
      </w:r>
      <w:r w:rsidRPr="00C92F30">
        <w:rPr>
          <w:lang w:val="fr-FR"/>
        </w:rPr>
        <w:t>ris, G. Guérin, 1894, p. 157.</w:t>
      </w:r>
    </w:p>
  </w:footnote>
  <w:footnote w:id="496">
    <w:p w:rsidR="004C50DC" w:rsidRDefault="004C50DC">
      <w:pPr>
        <w:pStyle w:val="Notedebasdepage"/>
      </w:pPr>
      <w:r>
        <w:rPr>
          <w:rStyle w:val="Appelnotedebasdep"/>
        </w:rPr>
        <w:footnoteRef/>
      </w:r>
      <w:r>
        <w:t xml:space="preserve"> </w:t>
      </w:r>
      <w:r>
        <w:tab/>
      </w:r>
      <w:r w:rsidRPr="00C92F30">
        <w:rPr>
          <w:rFonts w:eastAsia="Calibri"/>
          <w:lang w:eastAsia="en-CA"/>
        </w:rPr>
        <w:t>Guy Di Méo</w:t>
      </w:r>
      <w:r w:rsidRPr="00C92F30">
        <w:rPr>
          <w:lang w:eastAsia="en-CA"/>
        </w:rPr>
        <w:t>, « </w:t>
      </w:r>
      <w:r w:rsidRPr="00C92F30">
        <w:rPr>
          <w:rFonts w:eastAsia="Calibri"/>
          <w:lang w:eastAsia="en-CA"/>
        </w:rPr>
        <w:t>Processus de patrimonialisation et construction des territo</w:t>
      </w:r>
      <w:r w:rsidRPr="00C92F30">
        <w:rPr>
          <w:rFonts w:eastAsia="Calibri"/>
          <w:lang w:eastAsia="en-CA"/>
        </w:rPr>
        <w:t>i</w:t>
      </w:r>
      <w:r w:rsidRPr="00C92F30">
        <w:rPr>
          <w:rFonts w:eastAsia="Calibri"/>
          <w:lang w:eastAsia="en-CA"/>
        </w:rPr>
        <w:t>res</w:t>
      </w:r>
      <w:r w:rsidRPr="00C92F30">
        <w:rPr>
          <w:lang w:eastAsia="en-CA"/>
        </w:rPr>
        <w:t xml:space="preserve"> ». </w:t>
      </w:r>
      <w:r w:rsidRPr="00C92F30">
        <w:rPr>
          <w:i/>
          <w:lang w:eastAsia="en-CA"/>
        </w:rPr>
        <w:t xml:space="preserve">Actes du </w:t>
      </w:r>
      <w:r w:rsidRPr="00C92F30">
        <w:rPr>
          <w:i/>
          <w:iCs/>
          <w:lang w:eastAsia="en-CA"/>
        </w:rPr>
        <w:t>Colloque Patrimoine et industrie en Poitou-Charentes : connaître pour valoriser</w:t>
      </w:r>
      <w:r w:rsidRPr="00C92F30">
        <w:rPr>
          <w:lang w:eastAsia="en-CA"/>
        </w:rPr>
        <w:t>, Poitiers-Châtellerault, France, 2008</w:t>
      </w:r>
      <w:r w:rsidRPr="00C92F30">
        <w:t xml:space="preserve">, en ligne, </w:t>
      </w:r>
      <w:hyperlink r:id="rId74" w:history="1">
        <w:r w:rsidRPr="00C92F30">
          <w:rPr>
            <w:rStyle w:val="Tableausimple4"/>
            <w:b w:val="0"/>
            <w:i w:val="0"/>
            <w:color w:val="auto"/>
          </w:rPr>
          <w:t>http://www.ades.cnrs.fr/IMG/pdf/GDM_PP_et_CT_Poitiers.pdf</w:t>
        </w:r>
      </w:hyperlink>
      <w:r w:rsidRPr="00C92F30">
        <w:rPr>
          <w:rStyle w:val="Tableausimple4"/>
          <w:b w:val="0"/>
          <w:i w:val="0"/>
          <w:color w:val="auto"/>
        </w:rPr>
        <w:t xml:space="preserve">, </w:t>
      </w:r>
      <w:r w:rsidRPr="00C92F30">
        <w:rPr>
          <w:lang w:eastAsia="en-CA"/>
        </w:rPr>
        <w:t>consulté le 5 juillet 2012.</w:t>
      </w:r>
    </w:p>
  </w:footnote>
  <w:footnote w:id="497">
    <w:p w:rsidR="004C50DC" w:rsidRDefault="004C50DC">
      <w:pPr>
        <w:pStyle w:val="Notedebasdepage"/>
      </w:pPr>
      <w:r>
        <w:rPr>
          <w:rStyle w:val="Appelnotedebasdep"/>
        </w:rPr>
        <w:footnoteRef/>
      </w:r>
      <w:r>
        <w:t xml:space="preserve"> </w:t>
      </w:r>
      <w:r>
        <w:tab/>
      </w:r>
      <w:r w:rsidRPr="002D7D14">
        <w:rPr>
          <w:rFonts w:eastAsia="Calibri"/>
          <w:i/>
          <w:lang w:eastAsia="en-CA"/>
        </w:rPr>
        <w:t>Ibid</w:t>
      </w:r>
      <w:r w:rsidRPr="00C92F30">
        <w:rPr>
          <w:rFonts w:eastAsia="Calibri"/>
          <w:lang w:eastAsia="en-CA"/>
        </w:rPr>
        <w:t>.</w:t>
      </w:r>
    </w:p>
  </w:footnote>
  <w:footnote w:id="498">
    <w:p w:rsidR="004C50DC" w:rsidRDefault="004C50DC">
      <w:pPr>
        <w:pStyle w:val="Notedebasdepage"/>
      </w:pPr>
      <w:r>
        <w:rPr>
          <w:rStyle w:val="Appelnotedebasdep"/>
        </w:rPr>
        <w:footnoteRef/>
      </w:r>
      <w:r>
        <w:t xml:space="preserve"> </w:t>
      </w:r>
      <w:r>
        <w:tab/>
      </w:r>
      <w:r w:rsidRPr="00C92F30">
        <w:rPr>
          <w:lang w:val="fr-FR"/>
        </w:rPr>
        <w:t xml:space="preserve">L’ouvrage de Claudy Delné, </w:t>
      </w:r>
      <w:r w:rsidRPr="00C92F30">
        <w:rPr>
          <w:i/>
          <w:lang w:val="fr-FR"/>
        </w:rPr>
        <w:t>L’enseignement de l’histoire nationale en Haïti : état des lieux et perspectives</w:t>
      </w:r>
      <w:r w:rsidRPr="00C92F30">
        <w:rPr>
          <w:lang w:val="fr-FR"/>
        </w:rPr>
        <w:t xml:space="preserve"> (Montréal, CIDIHCA, 2001) est une référence incontournable.</w:t>
      </w:r>
    </w:p>
  </w:footnote>
  <w:footnote w:id="499">
    <w:p w:rsidR="004C50DC" w:rsidRDefault="004C50DC">
      <w:pPr>
        <w:pStyle w:val="Notedebasdepage"/>
      </w:pPr>
      <w:r>
        <w:rPr>
          <w:rStyle w:val="Appelnotedebasdep"/>
        </w:rPr>
        <w:footnoteRef/>
      </w:r>
      <w:r>
        <w:t xml:space="preserve"> </w:t>
      </w:r>
      <w:r>
        <w:tab/>
      </w:r>
      <w:r w:rsidRPr="00C92F30">
        <w:rPr>
          <w:lang w:val="fr-FR"/>
        </w:rPr>
        <w:t>Ghislain Gouraige</w:t>
      </w:r>
      <w:r w:rsidRPr="00C92F30">
        <w:rPr>
          <w:i/>
          <w:lang w:val="fr-FR"/>
        </w:rPr>
        <w:t>, La Diaspora d’Haïti et l’Afrique</w:t>
      </w:r>
      <w:r w:rsidRPr="00C92F30">
        <w:rPr>
          <w:lang w:val="fr-FR"/>
        </w:rPr>
        <w:t>, Sherbrooke, Éditions Naaman, 1974, p. 82.</w:t>
      </w:r>
    </w:p>
  </w:footnote>
  <w:footnote w:id="500">
    <w:p w:rsidR="004C50DC" w:rsidRDefault="004C50DC">
      <w:pPr>
        <w:pStyle w:val="Notedebasdepage"/>
      </w:pPr>
      <w:r>
        <w:rPr>
          <w:rStyle w:val="Appelnotedebasdep"/>
        </w:rPr>
        <w:footnoteRef/>
      </w:r>
      <w:r>
        <w:t xml:space="preserve"> </w:t>
      </w:r>
      <w:r>
        <w:tab/>
      </w:r>
      <w:r w:rsidRPr="00C92F30">
        <w:rPr>
          <w:lang w:val="fr-FR"/>
        </w:rPr>
        <w:t>Jean-Julien Olsen, « Enjeux du tourisme durable en Haïti face au paradi</w:t>
      </w:r>
      <w:r w:rsidRPr="00C92F30">
        <w:rPr>
          <w:lang w:val="fr-FR"/>
        </w:rPr>
        <w:t>g</w:t>
      </w:r>
      <w:r w:rsidRPr="00C92F30">
        <w:rPr>
          <w:lang w:val="fr-FR"/>
        </w:rPr>
        <w:t>me actuel en gestion de sites à haute valeur culturelle - Le cas du Parc National Historique : Citadelle, Sans-Souci, Ramiers », dans 16th ICOMOS General Assembly and International Symposium : « Finding the spirit of place – Be</w:t>
      </w:r>
      <w:r w:rsidRPr="00C92F30">
        <w:rPr>
          <w:lang w:val="fr-FR"/>
        </w:rPr>
        <w:t>t</w:t>
      </w:r>
      <w:r w:rsidRPr="00C92F30">
        <w:rPr>
          <w:lang w:val="fr-FR"/>
        </w:rPr>
        <w:t>ween the tang</w:t>
      </w:r>
      <w:r w:rsidRPr="00C92F30">
        <w:rPr>
          <w:lang w:val="fr-FR"/>
        </w:rPr>
        <w:t>i</w:t>
      </w:r>
      <w:r w:rsidRPr="00C92F30">
        <w:rPr>
          <w:lang w:val="fr-FR"/>
        </w:rPr>
        <w:t xml:space="preserve">ble and the intangible », 29 septembre -4 octobre 2008, Québec. </w:t>
      </w:r>
    </w:p>
  </w:footnote>
  <w:footnote w:id="501">
    <w:p w:rsidR="004C50DC" w:rsidRDefault="004C50DC">
      <w:pPr>
        <w:pStyle w:val="Notedebasdepage"/>
      </w:pPr>
      <w:r>
        <w:rPr>
          <w:rStyle w:val="Appelnotedebasdep"/>
        </w:rPr>
        <w:footnoteRef/>
      </w:r>
      <w:r>
        <w:t xml:space="preserve"> </w:t>
      </w:r>
      <w:r>
        <w:tab/>
      </w:r>
      <w:r w:rsidRPr="00C92F30">
        <w:rPr>
          <w:lang w:val="fr-FR"/>
        </w:rPr>
        <w:t>Leslie Péan, « Haïti : Retour sur l’article “Économie d’une langue et lan</w:t>
      </w:r>
      <w:r>
        <w:rPr>
          <w:lang w:val="fr-FR"/>
        </w:rPr>
        <w:t>gue d’une économie” », op. cit.</w:t>
      </w:r>
    </w:p>
  </w:footnote>
  <w:footnote w:id="502">
    <w:p w:rsidR="004C50DC" w:rsidRDefault="004C50DC">
      <w:pPr>
        <w:pStyle w:val="Notedebasdepage"/>
      </w:pPr>
      <w:r>
        <w:rPr>
          <w:rStyle w:val="Appelnotedebasdep"/>
        </w:rPr>
        <w:footnoteRef/>
      </w:r>
      <w:r>
        <w:t xml:space="preserve"> </w:t>
      </w:r>
      <w:r>
        <w:tab/>
      </w:r>
      <w:r w:rsidRPr="00C92F30">
        <w:rPr>
          <w:lang w:val="fr-FR"/>
        </w:rPr>
        <w:t xml:space="preserve">Michel Hector, « L’historiographie haïtienne après 1946 sur la révolution de Saint-Domingue », </w:t>
      </w:r>
      <w:r w:rsidRPr="00C92F30">
        <w:rPr>
          <w:i/>
          <w:lang w:val="fr-FR"/>
        </w:rPr>
        <w:t>Annales historiques de la Révolution française</w:t>
      </w:r>
      <w:r w:rsidRPr="00C92F30">
        <w:rPr>
          <w:lang w:val="fr-FR"/>
        </w:rPr>
        <w:t xml:space="preserve">, </w:t>
      </w:r>
      <w:r w:rsidRPr="00C92F30">
        <w:rPr>
          <w:i/>
          <w:lang w:val="fr-FR"/>
        </w:rPr>
        <w:t>Révol</w:t>
      </w:r>
      <w:r w:rsidRPr="00C92F30">
        <w:rPr>
          <w:i/>
          <w:lang w:val="fr-FR"/>
        </w:rPr>
        <w:t>u</w:t>
      </w:r>
      <w:r w:rsidRPr="00C92F30">
        <w:rPr>
          <w:i/>
          <w:lang w:val="fr-FR"/>
        </w:rPr>
        <w:t>tions aux colonies</w:t>
      </w:r>
      <w:r w:rsidRPr="00C92F30">
        <w:rPr>
          <w:lang w:val="fr-FR"/>
        </w:rPr>
        <w:t>, n</w:t>
      </w:r>
      <w:r w:rsidRPr="00C92F30">
        <w:rPr>
          <w:vertAlign w:val="superscript"/>
          <w:lang w:val="fr-FR"/>
        </w:rPr>
        <w:t>os</w:t>
      </w:r>
      <w:r w:rsidRPr="00C92F30">
        <w:rPr>
          <w:lang w:val="fr-FR"/>
        </w:rPr>
        <w:t xml:space="preserve"> 293-294, 1993, p. 549-550, en ligne, </w:t>
      </w:r>
      <w:hyperlink r:id="rId75" w:history="1">
        <w:r w:rsidRPr="00C92F30">
          <w:rPr>
            <w:rStyle w:val="Lienhypertexte"/>
            <w:lang w:val="fr-FR"/>
          </w:rPr>
          <w:t>http://www.persee.fr/web/revues/home/prescript/article/ahrf_0003-4436_1993_num_293_1_3395</w:t>
        </w:r>
      </w:hyperlink>
      <w:r w:rsidRPr="00C92F30">
        <w:rPr>
          <w:lang w:val="fr-FR"/>
        </w:rPr>
        <w:t>, consulté le 24 novembre 2014.</w:t>
      </w:r>
    </w:p>
  </w:footnote>
  <w:footnote w:id="503">
    <w:p w:rsidR="004C50DC" w:rsidRDefault="004C50DC">
      <w:pPr>
        <w:pStyle w:val="Notedebasdepage"/>
      </w:pPr>
      <w:r>
        <w:rPr>
          <w:rStyle w:val="Appelnotedebasdep"/>
        </w:rPr>
        <w:footnoteRef/>
      </w:r>
      <w:r>
        <w:t xml:space="preserve"> </w:t>
      </w:r>
      <w:r>
        <w:tab/>
      </w:r>
      <w:r w:rsidRPr="00C92F30">
        <w:rPr>
          <w:lang w:val="fr-FR"/>
        </w:rPr>
        <w:t xml:space="preserve">Anne Muxel, « Temps, mémoire et transmission », dans </w:t>
      </w:r>
      <w:r w:rsidRPr="00C92F30">
        <w:rPr>
          <w:lang w:eastAsia="fr-FR"/>
        </w:rPr>
        <w:t xml:space="preserve">Monique Léonard (dir.), </w:t>
      </w:r>
      <w:r w:rsidRPr="00C92F30">
        <w:rPr>
          <w:i/>
          <w:lang w:eastAsia="fr-FR"/>
        </w:rPr>
        <w:t>Mémoire et écriture</w:t>
      </w:r>
      <w:r w:rsidRPr="00C92F30">
        <w:rPr>
          <w:lang w:eastAsia="fr-FR"/>
        </w:rPr>
        <w:t>, Paris, Honoré Champion, 2003</w:t>
      </w:r>
      <w:r w:rsidRPr="00C92F30">
        <w:rPr>
          <w:lang w:val="fr-FR"/>
        </w:rPr>
        <w:t>, p</w:t>
      </w:r>
      <w:r>
        <w:rPr>
          <w:lang w:val="fr-FR"/>
        </w:rPr>
        <w:t>p</w:t>
      </w:r>
      <w:r w:rsidRPr="00C92F30">
        <w:rPr>
          <w:lang w:val="fr-FR"/>
        </w:rPr>
        <w:t>. 13-14.</w:t>
      </w:r>
    </w:p>
  </w:footnote>
  <w:footnote w:id="504">
    <w:p w:rsidR="004C50DC" w:rsidRDefault="004C50DC">
      <w:pPr>
        <w:pStyle w:val="Notedebasdepage"/>
      </w:pPr>
      <w:r>
        <w:rPr>
          <w:rStyle w:val="Appelnotedebasdep"/>
        </w:rPr>
        <w:footnoteRef/>
      </w:r>
      <w:r>
        <w:t xml:space="preserve"> </w:t>
      </w:r>
      <w:r>
        <w:tab/>
      </w:r>
      <w:r w:rsidRPr="00C92F30">
        <w:rPr>
          <w:rStyle w:val="SansinterligneCar"/>
          <w:sz w:val="24"/>
          <w:lang w:val="fr-FR"/>
        </w:rPr>
        <w:t xml:space="preserve">Friedrich Nietzsche, </w:t>
      </w:r>
      <w:r w:rsidRPr="00C92F30">
        <w:rPr>
          <w:i/>
        </w:rPr>
        <w:t xml:space="preserve">Considérations inactuelles, II, « De l’inconvénient et de l’utilité pour la vie de l’histoire » </w:t>
      </w:r>
      <w:r w:rsidRPr="00C92F30">
        <w:rPr>
          <w:lang w:val="fr-FR"/>
        </w:rPr>
        <w:t xml:space="preserve">[Paris, Hachette, 1874], </w:t>
      </w:r>
      <w:r w:rsidRPr="00C92F30">
        <w:t>Paris, Gallimard, 1992.</w:t>
      </w:r>
    </w:p>
  </w:footnote>
  <w:footnote w:id="505">
    <w:p w:rsidR="004C50DC" w:rsidRDefault="004C50DC">
      <w:pPr>
        <w:pStyle w:val="Notedebasdepage"/>
      </w:pPr>
      <w:r>
        <w:rPr>
          <w:rStyle w:val="Appelnotedebasdep"/>
        </w:rPr>
        <w:footnoteRef/>
      </w:r>
      <w:r>
        <w:t xml:space="preserve"> </w:t>
      </w:r>
      <w:r>
        <w:tab/>
      </w:r>
      <w:r w:rsidRPr="002D7D14">
        <w:rPr>
          <w:rStyle w:val="SansinterligneCar"/>
          <w:i/>
          <w:sz w:val="24"/>
          <w:szCs w:val="20"/>
          <w:lang w:val="fr-FR"/>
        </w:rPr>
        <w:t>Ibid</w:t>
      </w:r>
      <w:r w:rsidRPr="00C92F30">
        <w:rPr>
          <w:rStyle w:val="SansinterligneCar"/>
          <w:sz w:val="24"/>
          <w:szCs w:val="20"/>
          <w:lang w:val="fr-FR"/>
        </w:rPr>
        <w:t>., p</w:t>
      </w:r>
      <w:r>
        <w:rPr>
          <w:rStyle w:val="SansinterligneCar"/>
          <w:sz w:val="24"/>
          <w:szCs w:val="20"/>
          <w:lang w:val="fr-FR"/>
        </w:rPr>
        <w:t>p</w:t>
      </w:r>
      <w:r w:rsidRPr="00C92F30">
        <w:rPr>
          <w:rStyle w:val="SansinterligneCar"/>
          <w:sz w:val="24"/>
          <w:szCs w:val="20"/>
          <w:lang w:val="fr-FR"/>
        </w:rPr>
        <w:t>. 92-97.</w:t>
      </w:r>
    </w:p>
  </w:footnote>
  <w:footnote w:id="506">
    <w:p w:rsidR="004C50DC" w:rsidRDefault="004C50DC">
      <w:pPr>
        <w:pStyle w:val="Notedebasdepage"/>
      </w:pPr>
      <w:r>
        <w:rPr>
          <w:rStyle w:val="Appelnotedebasdep"/>
        </w:rPr>
        <w:footnoteRef/>
      </w:r>
      <w:r>
        <w:t xml:space="preserve"> </w:t>
      </w:r>
      <w:r>
        <w:tab/>
      </w:r>
      <w:r w:rsidRPr="00C92F30">
        <w:rPr>
          <w:lang w:val="fr-FR"/>
        </w:rPr>
        <w:t>Tzvetan Todorov (</w:t>
      </w:r>
      <w:r w:rsidRPr="00C92F30">
        <w:rPr>
          <w:i/>
          <w:lang w:val="fr-FR"/>
        </w:rPr>
        <w:t xml:space="preserve">Les abus de la mémoire, </w:t>
      </w:r>
      <w:r w:rsidRPr="00C92F30">
        <w:rPr>
          <w:lang w:val="fr-FR"/>
        </w:rPr>
        <w:t xml:space="preserve">Paris, Arléa, 2004) soutient que toute sacralisation de la mémoire peut la rendre inutile. </w:t>
      </w:r>
    </w:p>
  </w:footnote>
  <w:footnote w:id="507">
    <w:p w:rsidR="004C50DC" w:rsidRDefault="004C50DC">
      <w:pPr>
        <w:pStyle w:val="Notedebasdepage"/>
      </w:pPr>
      <w:r>
        <w:rPr>
          <w:rStyle w:val="Appelnotedebasdep"/>
        </w:rPr>
        <w:footnoteRef/>
      </w:r>
      <w:r>
        <w:t xml:space="preserve"> </w:t>
      </w:r>
      <w:r>
        <w:tab/>
      </w:r>
      <w:r w:rsidRPr="00C92F30">
        <w:rPr>
          <w:lang w:val="fr-FR"/>
        </w:rPr>
        <w:t xml:space="preserve">Paul Ricœur, </w:t>
      </w:r>
      <w:r w:rsidRPr="00C92F30">
        <w:rPr>
          <w:i/>
          <w:lang w:val="fr-FR"/>
        </w:rPr>
        <w:t xml:space="preserve">La mémoire, l’histoire, l’oubli, </w:t>
      </w:r>
      <w:r w:rsidRPr="00C92F30">
        <w:rPr>
          <w:lang w:val="fr-FR"/>
        </w:rPr>
        <w:t>op. cit., p. I.</w:t>
      </w:r>
    </w:p>
  </w:footnote>
  <w:footnote w:id="508">
    <w:p w:rsidR="004C50DC" w:rsidRDefault="004C50DC">
      <w:pPr>
        <w:pStyle w:val="Notedebasdepage"/>
      </w:pPr>
      <w:r>
        <w:rPr>
          <w:rStyle w:val="Appelnotedebasdep"/>
        </w:rPr>
        <w:footnoteRef/>
      </w:r>
      <w:r>
        <w:t xml:space="preserve"> </w:t>
      </w:r>
      <w:r>
        <w:tab/>
      </w:r>
      <w:r w:rsidRPr="00C92F30">
        <w:rPr>
          <w:lang w:val="fr-FR"/>
        </w:rPr>
        <w:t>Christine</w:t>
      </w:r>
      <w:r>
        <w:rPr>
          <w:lang w:val="fr-FR"/>
        </w:rPr>
        <w:t xml:space="preserve"> </w:t>
      </w:r>
      <w:r w:rsidRPr="00C92F30">
        <w:rPr>
          <w:lang w:val="fr-FR"/>
        </w:rPr>
        <w:t xml:space="preserve">Chivallon, « L’émergence récente de la mémoire de l’esclavage dans l’espace public : enjeux et significations », </w:t>
      </w:r>
      <w:r w:rsidRPr="00C92F30">
        <w:rPr>
          <w:i/>
          <w:lang w:val="fr-FR"/>
        </w:rPr>
        <w:t>Cahiers d’Histoire</w:t>
      </w:r>
      <w:r w:rsidRPr="00C92F30">
        <w:rPr>
          <w:lang w:val="fr-FR"/>
        </w:rPr>
        <w:t xml:space="preserve">, numéro thématique coordonné par Francis Dupuy et Rafaël Lucas, </w:t>
      </w:r>
      <w:r w:rsidRPr="00C92F30">
        <w:rPr>
          <w:i/>
          <w:lang w:val="fr-FR"/>
        </w:rPr>
        <w:t>Esclavage, ma</w:t>
      </w:r>
      <w:r w:rsidRPr="00C92F30">
        <w:rPr>
          <w:i/>
          <w:lang w:val="fr-FR"/>
        </w:rPr>
        <w:t>r</w:t>
      </w:r>
      <w:r w:rsidRPr="00C92F30">
        <w:rPr>
          <w:i/>
          <w:lang w:val="fr-FR"/>
        </w:rPr>
        <w:t>ronnage et commémorations. Les enjeux de la mémoire</w:t>
      </w:r>
      <w:r w:rsidRPr="00C92F30">
        <w:rPr>
          <w:lang w:val="fr-FR"/>
        </w:rPr>
        <w:t>, n</w:t>
      </w:r>
      <w:r w:rsidRPr="00C92F30">
        <w:rPr>
          <w:vertAlign w:val="superscript"/>
          <w:lang w:val="fr-FR"/>
        </w:rPr>
        <w:t>o</w:t>
      </w:r>
      <w:r w:rsidRPr="00C92F30">
        <w:rPr>
          <w:lang w:val="fr-FR"/>
        </w:rPr>
        <w:t> 89, 2002, p</w:t>
      </w:r>
      <w:r>
        <w:rPr>
          <w:lang w:val="fr-FR"/>
        </w:rPr>
        <w:t>p</w:t>
      </w:r>
      <w:r w:rsidRPr="00C92F30">
        <w:rPr>
          <w:lang w:val="fr-FR"/>
        </w:rPr>
        <w:t>. 41-60.</w:t>
      </w:r>
    </w:p>
  </w:footnote>
  <w:footnote w:id="509">
    <w:p w:rsidR="004C50DC" w:rsidRDefault="004C50DC">
      <w:pPr>
        <w:pStyle w:val="Notedebasdepage"/>
      </w:pPr>
      <w:r>
        <w:rPr>
          <w:rStyle w:val="Appelnotedebasdep"/>
        </w:rPr>
        <w:footnoteRef/>
      </w:r>
      <w:r>
        <w:t xml:space="preserve"> </w:t>
      </w:r>
      <w:r>
        <w:tab/>
      </w:r>
      <w:r w:rsidRPr="00C92F30">
        <w:t>Roland Barthes, « Réflexions sur un manuel », dans Serge Doubrovsky et Tzv</w:t>
      </w:r>
      <w:r w:rsidRPr="00C92F30">
        <w:t>e</w:t>
      </w:r>
      <w:r w:rsidRPr="00C92F30">
        <w:t xml:space="preserve">tan Todorov (dir.), </w:t>
      </w:r>
      <w:r w:rsidRPr="00C92F30">
        <w:rPr>
          <w:i/>
        </w:rPr>
        <w:t>L’Enseignement de la littérature</w:t>
      </w:r>
      <w:r w:rsidRPr="00C92F30">
        <w:t>, Paris, Plon, 1971, p</w:t>
      </w:r>
      <w:r>
        <w:t>p</w:t>
      </w:r>
      <w:r w:rsidRPr="00C92F30">
        <w:t>. 170-177.</w:t>
      </w:r>
    </w:p>
  </w:footnote>
  <w:footnote w:id="510">
    <w:p w:rsidR="004C50DC" w:rsidRDefault="004C50DC">
      <w:pPr>
        <w:pStyle w:val="Notedebasdepage"/>
      </w:pPr>
      <w:r>
        <w:rPr>
          <w:rStyle w:val="Appelnotedebasdep"/>
        </w:rPr>
        <w:footnoteRef/>
      </w:r>
      <w:r>
        <w:t xml:space="preserve"> </w:t>
      </w:r>
      <w:r>
        <w:tab/>
      </w:r>
      <w:r w:rsidRPr="00C92F30">
        <w:t xml:space="preserve">Boisrond-Tonnerre, </w:t>
      </w:r>
      <w:r w:rsidRPr="00C92F30">
        <w:rPr>
          <w:i/>
        </w:rPr>
        <w:t>Acte de l’Indépendance haïtienne</w:t>
      </w:r>
      <w:r w:rsidRPr="00C92F30">
        <w:t>, 1</w:t>
      </w:r>
      <w:r w:rsidRPr="00C92F30">
        <w:rPr>
          <w:vertAlign w:val="superscript"/>
        </w:rPr>
        <w:t>er</w:t>
      </w:r>
      <w:r w:rsidRPr="00C92F30">
        <w:t xml:space="preserve"> janvier 1804.</w:t>
      </w:r>
    </w:p>
  </w:footnote>
  <w:footnote w:id="511">
    <w:p w:rsidR="004C50DC" w:rsidRDefault="004C50DC">
      <w:pPr>
        <w:pStyle w:val="Notedebasdepage"/>
      </w:pPr>
      <w:r>
        <w:rPr>
          <w:rStyle w:val="Appelnotedebasdep"/>
        </w:rPr>
        <w:footnoteRef/>
      </w:r>
      <w:r>
        <w:t xml:space="preserve"> </w:t>
      </w:r>
      <w:r>
        <w:tab/>
      </w:r>
      <w:r w:rsidRPr="00C92F30">
        <w:t xml:space="preserve">Hénock Trouillot, « La pensée du docteur Jean Price-Mars », </w:t>
      </w:r>
      <w:r w:rsidRPr="00C92F30">
        <w:rPr>
          <w:i/>
        </w:rPr>
        <w:t>Société haïtie</w:t>
      </w:r>
      <w:r w:rsidRPr="00C92F30">
        <w:rPr>
          <w:i/>
        </w:rPr>
        <w:t>n</w:t>
      </w:r>
      <w:r w:rsidRPr="00C92F30">
        <w:rPr>
          <w:i/>
        </w:rPr>
        <w:t>ne d’Histoire, de Géographie et de Géologie</w:t>
      </w:r>
      <w:r w:rsidRPr="00C92F30">
        <w:t>, vol. 29, n</w:t>
      </w:r>
      <w:r w:rsidRPr="00C92F30">
        <w:rPr>
          <w:vertAlign w:val="superscript"/>
        </w:rPr>
        <w:t>o</w:t>
      </w:r>
      <w:r w:rsidRPr="00C92F30">
        <w:t> 102, Port-au-Prince, jui</w:t>
      </w:r>
      <w:r w:rsidRPr="00C92F30">
        <w:t>l</w:t>
      </w:r>
      <w:r w:rsidRPr="00C92F30">
        <w:t>let-octobre 1956, p. 7.</w:t>
      </w:r>
    </w:p>
  </w:footnote>
  <w:footnote w:id="512">
    <w:p w:rsidR="004C50DC" w:rsidRPr="00C92F30" w:rsidRDefault="004C50DC" w:rsidP="004C50DC">
      <w:pPr>
        <w:pStyle w:val="Notedebasdepage"/>
      </w:pPr>
      <w:r w:rsidRPr="002D7D14">
        <w:rPr>
          <w:rStyle w:val="Appelnotedebasdep"/>
        </w:rPr>
        <w:footnoteRef/>
      </w:r>
      <w:r>
        <w:tab/>
      </w:r>
      <w:r w:rsidRPr="00C92F30">
        <w:t xml:space="preserve">Eddy Arnold Jean, </w:t>
      </w:r>
      <w:r w:rsidRPr="00C92F30">
        <w:rPr>
          <w:i/>
        </w:rPr>
        <w:t>La littérature haïtienne. Le Dix-neuvième siècle haïtien</w:t>
      </w:r>
      <w:r w:rsidRPr="00C92F30">
        <w:t>, t</w:t>
      </w:r>
      <w:r w:rsidRPr="00C92F30">
        <w:t>o</w:t>
      </w:r>
      <w:r w:rsidRPr="00C92F30">
        <w:t>me 1, Port-au-Prince, Haïti Demain, 2013, p. 15.</w:t>
      </w:r>
    </w:p>
  </w:footnote>
  <w:footnote w:id="513">
    <w:p w:rsidR="004C50DC" w:rsidRPr="00C92F30" w:rsidRDefault="004C50DC" w:rsidP="004C50DC">
      <w:pPr>
        <w:pStyle w:val="Notedebasdepage"/>
      </w:pPr>
      <w:r w:rsidRPr="002D7D14">
        <w:rPr>
          <w:rStyle w:val="Appelnotedebasdep"/>
        </w:rPr>
        <w:footnoteRef/>
      </w:r>
      <w:r>
        <w:tab/>
      </w:r>
      <w:r w:rsidRPr="00C92F30">
        <w:t xml:space="preserve">Juste Chanlatte, </w:t>
      </w:r>
      <w:r w:rsidRPr="00C92F30">
        <w:rPr>
          <w:rStyle w:val="a-size-large"/>
          <w:bCs/>
          <w:i/>
        </w:rPr>
        <w:t>Histoire de la catastrophe de Saint-Domingue</w:t>
      </w:r>
      <w:r w:rsidRPr="00C92F30">
        <w:rPr>
          <w:rStyle w:val="a-size-large"/>
          <w:bCs/>
        </w:rPr>
        <w:t>, Paris, Libra</w:t>
      </w:r>
      <w:r w:rsidRPr="00C92F30">
        <w:rPr>
          <w:rStyle w:val="a-size-large"/>
          <w:bCs/>
        </w:rPr>
        <w:t>i</w:t>
      </w:r>
      <w:r w:rsidRPr="00C92F30">
        <w:rPr>
          <w:rStyle w:val="a-size-large"/>
          <w:bCs/>
        </w:rPr>
        <w:t>rie de Peytieux, 1824, p. 15-16</w:t>
      </w:r>
      <w:r w:rsidRPr="00C92F30">
        <w:t xml:space="preserve">, en ligne, </w:t>
      </w:r>
      <w:hyperlink r:id="rId76" w:history="1">
        <w:r w:rsidRPr="00C92F30">
          <w:rPr>
            <w:rStyle w:val="Lienhypertexte"/>
            <w:bCs/>
            <w:color w:val="auto"/>
          </w:rPr>
          <w:t>http://gallica.bnf.fr/ark:/12148/</w:t>
        </w:r>
      </w:hyperlink>
      <w:r w:rsidRPr="00C92F30">
        <w:rPr>
          <w:rStyle w:val="a-size-large"/>
          <w:bCs/>
        </w:rPr>
        <w:t>, consulté le 22 novembre 2015.</w:t>
      </w:r>
    </w:p>
  </w:footnote>
  <w:footnote w:id="514">
    <w:p w:rsidR="004C50DC" w:rsidRDefault="004C50DC">
      <w:pPr>
        <w:pStyle w:val="Notedebasdepage"/>
      </w:pPr>
      <w:r>
        <w:rPr>
          <w:rStyle w:val="Appelnotedebasdep"/>
        </w:rPr>
        <w:footnoteRef/>
      </w:r>
      <w:r>
        <w:t xml:space="preserve"> </w:t>
      </w:r>
      <w:r>
        <w:tab/>
      </w:r>
      <w:r w:rsidRPr="002D7D14">
        <w:rPr>
          <w:i/>
          <w:lang w:val="fr-FR"/>
        </w:rPr>
        <w:t>Ibid</w:t>
      </w:r>
      <w:r w:rsidRPr="00C92F30">
        <w:rPr>
          <w:lang w:val="fr-FR"/>
        </w:rPr>
        <w:t xml:space="preserve">., </w:t>
      </w:r>
      <w:r w:rsidRPr="00C92F30">
        <w:rPr>
          <w:rStyle w:val="a-size-large"/>
          <w:bCs/>
          <w:lang w:val="fr-FR"/>
        </w:rPr>
        <w:t>p.18.</w:t>
      </w:r>
    </w:p>
  </w:footnote>
  <w:footnote w:id="515">
    <w:p w:rsidR="004C50DC" w:rsidRDefault="004C50DC">
      <w:pPr>
        <w:pStyle w:val="Notedebasdepage"/>
      </w:pPr>
      <w:r>
        <w:rPr>
          <w:rStyle w:val="Appelnotedebasdep"/>
        </w:rPr>
        <w:footnoteRef/>
      </w:r>
      <w:r>
        <w:t xml:space="preserve"> </w:t>
      </w:r>
      <w:r>
        <w:tab/>
      </w:r>
      <w:r w:rsidRPr="00C92F30">
        <w:t>« La triple palme », poème écrit par Juste Chanlatte en 1822 à la gloire de Jean Pierre Boyer qu’il appelait  solennellement « vengeur des Indiens ». </w:t>
      </w:r>
    </w:p>
  </w:footnote>
  <w:footnote w:id="516">
    <w:p w:rsidR="004C50DC" w:rsidRDefault="004C50DC">
      <w:pPr>
        <w:pStyle w:val="Notedebasdepage"/>
      </w:pPr>
      <w:r>
        <w:rPr>
          <w:rStyle w:val="Appelnotedebasdep"/>
        </w:rPr>
        <w:footnoteRef/>
      </w:r>
      <w:r>
        <w:t xml:space="preserve"> </w:t>
      </w:r>
      <w:r>
        <w:tab/>
      </w:r>
      <w:r w:rsidRPr="00C92F30">
        <w:rPr>
          <w:lang w:val="fr-FR"/>
        </w:rPr>
        <w:t xml:space="preserve">Voir </w:t>
      </w:r>
      <w:r w:rsidRPr="00C92F30">
        <w:t xml:space="preserve">« Courrier d’Amérique », </w:t>
      </w:r>
      <w:r w:rsidRPr="00C92F30">
        <w:rPr>
          <w:i/>
        </w:rPr>
        <w:t>Revue des races latines</w:t>
      </w:r>
      <w:r w:rsidRPr="00C92F30">
        <w:t xml:space="preserve">, vol. 18, Paris, 1860, p. 644-645 ; voir aussi Christophe </w:t>
      </w:r>
      <w:r w:rsidRPr="00C92F30">
        <w:rPr>
          <w:lang w:val="fr-FR"/>
        </w:rPr>
        <w:t>Philippe</w:t>
      </w:r>
      <w:r w:rsidRPr="00C92F30">
        <w:t xml:space="preserve"> Charles, </w:t>
      </w:r>
      <w:r w:rsidRPr="00C92F30">
        <w:rPr>
          <w:i/>
        </w:rPr>
        <w:t>Littérature haïtienne. Les pionniers, l'école de 1836</w:t>
      </w:r>
      <w:r w:rsidRPr="00C92F30">
        <w:t xml:space="preserve">, tome 1, Port-au-Prince, Choucoune,  2001, p. 42.  </w:t>
      </w:r>
    </w:p>
  </w:footnote>
  <w:footnote w:id="517">
    <w:p w:rsidR="004C50DC" w:rsidRPr="00C92F30" w:rsidRDefault="004C50DC" w:rsidP="004C50DC">
      <w:pPr>
        <w:pStyle w:val="Notedebasdepage"/>
      </w:pPr>
      <w:r w:rsidRPr="002D7D14">
        <w:rPr>
          <w:rStyle w:val="Appelnotedebasdep"/>
        </w:rPr>
        <w:footnoteRef/>
      </w:r>
      <w:r>
        <w:tab/>
      </w:r>
      <w:r w:rsidRPr="00C92F30">
        <w:t>La Cérémonie du Bois-Caïman est le conciliabule organisé sur l’habitation Lenormand de Mézy, le 14 août 1791, sous la direction de Boukman, prêtre vodou et chef des esclaves. Cette cérémonie annonçait déjà l’indépendance d’Haïti en 1804.</w:t>
      </w:r>
    </w:p>
  </w:footnote>
  <w:footnote w:id="518">
    <w:p w:rsidR="004C50DC" w:rsidRDefault="004C50DC">
      <w:pPr>
        <w:pStyle w:val="Notedebasdepage"/>
      </w:pPr>
      <w:r>
        <w:rPr>
          <w:rStyle w:val="Appelnotedebasdep"/>
        </w:rPr>
        <w:footnoteRef/>
      </w:r>
      <w:r>
        <w:t xml:space="preserve"> </w:t>
      </w:r>
      <w:r>
        <w:tab/>
      </w:r>
      <w:r w:rsidRPr="00C92F30">
        <w:rPr>
          <w:lang w:val="fr-FR"/>
        </w:rPr>
        <w:t>Makandal était un sacrificateur vodou qui, à la tête d’une bande d’esclaves marrons, menait la révolte en 1757. Sa principale stratégie de lutte était l’empoisonnement des Blancs. Il fut capturé lors d’une cérémonie vodou et brûlé vif par les bourreaux au service des colons français pour décourager ou prévenir le marronnage et toute tentative de révolte sur les habitations. M</w:t>
      </w:r>
      <w:r w:rsidRPr="00C92F30">
        <w:rPr>
          <w:lang w:val="fr-FR"/>
        </w:rPr>
        <w:t>a</w:t>
      </w:r>
      <w:r w:rsidRPr="00C92F30">
        <w:rPr>
          <w:lang w:val="fr-FR"/>
        </w:rPr>
        <w:t>kandal est resté dans la mémoire des esclaves marrons une figure de prophète. Ses actes d’endoctrinement de fidèles participent à la structuration du vodou, principale religion qui rallie et incite les esclaves à la révolte dans la colonie de Saint-Domingue.</w:t>
      </w:r>
    </w:p>
  </w:footnote>
  <w:footnote w:id="519">
    <w:p w:rsidR="004C50DC" w:rsidRPr="00C92F30" w:rsidRDefault="004C50DC" w:rsidP="004C50DC">
      <w:pPr>
        <w:pStyle w:val="Notedebasdepage"/>
      </w:pPr>
      <w:r w:rsidRPr="002D7D14">
        <w:rPr>
          <w:rStyle w:val="Appelnotedebasdep"/>
        </w:rPr>
        <w:footnoteRef/>
      </w:r>
      <w:r>
        <w:tab/>
      </w:r>
      <w:r w:rsidRPr="00C92F30">
        <w:t xml:space="preserve">Voir le texte d’Émile Nau considéré comme « Le manifeste de l’École de 1836 (Le Cénacle) », dans </w:t>
      </w:r>
      <w:r w:rsidRPr="00C92F30">
        <w:rPr>
          <w:i/>
        </w:rPr>
        <w:t>L'Union. Recueil commercial et littéraire</w:t>
      </w:r>
      <w:r w:rsidRPr="00C92F30">
        <w:t>, Port-au-Prince,  16 novembre 1837, p. 4, en ligne,</w:t>
      </w:r>
      <w:r>
        <w:br/>
      </w:r>
      <w:hyperlink r:id="rId77" w:history="1">
        <w:r w:rsidRPr="00C92F30">
          <w:rPr>
            <w:rStyle w:val="Lienhypertexte"/>
            <w:color w:val="auto"/>
          </w:rPr>
          <w:t>http://gallica.bnf.fr/ark:/12148/cb328829955/date, consulté</w:t>
        </w:r>
      </w:hyperlink>
      <w:r w:rsidRPr="00C92F30">
        <w:t xml:space="preserve"> le 5 décembre 2015.</w:t>
      </w:r>
    </w:p>
  </w:footnote>
  <w:footnote w:id="520">
    <w:p w:rsidR="004C50DC" w:rsidRPr="00C92F30" w:rsidRDefault="004C50DC" w:rsidP="004C50DC">
      <w:pPr>
        <w:pStyle w:val="Notedebasdepage"/>
        <w:rPr>
          <w:lang w:val="en-US"/>
        </w:rPr>
      </w:pPr>
      <w:r w:rsidRPr="003B531C">
        <w:rPr>
          <w:rStyle w:val="Appelnotedebasdep"/>
        </w:rPr>
        <w:footnoteRef/>
      </w:r>
      <w:r>
        <w:rPr>
          <w:lang w:val="en-US"/>
        </w:rPr>
        <w:tab/>
      </w:r>
      <w:r w:rsidRPr="00C92F30">
        <w:rPr>
          <w:lang w:val="en-US"/>
        </w:rPr>
        <w:t xml:space="preserve">Eddy Arnold Jean, op. cit., p. 4. </w:t>
      </w:r>
    </w:p>
  </w:footnote>
  <w:footnote w:id="521">
    <w:p w:rsidR="004C50DC" w:rsidRDefault="004C50DC">
      <w:pPr>
        <w:pStyle w:val="Notedebasdepage"/>
      </w:pPr>
      <w:r>
        <w:rPr>
          <w:rStyle w:val="Appelnotedebasdep"/>
        </w:rPr>
        <w:footnoteRef/>
      </w:r>
      <w:r>
        <w:t xml:space="preserve"> </w:t>
      </w:r>
      <w:r>
        <w:tab/>
      </w:r>
      <w:r w:rsidRPr="00C92F30">
        <w:rPr>
          <w:lang w:val="fr-FR"/>
        </w:rPr>
        <w:t xml:space="preserve">Jean-Baptiste Chenet cité par Jacques-Raphaël Georges, </w:t>
      </w:r>
      <w:r w:rsidRPr="00C92F30">
        <w:rPr>
          <w:i/>
          <w:lang w:val="fr-FR"/>
        </w:rPr>
        <w:t>Cacoïsme litt</w:t>
      </w:r>
      <w:r w:rsidRPr="00C92F30">
        <w:rPr>
          <w:i/>
          <w:lang w:val="fr-FR"/>
        </w:rPr>
        <w:t>é</w:t>
      </w:r>
      <w:r w:rsidRPr="00C92F30">
        <w:rPr>
          <w:i/>
          <w:lang w:val="fr-FR"/>
        </w:rPr>
        <w:t>raire. La fonction du personnage américain dans le roman haïtien à partir de 1915</w:t>
      </w:r>
      <w:r w:rsidRPr="00C92F30">
        <w:rPr>
          <w:lang w:val="fr-FR"/>
        </w:rPr>
        <w:t>, New York, Peter Lang Publishing Inc., 2004, p. 36.</w:t>
      </w:r>
    </w:p>
  </w:footnote>
  <w:footnote w:id="522">
    <w:p w:rsidR="004C50DC" w:rsidRPr="00C92F30" w:rsidRDefault="004C50DC" w:rsidP="004C50DC">
      <w:pPr>
        <w:pStyle w:val="Notedebasdepage"/>
      </w:pPr>
      <w:r w:rsidRPr="003B531C">
        <w:rPr>
          <w:rStyle w:val="Appelnotedebasdep"/>
        </w:rPr>
        <w:footnoteRef/>
      </w:r>
      <w:r>
        <w:tab/>
      </w:r>
      <w:r w:rsidRPr="00C92F30">
        <w:t xml:space="preserve">Léon-François Hoffman, </w:t>
      </w:r>
      <w:hyperlink r:id="rId78" w:history="1">
        <w:r w:rsidRPr="003B531C">
          <w:rPr>
            <w:rStyle w:val="Lienhypertexte"/>
            <w:i/>
          </w:rPr>
          <w:t>Haïti. Couleurs, croyances créole</w:t>
        </w:r>
      </w:hyperlink>
      <w:r w:rsidRPr="00C92F30">
        <w:t>, Port-au-Prince, Henri Deschamps, 1990, cité par Glodel Mezilas, « La trajectoire du fra</w:t>
      </w:r>
      <w:r w:rsidRPr="00C92F30">
        <w:t>n</w:t>
      </w:r>
      <w:r w:rsidRPr="00C92F30">
        <w:t xml:space="preserve">çais et du créole en Haïti », </w:t>
      </w:r>
      <w:r w:rsidRPr="00C92F30">
        <w:rPr>
          <w:i/>
        </w:rPr>
        <w:t>Tanbou</w:t>
      </w:r>
      <w:r w:rsidRPr="00C92F30">
        <w:t xml:space="preserve">, en ligne, </w:t>
      </w:r>
      <w:hyperlink r:id="rId79" w:history="1">
        <w:r w:rsidRPr="00C92F30">
          <w:rPr>
            <w:rStyle w:val="Lienhypertexte"/>
            <w:color w:val="auto"/>
          </w:rPr>
          <w:t>http://www.tanbou.com/2008/TrajectoireFrancaisCreoleHaiti.htm</w:t>
        </w:r>
      </w:hyperlink>
      <w:r w:rsidRPr="00C92F30">
        <w:t>, consulté le 7 octobre 2014.</w:t>
      </w:r>
    </w:p>
  </w:footnote>
  <w:footnote w:id="523">
    <w:p w:rsidR="004C50DC" w:rsidRDefault="004C50DC">
      <w:pPr>
        <w:pStyle w:val="Notedebasdepage"/>
      </w:pPr>
      <w:r>
        <w:rPr>
          <w:rStyle w:val="Appelnotedebasdep"/>
        </w:rPr>
        <w:footnoteRef/>
      </w:r>
      <w:r>
        <w:t xml:space="preserve"> </w:t>
      </w:r>
      <w:r>
        <w:tab/>
      </w:r>
      <w:r w:rsidRPr="003B531C">
        <w:rPr>
          <w:i/>
          <w:lang w:val="en-US"/>
        </w:rPr>
        <w:t>Ibid</w:t>
      </w:r>
      <w:r w:rsidRPr="00C92F30">
        <w:rPr>
          <w:lang w:val="en-US"/>
        </w:rPr>
        <w:t>.</w:t>
      </w:r>
    </w:p>
  </w:footnote>
  <w:footnote w:id="524">
    <w:p w:rsidR="004C50DC" w:rsidRDefault="004C50DC">
      <w:pPr>
        <w:pStyle w:val="Notedebasdepage"/>
      </w:pPr>
      <w:r>
        <w:rPr>
          <w:rStyle w:val="Appelnotedebasdep"/>
        </w:rPr>
        <w:footnoteRef/>
      </w:r>
      <w:r>
        <w:t xml:space="preserve"> </w:t>
      </w:r>
      <w:r>
        <w:tab/>
      </w:r>
      <w:r w:rsidRPr="00C92F30">
        <w:rPr>
          <w:lang w:val="en-US"/>
        </w:rPr>
        <w:t>Eddy Arnold Jean, op. cit., p. 91.</w:t>
      </w:r>
    </w:p>
  </w:footnote>
  <w:footnote w:id="525">
    <w:p w:rsidR="004C50DC" w:rsidRDefault="004C50DC">
      <w:pPr>
        <w:pStyle w:val="Notedebasdepage"/>
      </w:pPr>
      <w:r>
        <w:rPr>
          <w:rStyle w:val="Appelnotedebasdep"/>
        </w:rPr>
        <w:footnoteRef/>
      </w:r>
      <w:r>
        <w:t xml:space="preserve"> </w:t>
      </w:r>
      <w:r>
        <w:tab/>
      </w:r>
      <w:r w:rsidRPr="00C92F30">
        <w:rPr>
          <w:rFonts w:eastAsia="Arial Unicode MS"/>
          <w:lang w:eastAsia="hi-IN" w:bidi="hi-IN"/>
        </w:rPr>
        <w:t xml:space="preserve">Laënnec Hurbon, </w:t>
      </w:r>
      <w:hyperlink r:id="rId80" w:history="1">
        <w:r w:rsidRPr="00C92F30">
          <w:rPr>
            <w:rStyle w:val="Lienhypertexte"/>
            <w:rFonts w:eastAsia="Arial Unicode MS"/>
            <w:i/>
            <w:lang w:eastAsia="hi-IN" w:bidi="hi-IN"/>
          </w:rPr>
          <w:t>Comprendre Haïti. Essai sur l’État, la nation, la culture</w:t>
        </w:r>
      </w:hyperlink>
      <w:r w:rsidRPr="00C92F30">
        <w:rPr>
          <w:rFonts w:eastAsia="Arial Unicode MS"/>
          <w:i/>
          <w:lang w:eastAsia="hi-IN" w:bidi="hi-IN"/>
        </w:rPr>
        <w:t>, op. cit</w:t>
      </w:r>
      <w:r w:rsidRPr="00C92F30">
        <w:rPr>
          <w:rFonts w:eastAsia="Arial Unicode MS"/>
          <w:lang w:eastAsia="hi-IN" w:bidi="hi-IN"/>
        </w:rPr>
        <w:t>., p. 92.</w:t>
      </w:r>
    </w:p>
  </w:footnote>
  <w:footnote w:id="526">
    <w:p w:rsidR="004C50DC" w:rsidRDefault="004C50DC">
      <w:pPr>
        <w:pStyle w:val="Notedebasdepage"/>
      </w:pPr>
      <w:r>
        <w:rPr>
          <w:rStyle w:val="Appelnotedebasdep"/>
        </w:rPr>
        <w:footnoteRef/>
      </w:r>
      <w:r>
        <w:t xml:space="preserve"> </w:t>
      </w:r>
      <w:r>
        <w:tab/>
      </w:r>
      <w:r w:rsidRPr="00C92F30">
        <w:rPr>
          <w:lang w:val="fr-FR"/>
        </w:rPr>
        <w:t xml:space="preserve">Selon les termes de Claude Souffrant, « Jean Price-Mars et sa révolution culturelle », </w:t>
      </w:r>
      <w:r w:rsidRPr="00C92F30">
        <w:rPr>
          <w:i/>
          <w:lang w:val="fr-FR"/>
        </w:rPr>
        <w:t>Haïti en marche</w:t>
      </w:r>
      <w:r w:rsidRPr="00C92F30">
        <w:rPr>
          <w:lang w:val="fr-FR"/>
        </w:rPr>
        <w:t>, 15-21 juin 1988, p. 12. Certains critiques ha</w:t>
      </w:r>
      <w:r w:rsidRPr="00C92F30">
        <w:rPr>
          <w:lang w:val="fr-FR"/>
        </w:rPr>
        <w:t>ï</w:t>
      </w:r>
      <w:r w:rsidRPr="00C92F30">
        <w:rPr>
          <w:lang w:val="fr-FR"/>
        </w:rPr>
        <w:t xml:space="preserve">tiens ne sont pas loin de partager ce point de vue (notamment l’anthropologue Michel-Rolph Trouillot dans </w:t>
      </w:r>
      <w:r w:rsidRPr="00C92F30">
        <w:rPr>
          <w:i/>
          <w:lang w:val="fr-FR"/>
        </w:rPr>
        <w:t>Les Racines historiques de l’État duvaliérien</w:t>
      </w:r>
      <w:r w:rsidRPr="00C92F30">
        <w:rPr>
          <w:lang w:val="fr-FR"/>
        </w:rPr>
        <w:t>, Port-au-Prince, Henri Deschamps, 1986), selon ce qu’en dit Carlo Avierl C</w:t>
      </w:r>
      <w:r w:rsidRPr="00C92F30">
        <w:rPr>
          <w:lang w:val="fr-FR"/>
        </w:rPr>
        <w:t>e</w:t>
      </w:r>
      <w:r w:rsidRPr="00C92F30">
        <w:rPr>
          <w:lang w:val="fr-FR"/>
        </w:rPr>
        <w:t xml:space="preserve">lius dans « La création plastique et le tournant ethnologique en Haïti », </w:t>
      </w:r>
      <w:r w:rsidRPr="00C92F30">
        <w:rPr>
          <w:i/>
          <w:lang w:val="fr-FR"/>
        </w:rPr>
        <w:t>Gra</w:t>
      </w:r>
      <w:r w:rsidRPr="00C92F30">
        <w:rPr>
          <w:i/>
          <w:lang w:val="fr-FR"/>
        </w:rPr>
        <w:t>d</w:t>
      </w:r>
      <w:r w:rsidRPr="00C92F30">
        <w:rPr>
          <w:i/>
          <w:lang w:val="fr-FR"/>
        </w:rPr>
        <w:t>hiva</w:t>
      </w:r>
      <w:r w:rsidRPr="00C92F30">
        <w:rPr>
          <w:lang w:val="fr-FR"/>
        </w:rPr>
        <w:t>, 1, 2005, en ligne,</w:t>
      </w:r>
      <w:hyperlink r:id="rId81" w:history="1">
        <w:r w:rsidRPr="00C92F30">
          <w:rPr>
            <w:lang w:val="fr-FR"/>
          </w:rPr>
          <w:t>http://gradhiva.revues.org/301</w:t>
        </w:r>
      </w:hyperlink>
      <w:r w:rsidRPr="00C92F30">
        <w:rPr>
          <w:lang w:val="fr-FR"/>
        </w:rPr>
        <w:t xml:space="preserve">, consulté le 31 octobre 2014.Gérard Théobald l’a également souligné </w:t>
      </w:r>
      <w:r w:rsidRPr="00C92F30">
        <w:rPr>
          <w:i/>
          <w:lang w:val="fr-FR"/>
        </w:rPr>
        <w:t>La liberté est ou n’est pas</w:t>
      </w:r>
      <w:r w:rsidRPr="00C92F30">
        <w:rPr>
          <w:lang w:val="fr-FR"/>
        </w:rPr>
        <w:t>…, Paris, Publibook, 2014, p. 404.</w:t>
      </w:r>
    </w:p>
  </w:footnote>
  <w:footnote w:id="527">
    <w:p w:rsidR="004C50DC" w:rsidRDefault="004C50DC">
      <w:pPr>
        <w:pStyle w:val="Notedebasdepage"/>
      </w:pPr>
      <w:r>
        <w:rPr>
          <w:rStyle w:val="Appelnotedebasdep"/>
        </w:rPr>
        <w:footnoteRef/>
      </w:r>
      <w:r>
        <w:t xml:space="preserve"> </w:t>
      </w:r>
      <w:r>
        <w:tab/>
      </w:r>
      <w:r w:rsidRPr="00C92F30">
        <w:rPr>
          <w:lang w:val="fr-FR"/>
        </w:rPr>
        <w:t xml:space="preserve">Voir Pradel Pompilus et Raphaël Berrou, </w:t>
      </w:r>
      <w:r w:rsidRPr="00C92F30">
        <w:rPr>
          <w:i/>
          <w:lang w:val="fr-FR"/>
        </w:rPr>
        <w:t>Histoire de la littérature ha</w:t>
      </w:r>
      <w:r w:rsidRPr="00C92F30">
        <w:rPr>
          <w:i/>
          <w:lang w:val="fr-FR"/>
        </w:rPr>
        <w:t>ï</w:t>
      </w:r>
      <w:r w:rsidRPr="00C92F30">
        <w:rPr>
          <w:i/>
          <w:lang w:val="fr-FR"/>
        </w:rPr>
        <w:t>tienne illustrée par les textes</w:t>
      </w:r>
      <w:r w:rsidRPr="00C92F30">
        <w:rPr>
          <w:lang w:val="fr-FR"/>
        </w:rPr>
        <w:t>, tome 3, Port-au-Prince, Caraïbes, 1975 ; Ghislain Go</w:t>
      </w:r>
      <w:r w:rsidRPr="00C92F30">
        <w:rPr>
          <w:lang w:val="fr-FR"/>
        </w:rPr>
        <w:t>u</w:t>
      </w:r>
      <w:r w:rsidRPr="00C92F30">
        <w:rPr>
          <w:lang w:val="fr-FR"/>
        </w:rPr>
        <w:t>ra</w:t>
      </w:r>
      <w:r w:rsidRPr="00C92F30">
        <w:rPr>
          <w:lang w:val="fr-FR"/>
        </w:rPr>
        <w:t>i</w:t>
      </w:r>
      <w:r w:rsidRPr="00C92F30">
        <w:rPr>
          <w:lang w:val="fr-FR"/>
        </w:rPr>
        <w:t xml:space="preserve">ge, </w:t>
      </w:r>
      <w:r w:rsidRPr="00C92F30">
        <w:rPr>
          <w:i/>
          <w:lang w:val="fr-FR"/>
        </w:rPr>
        <w:t>Histoire de la littérature haïtienne, de l’indépendance à nos jours</w:t>
      </w:r>
      <w:r w:rsidRPr="00C92F30">
        <w:rPr>
          <w:lang w:val="fr-FR"/>
        </w:rPr>
        <w:t xml:space="preserve"> [1960], G</w:t>
      </w:r>
      <w:r w:rsidRPr="00C92F30">
        <w:rPr>
          <w:lang w:val="fr-FR"/>
        </w:rPr>
        <w:t>e</w:t>
      </w:r>
      <w:r w:rsidRPr="00C92F30">
        <w:rPr>
          <w:lang w:val="fr-FR"/>
        </w:rPr>
        <w:t>nève, Slatkine reprints, 2003.</w:t>
      </w:r>
    </w:p>
  </w:footnote>
  <w:footnote w:id="528">
    <w:p w:rsidR="004C50DC" w:rsidRDefault="004C50DC">
      <w:pPr>
        <w:pStyle w:val="Notedebasdepage"/>
      </w:pPr>
      <w:r>
        <w:rPr>
          <w:rStyle w:val="Appelnotedebasdep"/>
        </w:rPr>
        <w:footnoteRef/>
      </w:r>
      <w:r>
        <w:t xml:space="preserve"> </w:t>
      </w:r>
      <w:r>
        <w:tab/>
      </w:r>
      <w:r w:rsidRPr="00C92F30">
        <w:t xml:space="preserve">Voir Berrou et Pompilus, op. cit., « Introduction au tome 3 », p. 11. </w:t>
      </w:r>
    </w:p>
  </w:footnote>
  <w:footnote w:id="529">
    <w:p w:rsidR="004C50DC" w:rsidRDefault="004C50DC">
      <w:pPr>
        <w:pStyle w:val="Notedebasdepage"/>
      </w:pPr>
      <w:r>
        <w:rPr>
          <w:rStyle w:val="Appelnotedebasdep"/>
        </w:rPr>
        <w:footnoteRef/>
      </w:r>
      <w:r>
        <w:t xml:space="preserve"> </w:t>
      </w:r>
      <w:r>
        <w:tab/>
      </w:r>
      <w:r w:rsidRPr="00C92F30">
        <w:rPr>
          <w:lang w:val="fr-FR"/>
        </w:rPr>
        <w:t xml:space="preserve">Christophe Philippe Charles, </w:t>
      </w:r>
      <w:r w:rsidRPr="00C92F30">
        <w:rPr>
          <w:i/>
          <w:lang w:val="fr-FR"/>
        </w:rPr>
        <w:t>Conversations avec Émile Roumer et Franck</w:t>
      </w:r>
      <w:r w:rsidRPr="00C92F30">
        <w:rPr>
          <w:i/>
          <w:lang w:val="fr-FR"/>
        </w:rPr>
        <w:t>é</w:t>
      </w:r>
      <w:r w:rsidRPr="00C92F30">
        <w:rPr>
          <w:i/>
          <w:lang w:val="fr-FR"/>
        </w:rPr>
        <w:t>tienne</w:t>
      </w:r>
      <w:r w:rsidRPr="00C92F30">
        <w:rPr>
          <w:lang w:val="fr-FR"/>
        </w:rPr>
        <w:t xml:space="preserve">, Port-au-Prince, Choucoune, 2012, cité par Lucmane Vieux, « Price-Mars expulsé de l’indigénisme », </w:t>
      </w:r>
      <w:r w:rsidRPr="00C92F30">
        <w:rPr>
          <w:i/>
          <w:lang w:val="fr-FR"/>
        </w:rPr>
        <w:t>Le Nouvelliste</w:t>
      </w:r>
      <w:r w:rsidRPr="00C92F30">
        <w:rPr>
          <w:lang w:val="fr-FR"/>
        </w:rPr>
        <w:t>, 24 février 2012, en l</w:t>
      </w:r>
      <w:r w:rsidRPr="00C92F30">
        <w:rPr>
          <w:lang w:val="fr-FR"/>
        </w:rPr>
        <w:t>i</w:t>
      </w:r>
      <w:r w:rsidRPr="00C92F30">
        <w:rPr>
          <w:lang w:val="fr-FR"/>
        </w:rPr>
        <w:t>gne,</w:t>
      </w:r>
      <w:hyperlink r:id="rId82" w:history="1">
        <w:r w:rsidRPr="00C92F30">
          <w:rPr>
            <w:rStyle w:val="Lienhypertexte"/>
            <w:lang w:val="fr-FR"/>
          </w:rPr>
          <w:t>http://lenouvelliste.com/lenouvelliste/article/102799/Price-Mars-expulse-de-lindigenisme</w:t>
        </w:r>
      </w:hyperlink>
      <w:r w:rsidRPr="00C92F30">
        <w:rPr>
          <w:lang w:val="fr-FR"/>
        </w:rPr>
        <w:t xml:space="preserve">, consulté le 26 décembre 2012. </w:t>
      </w:r>
    </w:p>
  </w:footnote>
  <w:footnote w:id="530">
    <w:p w:rsidR="004C50DC" w:rsidRDefault="004C50DC">
      <w:pPr>
        <w:pStyle w:val="Notedebasdepage"/>
      </w:pPr>
      <w:r>
        <w:rPr>
          <w:rStyle w:val="Appelnotedebasdep"/>
        </w:rPr>
        <w:footnoteRef/>
      </w:r>
      <w:r>
        <w:t xml:space="preserve"> </w:t>
      </w:r>
      <w:r>
        <w:tab/>
      </w:r>
      <w:r w:rsidRPr="003B531C">
        <w:rPr>
          <w:i/>
        </w:rPr>
        <w:t>Ibid</w:t>
      </w:r>
      <w:r w:rsidRPr="00C92F30">
        <w:t>.</w:t>
      </w:r>
    </w:p>
  </w:footnote>
  <w:footnote w:id="531">
    <w:p w:rsidR="004C50DC" w:rsidRDefault="004C50DC">
      <w:pPr>
        <w:pStyle w:val="Notedebasdepage"/>
      </w:pPr>
      <w:r>
        <w:rPr>
          <w:rStyle w:val="Appelnotedebasdep"/>
        </w:rPr>
        <w:footnoteRef/>
      </w:r>
      <w:r>
        <w:t xml:space="preserve"> </w:t>
      </w:r>
      <w:r>
        <w:tab/>
      </w:r>
      <w:r w:rsidRPr="00C92F30">
        <w:t>David Nicholls, « Idéologie et mouvements politiques en Haïti, 1915-1946 », dans Marc Ferro</w:t>
      </w:r>
      <w:r w:rsidRPr="00C92F30">
        <w:rPr>
          <w:i/>
        </w:rPr>
        <w:t>, Le livre noir du colonialisme. XVI</w:t>
      </w:r>
      <w:r w:rsidRPr="00C92F30">
        <w:rPr>
          <w:i/>
          <w:vertAlign w:val="superscript"/>
        </w:rPr>
        <w:t>e</w:t>
      </w:r>
      <w:r w:rsidRPr="00C92F30">
        <w:rPr>
          <w:i/>
        </w:rPr>
        <w:t>-XXI</w:t>
      </w:r>
      <w:r w:rsidRPr="00C92F30">
        <w:rPr>
          <w:i/>
          <w:vertAlign w:val="superscript"/>
        </w:rPr>
        <w:t>e</w:t>
      </w:r>
      <w:r w:rsidRPr="00C92F30">
        <w:rPr>
          <w:i/>
        </w:rPr>
        <w:t xml:space="preserve"> siècle : de l’extermination à la  repentance, </w:t>
      </w:r>
      <w:r w:rsidRPr="00C92F30">
        <w:t>Paris, Hachette, 2004, p. 304.</w:t>
      </w:r>
    </w:p>
  </w:footnote>
  <w:footnote w:id="532">
    <w:p w:rsidR="004C50DC" w:rsidRPr="00C92F30" w:rsidRDefault="004C50DC" w:rsidP="004C50DC">
      <w:pPr>
        <w:pStyle w:val="Notedebasdepage"/>
      </w:pPr>
      <w:r w:rsidRPr="003B531C">
        <w:rPr>
          <w:rStyle w:val="Appelnotedebasdep"/>
        </w:rPr>
        <w:footnoteRef/>
      </w:r>
      <w:r>
        <w:tab/>
      </w:r>
      <w:r w:rsidRPr="00C92F30">
        <w:t xml:space="preserve">Lire la préface de Jean Price-Mars, </w:t>
      </w:r>
      <w:r w:rsidRPr="00C92F30">
        <w:rPr>
          <w:i/>
        </w:rPr>
        <w:t xml:space="preserve">Ainsi parla l’c, </w:t>
      </w:r>
      <w:r w:rsidRPr="00C92F30">
        <w:t>New York, Parapsychol</w:t>
      </w:r>
      <w:r w:rsidRPr="00C92F30">
        <w:t>o</w:t>
      </w:r>
      <w:r w:rsidRPr="00C92F30">
        <w:t>gy Foundation Inc.</w:t>
      </w:r>
      <w:r w:rsidRPr="00C92F30">
        <w:rPr>
          <w:i/>
        </w:rPr>
        <w:t xml:space="preserve">, </w:t>
      </w:r>
      <w:r w:rsidRPr="00C92F30">
        <w:t xml:space="preserve">1928, en ligne, </w:t>
      </w:r>
      <w:r>
        <w:br/>
      </w:r>
      <w:hyperlink r:id="rId83" w:history="1">
        <w:r w:rsidRPr="00C92F30">
          <w:rPr>
            <w:rStyle w:val="Lienhypertexte"/>
            <w:color w:val="auto"/>
          </w:rPr>
          <w:t>http://classiques.uqac.ca/classiques/price_mars_jean/ainsi_parla_oncle/ainsi_parla_oncle_preface.html</w:t>
        </w:r>
      </w:hyperlink>
      <w:r w:rsidRPr="00C92F30">
        <w:t>, consulté le 13 juillet 2013.</w:t>
      </w:r>
    </w:p>
  </w:footnote>
  <w:footnote w:id="533">
    <w:p w:rsidR="004C50DC" w:rsidRDefault="004C50DC">
      <w:pPr>
        <w:pStyle w:val="Notedebasdepage"/>
      </w:pPr>
      <w:r>
        <w:rPr>
          <w:rStyle w:val="Appelnotedebasdep"/>
        </w:rPr>
        <w:footnoteRef/>
      </w:r>
      <w:r>
        <w:t xml:space="preserve"> </w:t>
      </w:r>
      <w:r>
        <w:tab/>
      </w:r>
      <w:r w:rsidRPr="00C92F30">
        <w:rPr>
          <w:lang w:val="fr-FR"/>
        </w:rPr>
        <w:t>Anonyme, « </w:t>
      </w:r>
      <w:r w:rsidRPr="00C92F30">
        <w:rPr>
          <w:i/>
          <w:lang w:val="fr-FR"/>
        </w:rPr>
        <w:t>Ainsi parla l’oncle</w:t>
      </w:r>
      <w:r w:rsidRPr="00C92F30">
        <w:rPr>
          <w:lang w:val="fr-FR"/>
        </w:rPr>
        <w:t xml:space="preserve"> du Dr. Price-Mars IV », dans </w:t>
      </w:r>
      <w:r w:rsidRPr="00C92F30">
        <w:rPr>
          <w:i/>
          <w:lang w:val="fr-FR"/>
        </w:rPr>
        <w:t>Le Matin,</w:t>
      </w:r>
      <w:r w:rsidRPr="00C92F30">
        <w:rPr>
          <w:lang w:val="fr-FR"/>
        </w:rPr>
        <w:t xml:space="preserve"> 22</w:t>
      </w:r>
      <w:r w:rsidRPr="00C92F30">
        <w:rPr>
          <w:vertAlign w:val="superscript"/>
          <w:lang w:val="fr-FR"/>
        </w:rPr>
        <w:t xml:space="preserve">e </w:t>
      </w:r>
      <w:r w:rsidRPr="00C92F30">
        <w:rPr>
          <w:lang w:val="fr-FR"/>
        </w:rPr>
        <w:t>année, n</w:t>
      </w:r>
      <w:r w:rsidRPr="00C92F30">
        <w:rPr>
          <w:vertAlign w:val="superscript"/>
          <w:lang w:val="fr-FR"/>
        </w:rPr>
        <w:t>o</w:t>
      </w:r>
      <w:r w:rsidRPr="00C92F30">
        <w:rPr>
          <w:lang w:val="fr-FR"/>
        </w:rPr>
        <w:t> 6548, lundi 19 novembre 1928.</w:t>
      </w:r>
    </w:p>
  </w:footnote>
  <w:footnote w:id="534">
    <w:p w:rsidR="004C50DC" w:rsidRDefault="004C50DC">
      <w:pPr>
        <w:pStyle w:val="Notedebasdepage"/>
      </w:pPr>
      <w:r>
        <w:rPr>
          <w:rStyle w:val="Appelnotedebasdep"/>
        </w:rPr>
        <w:footnoteRef/>
      </w:r>
      <w:r>
        <w:t xml:space="preserve"> </w:t>
      </w:r>
      <w:r>
        <w:tab/>
      </w:r>
      <w:r w:rsidRPr="00C92F30">
        <w:t>Voir Hénock Trouillot, « La pensée du docteur Jean Price-Mars », op. cit., p. 53.</w:t>
      </w:r>
    </w:p>
  </w:footnote>
  <w:footnote w:id="535">
    <w:p w:rsidR="004C50DC" w:rsidRPr="00C92F30" w:rsidRDefault="004C50DC" w:rsidP="004C50DC">
      <w:pPr>
        <w:pStyle w:val="Notedebasdepage"/>
      </w:pPr>
      <w:r w:rsidRPr="003B531C">
        <w:rPr>
          <w:rStyle w:val="Appelnotedebasdep"/>
        </w:rPr>
        <w:footnoteRef/>
      </w:r>
      <w:r>
        <w:tab/>
      </w:r>
      <w:r w:rsidRPr="00C92F30">
        <w:t xml:space="preserve">Jean Price-Mars, « Essai sur la littérature et les arts haïtiens de 1900 à 1957 », dans </w:t>
      </w:r>
      <w:hyperlink r:id="rId84" w:history="1">
        <w:r w:rsidRPr="00865DCE">
          <w:rPr>
            <w:rStyle w:val="Lienhypertexte"/>
            <w:i/>
          </w:rPr>
          <w:t>De Saint-Domingue à Haïti. Essai sur la culture, les arts et la littérature</w:t>
        </w:r>
      </w:hyperlink>
      <w:r w:rsidRPr="00C92F30">
        <w:rPr>
          <w:i/>
        </w:rPr>
        <w:t>,</w:t>
      </w:r>
      <w:r w:rsidRPr="00C92F30">
        <w:t xml:space="preserve"> Paris, Présence africaine, 1959, p. 98. Le mouvement indigéniste haïtien fa</w:t>
      </w:r>
      <w:r w:rsidRPr="00C92F30">
        <w:t>i</w:t>
      </w:r>
      <w:r w:rsidRPr="00C92F30">
        <w:t>sait l’éloge d’une Afrique à découvrir, et valorisait les attaches, les liens cult</w:t>
      </w:r>
      <w:r w:rsidRPr="00C92F30">
        <w:t>u</w:t>
      </w:r>
      <w:r w:rsidRPr="00C92F30">
        <w:t>rels entre Haïti et l’Afrique. Il précède la Négritude et l’inspire (voir Léon-François Hoffmann, op. cit. p. 45). Ce mouvement n’était pas une simple réa</w:t>
      </w:r>
      <w:r w:rsidRPr="00C92F30">
        <w:t>c</w:t>
      </w:r>
      <w:r w:rsidRPr="00C92F30">
        <w:t>tion littéraire face à l’occupation américaine et aux exactions de l’étranger, s</w:t>
      </w:r>
      <w:r w:rsidRPr="00C92F30">
        <w:t>e</w:t>
      </w:r>
      <w:r w:rsidRPr="00C92F30">
        <w:t>lon certains critiques. Ce fut aussi un vaste choix littéraire, politique, idéol</w:t>
      </w:r>
      <w:r w:rsidRPr="00C92F30">
        <w:t>o</w:t>
      </w:r>
      <w:r w:rsidRPr="00C92F30">
        <w:t>gique et humain, qui, par la voix de son initiateur, Jean Price-Mars, enjoignant les écrivains haïtiens de « cesser d’être des pasticheurs pour devenir des cré</w:t>
      </w:r>
      <w:r w:rsidRPr="00C92F30">
        <w:t>a</w:t>
      </w:r>
      <w:r w:rsidRPr="00C92F30">
        <w:t>teurs » tout en restant attachés aux racines africaines. Sur ce mouvement, né en 1915, s’édifiera en effet une littérature afro-haïtienne aux accents de révo</w:t>
      </w:r>
      <w:r w:rsidRPr="00C92F30">
        <w:t>l</w:t>
      </w:r>
      <w:r w:rsidRPr="00C92F30">
        <w:t>te et bouillonnant d’espoir ; voir Jean Max Saint Fleur, « Jean F. Brierre, po</w:t>
      </w:r>
      <w:r w:rsidRPr="00C92F30">
        <w:t>è</w:t>
      </w:r>
      <w:r w:rsidRPr="00C92F30">
        <w:t>te humaniste », en ligne,</w:t>
      </w:r>
      <w:r>
        <w:br/>
      </w:r>
      <w:hyperlink r:id="rId85" w:history="1">
        <w:r w:rsidRPr="00C92F30">
          <w:t>http://lenouvelliste.com/lenouvelliste/article/73917/Jean-F-Brierre-poete-humaniste</w:t>
        </w:r>
      </w:hyperlink>
      <w:r w:rsidRPr="00C92F30">
        <w:t>, 11 septembre 2009, consulté le 5 octobre 2012.</w:t>
      </w:r>
    </w:p>
  </w:footnote>
  <w:footnote w:id="536">
    <w:p w:rsidR="004C50DC" w:rsidRDefault="004C50DC">
      <w:pPr>
        <w:pStyle w:val="Notedebasdepage"/>
      </w:pPr>
      <w:r>
        <w:rPr>
          <w:rStyle w:val="Appelnotedebasdep"/>
        </w:rPr>
        <w:footnoteRef/>
      </w:r>
      <w:r>
        <w:t xml:space="preserve"> </w:t>
      </w:r>
      <w:r>
        <w:tab/>
      </w:r>
      <w:r w:rsidRPr="00C92F30">
        <w:rPr>
          <w:lang w:val="fr-FR"/>
        </w:rPr>
        <w:t xml:space="preserve">Christophe Philippe Charlescité par Lucmane Vieux, op. cit. </w:t>
      </w:r>
    </w:p>
  </w:footnote>
  <w:footnote w:id="537">
    <w:p w:rsidR="004C50DC" w:rsidRDefault="004C50DC">
      <w:pPr>
        <w:pStyle w:val="Notedebasdepage"/>
      </w:pPr>
      <w:r>
        <w:rPr>
          <w:rStyle w:val="Appelnotedebasdep"/>
        </w:rPr>
        <w:footnoteRef/>
      </w:r>
      <w:r>
        <w:t xml:space="preserve"> </w:t>
      </w:r>
      <w:r>
        <w:tab/>
      </w:r>
      <w:r w:rsidRPr="00C92F30">
        <w:t>Michel-Rolph Trouillot cité par Carlo Avierl Celius, « La création plastique et le tournant ethnologique en Haïti », op. cit.</w:t>
      </w:r>
    </w:p>
  </w:footnote>
  <w:footnote w:id="538">
    <w:p w:rsidR="004C50DC" w:rsidRDefault="004C50DC">
      <w:pPr>
        <w:pStyle w:val="Notedebasdepage"/>
      </w:pPr>
      <w:r>
        <w:rPr>
          <w:rStyle w:val="Appelnotedebasdep"/>
        </w:rPr>
        <w:footnoteRef/>
      </w:r>
      <w:r>
        <w:t xml:space="preserve"> </w:t>
      </w:r>
      <w:r>
        <w:tab/>
      </w:r>
      <w:r w:rsidRPr="00C92F30">
        <w:t>« La France est la capitale des peuples. Et Haïti est la France noire » ; cette expression de Louis Joseph Janvier est rapportée par Léon François Hof</w:t>
      </w:r>
      <w:r w:rsidRPr="00C92F30">
        <w:t>f</w:t>
      </w:r>
      <w:r w:rsidRPr="00C92F30">
        <w:t xml:space="preserve">mann, </w:t>
      </w:r>
      <w:r w:rsidRPr="00C92F30">
        <w:rPr>
          <w:i/>
        </w:rPr>
        <w:t>Haïti: couleurs, croyances créole</w:t>
      </w:r>
      <w:r w:rsidRPr="00C92F30">
        <w:t>, op. cit., p. 59.</w:t>
      </w:r>
    </w:p>
  </w:footnote>
  <w:footnote w:id="539">
    <w:p w:rsidR="004C50DC" w:rsidRDefault="004C50DC">
      <w:pPr>
        <w:pStyle w:val="Notedebasdepage"/>
      </w:pPr>
      <w:r>
        <w:rPr>
          <w:rStyle w:val="Appelnotedebasdep"/>
        </w:rPr>
        <w:footnoteRef/>
      </w:r>
      <w:r>
        <w:t xml:space="preserve"> </w:t>
      </w:r>
      <w:r>
        <w:tab/>
      </w:r>
      <w:r w:rsidRPr="00C92F30">
        <w:rPr>
          <w:lang w:val="fr-FR"/>
        </w:rPr>
        <w:t xml:space="preserve">Jhon Picard Byron, </w:t>
      </w:r>
      <w:r w:rsidRPr="00C92F30">
        <w:rPr>
          <w:i/>
          <w:lang w:val="fr-FR"/>
        </w:rPr>
        <w:t xml:space="preserve">L’engagement ethnologique de Jean Price-Mars et son engagement politique, </w:t>
      </w:r>
      <w:r w:rsidRPr="00C92F30">
        <w:rPr>
          <w:lang w:val="fr-FR"/>
        </w:rPr>
        <w:t>thèse de doctorat en Ethnologie et patrimoine, Dépa</w:t>
      </w:r>
      <w:r w:rsidRPr="00C92F30">
        <w:rPr>
          <w:lang w:val="fr-FR"/>
        </w:rPr>
        <w:t>r</w:t>
      </w:r>
      <w:r w:rsidRPr="00C92F30">
        <w:rPr>
          <w:lang w:val="fr-FR"/>
        </w:rPr>
        <w:t>tement d’histoire, Université Laval, Québec, 2012, p. 69.</w:t>
      </w:r>
    </w:p>
  </w:footnote>
  <w:footnote w:id="540">
    <w:p w:rsidR="004C50DC" w:rsidRDefault="004C50DC">
      <w:pPr>
        <w:pStyle w:val="Notedebasdepage"/>
      </w:pPr>
      <w:r>
        <w:rPr>
          <w:rStyle w:val="Appelnotedebasdep"/>
        </w:rPr>
        <w:footnoteRef/>
      </w:r>
      <w:r>
        <w:t xml:space="preserve"> </w:t>
      </w:r>
      <w:r>
        <w:tab/>
      </w:r>
      <w:r w:rsidRPr="00C92F30">
        <w:t>Hénock Trouillot, op. cit., p. 55.</w:t>
      </w:r>
    </w:p>
  </w:footnote>
  <w:footnote w:id="541">
    <w:p w:rsidR="004C50DC" w:rsidRDefault="004C50DC">
      <w:pPr>
        <w:pStyle w:val="Notedebasdepage"/>
      </w:pPr>
      <w:r>
        <w:rPr>
          <w:rStyle w:val="Appelnotedebasdep"/>
        </w:rPr>
        <w:footnoteRef/>
      </w:r>
      <w:r>
        <w:t xml:space="preserve"> </w:t>
      </w:r>
      <w:r>
        <w:tab/>
      </w:r>
      <w:r w:rsidRPr="00C92F30">
        <w:rPr>
          <w:rStyle w:val="bodytextlarge"/>
          <w:iCs/>
        </w:rPr>
        <w:t>Le terme d’humiliations, employé ici, est peut-être significatif. Un homme hum</w:t>
      </w:r>
      <w:r w:rsidRPr="00C92F30">
        <w:rPr>
          <w:rStyle w:val="bodytextlarge"/>
          <w:iCs/>
        </w:rPr>
        <w:t>i</w:t>
      </w:r>
      <w:r w:rsidRPr="00C92F30">
        <w:rPr>
          <w:rStyle w:val="bodytextlarge"/>
          <w:iCs/>
        </w:rPr>
        <w:t>lié est aveuglé. Il ne voit que les torts de celui qui l’a humilié, non pas les siens. C’est pour dire que les écrivains ne cherchaient pas les causes i</w:t>
      </w:r>
      <w:r w:rsidRPr="00C92F30">
        <w:rPr>
          <w:rStyle w:val="bodytextlarge"/>
          <w:iCs/>
        </w:rPr>
        <w:t>n</w:t>
      </w:r>
      <w:r w:rsidRPr="00C92F30">
        <w:rPr>
          <w:rStyle w:val="bodytextlarge"/>
          <w:iCs/>
        </w:rPr>
        <w:t>ternes de ces humiliations. Ils ne rendaient pas responsables les hommes p</w:t>
      </w:r>
      <w:r w:rsidRPr="00C92F30">
        <w:rPr>
          <w:rStyle w:val="bodytextlarge"/>
          <w:iCs/>
        </w:rPr>
        <w:t>o</w:t>
      </w:r>
      <w:r w:rsidRPr="00C92F30">
        <w:rPr>
          <w:rStyle w:val="bodytextlarge"/>
          <w:iCs/>
        </w:rPr>
        <w:t xml:space="preserve">litiques haïtiens qui  contribuaient largement à cette humiliation. </w:t>
      </w:r>
    </w:p>
  </w:footnote>
  <w:footnote w:id="542">
    <w:p w:rsidR="004C50DC" w:rsidRDefault="004C50DC">
      <w:pPr>
        <w:pStyle w:val="Notedebasdepage"/>
      </w:pPr>
      <w:r>
        <w:rPr>
          <w:rStyle w:val="Appelnotedebasdep"/>
        </w:rPr>
        <w:footnoteRef/>
      </w:r>
      <w:r>
        <w:t xml:space="preserve"> </w:t>
      </w:r>
      <w:r>
        <w:tab/>
      </w:r>
      <w:r w:rsidRPr="00C92F30">
        <w:rPr>
          <w:lang w:val="fr-FR"/>
        </w:rPr>
        <w:t xml:space="preserve">Voir Maurice A. Lubin, </w:t>
      </w:r>
      <w:r w:rsidRPr="00C92F30">
        <w:rPr>
          <w:i/>
          <w:lang w:val="fr-FR"/>
        </w:rPr>
        <w:t>L</w:t>
      </w:r>
      <w:r w:rsidRPr="00C92F30">
        <w:rPr>
          <w:lang w:val="fr-FR"/>
        </w:rPr>
        <w:t>’</w:t>
      </w:r>
      <w:r w:rsidRPr="00C92F30">
        <w:rPr>
          <w:i/>
          <w:lang w:val="fr-FR"/>
        </w:rPr>
        <w:t>Afrique dans la poésie haïtienne</w:t>
      </w:r>
      <w:r w:rsidRPr="00C92F30">
        <w:rPr>
          <w:lang w:val="fr-FR"/>
        </w:rPr>
        <w:t>, Port-au-Prince, Panorama, 1965, p</w:t>
      </w:r>
      <w:r>
        <w:rPr>
          <w:lang w:val="fr-FR"/>
        </w:rPr>
        <w:t>p</w:t>
      </w:r>
      <w:r w:rsidRPr="00C92F30">
        <w:rPr>
          <w:lang w:val="fr-FR"/>
        </w:rPr>
        <w:t>. 34-35.</w:t>
      </w:r>
    </w:p>
  </w:footnote>
  <w:footnote w:id="543">
    <w:p w:rsidR="004C50DC" w:rsidRDefault="004C50DC">
      <w:pPr>
        <w:pStyle w:val="Notedebasdepage"/>
      </w:pPr>
      <w:r>
        <w:rPr>
          <w:rStyle w:val="Appelnotedebasdep"/>
        </w:rPr>
        <w:footnoteRef/>
      </w:r>
      <w:r>
        <w:t xml:space="preserve"> </w:t>
      </w:r>
      <w:r>
        <w:tab/>
      </w:r>
      <w:r w:rsidRPr="00C92F30">
        <w:rPr>
          <w:rFonts w:eastAsia="Calibri"/>
          <w:lang w:val="fr-FR" w:eastAsia="fr-FR"/>
        </w:rPr>
        <w:t>On peut le voir dans l’épitaphe de Manuel : « Ci-gît Manuel Jan-Josef ». S</w:t>
      </w:r>
      <w:r w:rsidRPr="00C92F30">
        <w:rPr>
          <w:rFonts w:eastAsia="Calibri"/>
          <w:lang w:val="fr-FR" w:eastAsia="fr-FR"/>
        </w:rPr>
        <w:t>e</w:t>
      </w:r>
      <w:r w:rsidRPr="00C92F30">
        <w:rPr>
          <w:rFonts w:eastAsia="Calibri"/>
          <w:lang w:val="fr-FR" w:eastAsia="fr-FR"/>
        </w:rPr>
        <w:t>lon Jean Bernabé, le personnage Antoine le Simidor est le seul qui incarne ce métissage linguistique ; voir Jean Bernabé, « Contribution à l’étude de la d</w:t>
      </w:r>
      <w:r w:rsidRPr="00C92F30">
        <w:rPr>
          <w:rFonts w:eastAsia="Calibri"/>
          <w:lang w:val="fr-FR" w:eastAsia="fr-FR"/>
        </w:rPr>
        <w:t>i</w:t>
      </w:r>
      <w:r w:rsidRPr="00C92F30">
        <w:rPr>
          <w:rFonts w:eastAsia="Calibri"/>
          <w:lang w:val="fr-FR" w:eastAsia="fr-FR"/>
        </w:rPr>
        <w:t xml:space="preserve">glossie littéraire créole-française : le cas de </w:t>
      </w:r>
      <w:r w:rsidRPr="00C92F30">
        <w:rPr>
          <w:rFonts w:eastAsia="Calibri"/>
          <w:i/>
          <w:lang w:val="fr-FR" w:eastAsia="fr-FR"/>
        </w:rPr>
        <w:t>Gouverneurs de la rosée</w:t>
      </w:r>
      <w:r w:rsidRPr="00C92F30">
        <w:rPr>
          <w:rFonts w:eastAsia="Calibri"/>
          <w:lang w:val="fr-FR" w:eastAsia="fr-FR"/>
        </w:rPr>
        <w:t xml:space="preserve"> », </w:t>
      </w:r>
      <w:r w:rsidRPr="00C92F30">
        <w:rPr>
          <w:rFonts w:eastAsia="Calibri"/>
          <w:i/>
          <w:lang w:val="fr-FR" w:eastAsia="fr-FR"/>
        </w:rPr>
        <w:t>Textes, études et documents</w:t>
      </w:r>
      <w:r w:rsidRPr="00C92F30">
        <w:rPr>
          <w:rFonts w:eastAsia="Calibri"/>
          <w:lang w:val="fr-FR" w:eastAsia="fr-FR"/>
        </w:rPr>
        <w:t>, n</w:t>
      </w:r>
      <w:r w:rsidRPr="00C92F30">
        <w:rPr>
          <w:rFonts w:eastAsia="Calibri"/>
          <w:vertAlign w:val="superscript"/>
          <w:lang w:val="fr-FR" w:eastAsia="fr-FR"/>
        </w:rPr>
        <w:t>o</w:t>
      </w:r>
      <w:r w:rsidRPr="00C92F30">
        <w:rPr>
          <w:rFonts w:eastAsia="Calibri"/>
          <w:lang w:val="fr-FR" w:eastAsia="fr-FR"/>
        </w:rPr>
        <w:t> 1, mai 1978, Centre universitaire Antilles-Guyane, p. 16, cité par Maximilien Laroche, « La diglossie littéraire dans “Gouve</w:t>
      </w:r>
      <w:r w:rsidRPr="00C92F30">
        <w:rPr>
          <w:rFonts w:eastAsia="Calibri"/>
          <w:lang w:val="fr-FR" w:eastAsia="fr-FR"/>
        </w:rPr>
        <w:t>r</w:t>
      </w:r>
      <w:r w:rsidRPr="00C92F30">
        <w:rPr>
          <w:rFonts w:eastAsia="Calibri"/>
          <w:lang w:val="fr-FR" w:eastAsia="fr-FR"/>
        </w:rPr>
        <w:t xml:space="preserve">neurs de la rosée” : termes de couleur et conflit de langues », </w:t>
      </w:r>
      <w:r w:rsidRPr="00C92F30">
        <w:rPr>
          <w:rFonts w:eastAsia="Calibri"/>
          <w:i/>
          <w:lang w:val="fr-FR" w:eastAsia="fr-FR"/>
        </w:rPr>
        <w:t>Études littéra</w:t>
      </w:r>
      <w:r w:rsidRPr="00C92F30">
        <w:rPr>
          <w:rFonts w:eastAsia="Calibri"/>
          <w:i/>
          <w:lang w:val="fr-FR" w:eastAsia="fr-FR"/>
        </w:rPr>
        <w:t>i</w:t>
      </w:r>
      <w:r w:rsidRPr="00C92F30">
        <w:rPr>
          <w:rFonts w:eastAsia="Calibri"/>
          <w:i/>
          <w:lang w:val="fr-FR" w:eastAsia="fr-FR"/>
        </w:rPr>
        <w:t>res</w:t>
      </w:r>
      <w:r w:rsidRPr="00C92F30">
        <w:rPr>
          <w:rFonts w:eastAsia="Calibri"/>
          <w:lang w:val="fr-FR" w:eastAsia="fr-FR"/>
        </w:rPr>
        <w:t>, vol. 13, n</w:t>
      </w:r>
      <w:r w:rsidRPr="00C92F30">
        <w:rPr>
          <w:rFonts w:eastAsia="Calibri"/>
          <w:vertAlign w:val="superscript"/>
          <w:lang w:val="fr-FR" w:eastAsia="fr-FR"/>
        </w:rPr>
        <w:t>o</w:t>
      </w:r>
      <w:r w:rsidRPr="00C92F30">
        <w:rPr>
          <w:rFonts w:eastAsia="Calibri"/>
          <w:lang w:val="fr-FR" w:eastAsia="fr-FR"/>
        </w:rPr>
        <w:t> 2, 1980, p. 287</w:t>
      </w:r>
      <w:r w:rsidRPr="00C92F30">
        <w:rPr>
          <w:lang w:val="fr-FR"/>
        </w:rPr>
        <w:t xml:space="preserve">, en ligne, </w:t>
      </w:r>
      <w:hyperlink r:id="rId86" w:history="1">
        <w:r w:rsidRPr="00C92F30">
          <w:rPr>
            <w:rStyle w:val="Lienhypertexte"/>
            <w:rFonts w:eastAsia="Calibri"/>
            <w:lang w:val="fr-FR" w:eastAsia="fr-FR"/>
          </w:rPr>
          <w:t>http://id.erudit.org/iderudit/500516ar</w:t>
        </w:r>
      </w:hyperlink>
      <w:r w:rsidRPr="00C92F30">
        <w:rPr>
          <w:rFonts w:eastAsia="Calibri"/>
          <w:lang w:val="fr-FR" w:eastAsia="fr-FR"/>
        </w:rPr>
        <w:t>, consulté le 16 novembre 2015.</w:t>
      </w:r>
    </w:p>
  </w:footnote>
  <w:footnote w:id="544">
    <w:p w:rsidR="004C50DC" w:rsidRDefault="004C50DC">
      <w:pPr>
        <w:pStyle w:val="Notedebasdepage"/>
      </w:pPr>
      <w:r>
        <w:rPr>
          <w:rStyle w:val="Appelnotedebasdep"/>
        </w:rPr>
        <w:footnoteRef/>
      </w:r>
      <w:r>
        <w:t xml:space="preserve"> </w:t>
      </w:r>
      <w:r>
        <w:tab/>
      </w:r>
      <w:r w:rsidRPr="00C92F30">
        <w:rPr>
          <w:lang w:val="fr-FR"/>
        </w:rPr>
        <w:t xml:space="preserve">Jacques Roumain, </w:t>
      </w:r>
      <w:r w:rsidRPr="00C92F30">
        <w:rPr>
          <w:i/>
          <w:lang w:val="fr-FR"/>
        </w:rPr>
        <w:t>Gouverneurs de la rosée</w:t>
      </w:r>
      <w:r w:rsidRPr="00C92F30">
        <w:rPr>
          <w:lang w:val="fr-FR"/>
        </w:rPr>
        <w:t>, Port-au-Prince, Imprimerie de l’État, 1944, p. 2. À ce propos, Léon-François Hoffmann précise que : « Bienaimé aurait pu vouloir dire que l’homme en général est une pauvre cré</w:t>
      </w:r>
      <w:r w:rsidRPr="00C92F30">
        <w:rPr>
          <w:lang w:val="fr-FR"/>
        </w:rPr>
        <w:t>a</w:t>
      </w:r>
      <w:r w:rsidRPr="00C92F30">
        <w:rPr>
          <w:lang w:val="fr-FR"/>
        </w:rPr>
        <w:t xml:space="preserve">ture (dans le sens philosophique), ou bien que c’est le nègre en particulier qui est une pauvre créature (dans une société dominée par les mulâtres de la ville) » ; voir Léon-François Hoffmann, </w:t>
      </w:r>
      <w:r w:rsidRPr="00C92F30">
        <w:rPr>
          <w:lang w:val="fr-FR" w:eastAsia="fr-FR"/>
        </w:rPr>
        <w:t>« Complexité linguistique et rhétor</w:t>
      </w:r>
      <w:r w:rsidRPr="00C92F30">
        <w:rPr>
          <w:lang w:val="fr-FR" w:eastAsia="fr-FR"/>
        </w:rPr>
        <w:t>i</w:t>
      </w:r>
      <w:r w:rsidRPr="00C92F30">
        <w:rPr>
          <w:lang w:val="fr-FR" w:eastAsia="fr-FR"/>
        </w:rPr>
        <w:t xml:space="preserve">que dans </w:t>
      </w:r>
      <w:r w:rsidRPr="00C92F30">
        <w:rPr>
          <w:i/>
          <w:lang w:val="fr-FR" w:eastAsia="fr-FR"/>
        </w:rPr>
        <w:t>Gouve</w:t>
      </w:r>
      <w:r w:rsidRPr="00C92F30">
        <w:rPr>
          <w:i/>
          <w:lang w:val="fr-FR" w:eastAsia="fr-FR"/>
        </w:rPr>
        <w:t>r</w:t>
      </w:r>
      <w:r w:rsidRPr="00C92F30">
        <w:rPr>
          <w:i/>
          <w:lang w:val="fr-FR" w:eastAsia="fr-FR"/>
        </w:rPr>
        <w:t xml:space="preserve">neurs de la rosée </w:t>
      </w:r>
      <w:r w:rsidRPr="00C92F30">
        <w:rPr>
          <w:lang w:val="fr-FR" w:eastAsia="fr-FR"/>
        </w:rPr>
        <w:t xml:space="preserve">de Jacques Roumain », </w:t>
      </w:r>
      <w:r w:rsidRPr="00C92F30">
        <w:rPr>
          <w:i/>
          <w:lang w:val="fr-FR" w:eastAsia="fr-FR"/>
        </w:rPr>
        <w:t>Présence africaine</w:t>
      </w:r>
      <w:r w:rsidRPr="00C92F30">
        <w:rPr>
          <w:lang w:val="fr-FR" w:eastAsia="fr-FR"/>
        </w:rPr>
        <w:t>, n</w:t>
      </w:r>
      <w:r w:rsidRPr="00C92F30">
        <w:rPr>
          <w:vertAlign w:val="superscript"/>
          <w:lang w:val="fr-FR" w:eastAsia="fr-FR"/>
        </w:rPr>
        <w:t>o</w:t>
      </w:r>
      <w:r w:rsidRPr="00C92F30">
        <w:rPr>
          <w:lang w:val="fr-FR" w:eastAsia="fr-FR"/>
        </w:rPr>
        <w:t> 98, 2</w:t>
      </w:r>
      <w:r w:rsidRPr="00C92F30">
        <w:rPr>
          <w:vertAlign w:val="superscript"/>
          <w:lang w:val="fr-FR" w:eastAsia="fr-FR"/>
        </w:rPr>
        <w:t>e</w:t>
      </w:r>
      <w:r w:rsidRPr="00C92F30">
        <w:rPr>
          <w:lang w:val="fr-FR" w:eastAsia="fr-FR"/>
        </w:rPr>
        <w:t xml:space="preserve"> trimestre 1976, p. 156</w:t>
      </w:r>
      <w:r w:rsidRPr="00C92F30">
        <w:rPr>
          <w:lang w:val="fr-FR"/>
        </w:rPr>
        <w:t>, en l</w:t>
      </w:r>
      <w:r w:rsidRPr="00C92F30">
        <w:rPr>
          <w:lang w:val="fr-FR"/>
        </w:rPr>
        <w:t>i</w:t>
      </w:r>
      <w:r w:rsidRPr="00C92F30">
        <w:rPr>
          <w:lang w:val="fr-FR"/>
        </w:rPr>
        <w:t>gne,</w:t>
      </w:r>
      <w:r>
        <w:rPr>
          <w:lang w:val="fr-FR"/>
        </w:rPr>
        <w:t xml:space="preserve"> </w:t>
      </w:r>
      <w:r>
        <w:rPr>
          <w:lang w:val="fr-FR"/>
        </w:rPr>
        <w:br/>
      </w:r>
      <w:hyperlink r:id="rId87" w:anchor="_ftnref" w:history="1">
        <w:r w:rsidRPr="00C92F30">
          <w:rPr>
            <w:lang w:val="fr-FR" w:eastAsia="fr-FR"/>
          </w:rPr>
          <w:t>http://classiques.uqac.ca/contemporains/hoffmann_leon_francois/complexite_linguistique/complexite_linguistique_texte.html#_ftnref</w:t>
        </w:r>
      </w:hyperlink>
      <w:r w:rsidRPr="00C92F30">
        <w:rPr>
          <w:lang w:val="fr-FR"/>
        </w:rPr>
        <w:t>, consulté le 17 n</w:t>
      </w:r>
      <w:r w:rsidRPr="00C92F30">
        <w:rPr>
          <w:lang w:val="fr-FR"/>
        </w:rPr>
        <w:t>o</w:t>
      </w:r>
      <w:r w:rsidRPr="00C92F30">
        <w:rPr>
          <w:lang w:val="fr-FR"/>
        </w:rPr>
        <w:t xml:space="preserve">vembre 2015. Pour </w:t>
      </w:r>
      <w:r w:rsidRPr="00C92F30">
        <w:rPr>
          <w:rFonts w:eastAsia="Calibri"/>
          <w:lang w:val="fr-FR" w:eastAsia="fr-FR"/>
        </w:rPr>
        <w:t>Maximilien Laroche, « le nègre, en tant que créature, est l’homme abandonné » par un Créateur indifférent ; voir Maximilien Laroche, « La diglossie littéraire… », op. cit., p. 284.</w:t>
      </w:r>
    </w:p>
  </w:footnote>
  <w:footnote w:id="545">
    <w:p w:rsidR="004C50DC" w:rsidRDefault="004C50DC">
      <w:pPr>
        <w:pStyle w:val="Notedebasdepage"/>
      </w:pPr>
      <w:r>
        <w:rPr>
          <w:rStyle w:val="Appelnotedebasdep"/>
        </w:rPr>
        <w:footnoteRef/>
      </w:r>
      <w:r>
        <w:t xml:space="preserve"> </w:t>
      </w:r>
      <w:r>
        <w:tab/>
      </w:r>
      <w:r w:rsidRPr="00C92F30">
        <w:t xml:space="preserve">Darline Alexis, « Entre deux langues et deux approches didactiques », </w:t>
      </w:r>
      <w:r w:rsidRPr="00C92F30">
        <w:rPr>
          <w:i/>
        </w:rPr>
        <w:t>Revue internationale d’éducation de Sèvres</w:t>
      </w:r>
      <w:r w:rsidRPr="00C92F30">
        <w:t>, n</w:t>
      </w:r>
      <w:r w:rsidRPr="00C92F30">
        <w:rPr>
          <w:vertAlign w:val="superscript"/>
        </w:rPr>
        <w:t>o</w:t>
      </w:r>
      <w:r w:rsidRPr="00C92F30">
        <w:t> 61, 2012, pp. 71-80.</w:t>
      </w:r>
    </w:p>
  </w:footnote>
  <w:footnote w:id="546">
    <w:p w:rsidR="004C50DC" w:rsidRDefault="004C50DC">
      <w:pPr>
        <w:pStyle w:val="Notedebasdepage"/>
      </w:pPr>
      <w:r>
        <w:rPr>
          <w:rStyle w:val="Appelnotedebasdep"/>
        </w:rPr>
        <w:footnoteRef/>
      </w:r>
      <w:r>
        <w:t xml:space="preserve"> </w:t>
      </w:r>
      <w:r>
        <w:tab/>
      </w:r>
      <w:r w:rsidRPr="00C92F30">
        <w:rPr>
          <w:rFonts w:eastAsia="Arial Unicode MS" w:cs="Arial Unicode MS"/>
          <w:lang w:eastAsia="hi-IN" w:bidi="hi-IN"/>
        </w:rPr>
        <w:t xml:space="preserve">Jean-Claude Fignolé, </w:t>
      </w:r>
      <w:r w:rsidRPr="00C92F30">
        <w:rPr>
          <w:rFonts w:eastAsia="Arial Unicode MS" w:cs="Arial Unicode MS"/>
          <w:i/>
          <w:lang w:eastAsia="hi-IN" w:bidi="hi-IN"/>
        </w:rPr>
        <w:t>Aube tranquille</w:t>
      </w:r>
      <w:r w:rsidRPr="00C92F30">
        <w:rPr>
          <w:rFonts w:eastAsia="Arial Unicode MS" w:cs="Arial Unicode MS"/>
          <w:lang w:eastAsia="hi-IN" w:bidi="hi-IN"/>
        </w:rPr>
        <w:t>, Paris, Seuil, 1990 ; Fignolé est l’un des membres fondateurs du « Mouvement esthétique du spiralisme» en Haïti à la fin de la deuxième moitié du XXe siècle aux côtés de Frankétienne et de René Ph</w:t>
      </w:r>
      <w:r w:rsidRPr="00C92F30">
        <w:rPr>
          <w:rFonts w:eastAsia="Arial Unicode MS" w:cs="Arial Unicode MS"/>
          <w:lang w:eastAsia="hi-IN" w:bidi="hi-IN"/>
        </w:rPr>
        <w:t>i</w:t>
      </w:r>
      <w:r w:rsidRPr="00C92F30">
        <w:rPr>
          <w:rFonts w:eastAsia="Arial Unicode MS" w:cs="Arial Unicode MS"/>
          <w:lang w:eastAsia="hi-IN" w:bidi="hi-IN"/>
        </w:rPr>
        <w:t xml:space="preserve">loctète. </w:t>
      </w:r>
    </w:p>
  </w:footnote>
  <w:footnote w:id="547">
    <w:p w:rsidR="004C50DC" w:rsidRDefault="004C50DC">
      <w:pPr>
        <w:pStyle w:val="Notedebasdepage"/>
      </w:pPr>
      <w:r>
        <w:rPr>
          <w:rStyle w:val="Appelnotedebasdep"/>
        </w:rPr>
        <w:footnoteRef/>
      </w:r>
      <w:r>
        <w:t xml:space="preserve"> </w:t>
      </w:r>
      <w:r>
        <w:tab/>
      </w:r>
      <w:r w:rsidRPr="00C92F30">
        <w:t xml:space="preserve">Evelyne Trouillot, </w:t>
      </w:r>
      <w:r w:rsidRPr="00C92F30">
        <w:rPr>
          <w:i/>
        </w:rPr>
        <w:t>Rosalie l’infâme</w:t>
      </w:r>
      <w:r w:rsidRPr="00C92F30">
        <w:t xml:space="preserve">, Paris, Dapper, 2003. </w:t>
      </w:r>
    </w:p>
  </w:footnote>
  <w:footnote w:id="548">
    <w:p w:rsidR="004C50DC" w:rsidRDefault="004C50DC">
      <w:pPr>
        <w:pStyle w:val="Notedebasdepage"/>
      </w:pPr>
      <w:r>
        <w:rPr>
          <w:rStyle w:val="Appelnotedebasdep"/>
        </w:rPr>
        <w:footnoteRef/>
      </w:r>
      <w:r>
        <w:t xml:space="preserve"> </w:t>
      </w:r>
      <w:r>
        <w:tab/>
      </w:r>
      <w:r w:rsidRPr="00C92F30">
        <w:t>10 mai dans le cas de la France.</w:t>
      </w:r>
    </w:p>
  </w:footnote>
  <w:footnote w:id="549">
    <w:p w:rsidR="004C50DC" w:rsidRDefault="004C50DC">
      <w:pPr>
        <w:pStyle w:val="Notedebasdepage"/>
      </w:pPr>
      <w:r>
        <w:rPr>
          <w:rStyle w:val="Appelnotedebasdep"/>
        </w:rPr>
        <w:footnoteRef/>
      </w:r>
      <w:r>
        <w:t xml:space="preserve"> </w:t>
      </w:r>
      <w:r>
        <w:tab/>
      </w:r>
      <w:r w:rsidRPr="00C92F30">
        <w:t xml:space="preserve">Richard Price, </w:t>
      </w:r>
      <w:r w:rsidRPr="00C92F30">
        <w:rPr>
          <w:i/>
        </w:rPr>
        <w:t>Le bagnard et le colonel</w:t>
      </w:r>
      <w:r w:rsidRPr="00C92F30">
        <w:t>, Paris, PUF, 2000, cité par Jean-Luc Bonniol, « De la construction d’une mémoire historique aux figurations de la traite et de l’esclavage dans l’espace public antillais », dans Bonniol et Crive</w:t>
      </w:r>
      <w:r w:rsidRPr="00C92F30">
        <w:t>l</w:t>
      </w:r>
      <w:r w:rsidRPr="00C92F30">
        <w:t xml:space="preserve">lo (dir.), op. cit., </w:t>
      </w:r>
      <w:r>
        <w:t>p</w:t>
      </w:r>
      <w:r w:rsidRPr="00C92F30">
        <w:t>p. 263-284.</w:t>
      </w:r>
    </w:p>
  </w:footnote>
  <w:footnote w:id="550">
    <w:p w:rsidR="004C50DC" w:rsidRDefault="004C50DC">
      <w:pPr>
        <w:pStyle w:val="Notedebasdepage"/>
      </w:pPr>
      <w:r>
        <w:rPr>
          <w:rStyle w:val="Appelnotedebasdep"/>
        </w:rPr>
        <w:footnoteRef/>
      </w:r>
      <w:r>
        <w:t xml:space="preserve"> </w:t>
      </w:r>
      <w:r>
        <w:tab/>
      </w:r>
      <w:r w:rsidRPr="00C92F30">
        <w:t>Ana Lucia Araujo, « Enjeux politiques de la mémoire de l’esclavage dans l’Atlantique Sud. La reconstruction de la biographie de Francisco Félix So</w:t>
      </w:r>
      <w:r w:rsidRPr="00C92F30">
        <w:t>u</w:t>
      </w:r>
      <w:r w:rsidRPr="00C92F30">
        <w:t xml:space="preserve">za », en ligne, </w:t>
      </w:r>
      <w:hyperlink r:id="rId88" w:history="1">
        <w:r w:rsidRPr="00C92F30">
          <w:rPr>
            <w:rStyle w:val="Lienhypertexte"/>
            <w:color w:val="auto"/>
          </w:rPr>
          <w:t>http://www.analuciaaraujo.org/wp-content/uploads/2010/08/Araujo-Lusotopie.pdf</w:t>
        </w:r>
      </w:hyperlink>
      <w:r w:rsidRPr="00C92F30">
        <w:t>, p.107-131, consulté le 14 o</w:t>
      </w:r>
      <w:r w:rsidRPr="00C92F30">
        <w:t>c</w:t>
      </w:r>
      <w:r w:rsidRPr="00C92F30">
        <w:t>tobre 2014.</w:t>
      </w:r>
    </w:p>
  </w:footnote>
  <w:footnote w:id="551">
    <w:p w:rsidR="004C50DC" w:rsidRDefault="004C50DC">
      <w:pPr>
        <w:pStyle w:val="Notedebasdepage"/>
      </w:pPr>
      <w:r>
        <w:rPr>
          <w:rStyle w:val="Appelnotedebasdep"/>
        </w:rPr>
        <w:footnoteRef/>
      </w:r>
      <w:r>
        <w:t xml:space="preserve"> </w:t>
      </w:r>
      <w:r>
        <w:tab/>
      </w:r>
      <w:r w:rsidRPr="00C92F30">
        <w:t>François Duvalier rappelle les hauts faits de la lutte pour l’Indépendance ha</w:t>
      </w:r>
      <w:r w:rsidRPr="00C92F30">
        <w:t>ï</w:t>
      </w:r>
      <w:r w:rsidRPr="00C92F30">
        <w:t>tienne dans son serment au drapeau ; voir Annexe VIII.</w:t>
      </w:r>
    </w:p>
  </w:footnote>
  <w:footnote w:id="552">
    <w:p w:rsidR="004C50DC" w:rsidRDefault="004C50DC">
      <w:pPr>
        <w:pStyle w:val="Notedebasdepage"/>
      </w:pPr>
      <w:r>
        <w:rPr>
          <w:rStyle w:val="Appelnotedebasdep"/>
        </w:rPr>
        <w:footnoteRef/>
      </w:r>
      <w:r>
        <w:t xml:space="preserve"> </w:t>
      </w:r>
      <w:r>
        <w:tab/>
      </w:r>
      <w:r w:rsidRPr="00C92F30">
        <w:t>Toussaint Louverture est l’une des figures emblématiques de la Révolution ha</w:t>
      </w:r>
      <w:r w:rsidRPr="00C92F30">
        <w:t>ï</w:t>
      </w:r>
      <w:r w:rsidRPr="00C92F30">
        <w:t>tienne. Il a été trahi par la France, mis en captivité et est mort le 7 avril 1803 au fort de Joux, à La Cluse-et-Mijoux.</w:t>
      </w:r>
    </w:p>
  </w:footnote>
  <w:footnote w:id="553">
    <w:p w:rsidR="004C50DC" w:rsidRDefault="004C50DC">
      <w:pPr>
        <w:pStyle w:val="Notedebasdepage"/>
      </w:pPr>
      <w:r>
        <w:rPr>
          <w:rStyle w:val="Appelnotedebasdep"/>
        </w:rPr>
        <w:footnoteRef/>
      </w:r>
      <w:r>
        <w:t xml:space="preserve"> </w:t>
      </w:r>
      <w:r>
        <w:tab/>
      </w:r>
      <w:r w:rsidRPr="00C92F30">
        <w:t xml:space="preserve">Voir André Lafontant Joseph, « Dessalines à la rencontre de Pétion. Au-delà du slogan politique », </w:t>
      </w:r>
      <w:r w:rsidRPr="00C92F30">
        <w:rPr>
          <w:i/>
        </w:rPr>
        <w:t>Le Nouvelliste</w:t>
      </w:r>
      <w:r w:rsidRPr="00C92F30">
        <w:t xml:space="preserve">, 19 novembre 2013, en ligne, </w:t>
      </w:r>
      <w:hyperlink r:id="rId89" w:history="1">
        <w:r w:rsidRPr="00C92F30">
          <w:rPr>
            <w:rStyle w:val="Lienhypertexte"/>
          </w:rPr>
          <w:t>http://lenouvelliste.com/lenouvelliste/article/124076/Dessalines-a-la-rencontre-de-Petion-Au-dela-du-slogan-politique.html</w:t>
        </w:r>
      </w:hyperlink>
      <w:r w:rsidRPr="00C92F30">
        <w:t>, consulté le 15 octobre 2014.</w:t>
      </w:r>
    </w:p>
  </w:footnote>
  <w:footnote w:id="554">
    <w:p w:rsidR="004C50DC" w:rsidRPr="00C92F30" w:rsidRDefault="004C50DC" w:rsidP="004C50DC">
      <w:pPr>
        <w:pStyle w:val="Notedebasdepage"/>
      </w:pPr>
      <w:r w:rsidRPr="00865DCE">
        <w:rPr>
          <w:rStyle w:val="Appelnotedebasdep"/>
        </w:rPr>
        <w:footnoteRef/>
      </w:r>
      <w:r>
        <w:tab/>
      </w:r>
      <w:r w:rsidRPr="00865DCE">
        <w:rPr>
          <w:i/>
        </w:rPr>
        <w:t>Ibid</w:t>
      </w:r>
      <w:r w:rsidRPr="00C92F30">
        <w:t>.</w:t>
      </w:r>
    </w:p>
  </w:footnote>
  <w:footnote w:id="555">
    <w:p w:rsidR="004C50DC" w:rsidRPr="00C92F30" w:rsidRDefault="004C50DC" w:rsidP="004C50DC">
      <w:pPr>
        <w:pStyle w:val="Notedebasdepage"/>
      </w:pPr>
      <w:r w:rsidRPr="00865DCE">
        <w:rPr>
          <w:rStyle w:val="Appelnotedebasdep"/>
        </w:rPr>
        <w:footnoteRef/>
      </w:r>
      <w:r>
        <w:tab/>
      </w:r>
      <w:r w:rsidRPr="00865DCE">
        <w:rPr>
          <w:i/>
        </w:rPr>
        <w:t>Ibid</w:t>
      </w:r>
      <w:r w:rsidRPr="00C92F30">
        <w:t>.</w:t>
      </w:r>
    </w:p>
  </w:footnote>
  <w:footnote w:id="556">
    <w:p w:rsidR="004C50DC" w:rsidRPr="00C92F30" w:rsidRDefault="004C50DC" w:rsidP="004C50DC">
      <w:pPr>
        <w:pStyle w:val="Notedebasdepage"/>
      </w:pPr>
      <w:r w:rsidRPr="00865DCE">
        <w:rPr>
          <w:rStyle w:val="Appelnotedebasdep"/>
        </w:rPr>
        <w:footnoteRef/>
      </w:r>
      <w:r>
        <w:tab/>
      </w:r>
      <w:r w:rsidRPr="00865DCE">
        <w:rPr>
          <w:i/>
        </w:rPr>
        <w:t>Ibid</w:t>
      </w:r>
      <w:r w:rsidRPr="00C92F30">
        <w:t>.</w:t>
      </w:r>
    </w:p>
  </w:footnote>
  <w:footnote w:id="557">
    <w:p w:rsidR="004C50DC" w:rsidRDefault="004C50DC">
      <w:pPr>
        <w:pStyle w:val="Notedebasdepage"/>
      </w:pPr>
      <w:r>
        <w:rPr>
          <w:rStyle w:val="Appelnotedebasdep"/>
        </w:rPr>
        <w:footnoteRef/>
      </w:r>
      <w:r>
        <w:t xml:space="preserve"> </w:t>
      </w:r>
      <w:r>
        <w:tab/>
      </w:r>
      <w:r w:rsidRPr="00C92F30">
        <w:rPr>
          <w:lang w:val="fr-FR"/>
        </w:rPr>
        <w:t xml:space="preserve">Justin Emmanuel Castera, </w:t>
      </w:r>
      <w:r w:rsidRPr="00C92F30">
        <w:rPr>
          <w:i/>
          <w:lang w:val="fr-FR"/>
        </w:rPr>
        <w:t>Bref coup d’œil sur les origines de la presse ha</w:t>
      </w:r>
      <w:r w:rsidRPr="00C92F30">
        <w:rPr>
          <w:i/>
          <w:lang w:val="fr-FR"/>
        </w:rPr>
        <w:t>ï</w:t>
      </w:r>
      <w:r w:rsidRPr="00C92F30">
        <w:rPr>
          <w:i/>
          <w:lang w:val="fr-FR"/>
        </w:rPr>
        <w:t>tienne (1764-1850)</w:t>
      </w:r>
      <w:r w:rsidRPr="00C92F30">
        <w:rPr>
          <w:lang w:val="fr-FR"/>
        </w:rPr>
        <w:t xml:space="preserve">, Port-au-Prince, Impr. Henri Deschamps, 1986, p. 145 ; </w:t>
      </w:r>
      <w:r w:rsidRPr="00C92F30">
        <w:rPr>
          <w:i/>
          <w:lang w:val="fr-FR"/>
        </w:rPr>
        <w:t>Enc</w:t>
      </w:r>
      <w:r w:rsidRPr="00C92F30">
        <w:rPr>
          <w:i/>
          <w:lang w:val="fr-FR"/>
        </w:rPr>
        <w:t>y</w:t>
      </w:r>
      <w:r w:rsidRPr="00C92F30">
        <w:rPr>
          <w:i/>
          <w:lang w:val="fr-FR"/>
        </w:rPr>
        <w:t>clopaedia Universalis</w:t>
      </w:r>
      <w:r w:rsidRPr="00C92F30">
        <w:rPr>
          <w:lang w:val="fr-FR"/>
        </w:rPr>
        <w:t xml:space="preserve">, vol. 4, Paris, 1990, p. 957, en ligne, </w:t>
      </w:r>
      <w:hyperlink r:id="rId90" w:history="1">
        <w:r w:rsidRPr="00C92F30">
          <w:rPr>
            <w:rStyle w:val="Lienhypertexte"/>
            <w:lang w:val="fr-FR"/>
          </w:rPr>
          <w:t>https://books.google.com/books/about/Encyclopaedia_universalis.html</w:t>
        </w:r>
      </w:hyperlink>
      <w:r w:rsidRPr="00C92F30">
        <w:rPr>
          <w:lang w:val="fr-FR"/>
        </w:rPr>
        <w:t>, consulté le 22 avril 2015.</w:t>
      </w:r>
    </w:p>
  </w:footnote>
  <w:footnote w:id="558">
    <w:p w:rsidR="004C50DC" w:rsidRDefault="004C50DC">
      <w:pPr>
        <w:pStyle w:val="Notedebasdepage"/>
      </w:pPr>
      <w:r>
        <w:rPr>
          <w:rStyle w:val="Appelnotedebasdep"/>
        </w:rPr>
        <w:footnoteRef/>
      </w:r>
      <w:r>
        <w:t xml:space="preserve"> </w:t>
      </w:r>
      <w:r>
        <w:tab/>
      </w:r>
      <w:r w:rsidRPr="00C92F30">
        <w:rPr>
          <w:lang w:val="fr-FR"/>
        </w:rPr>
        <w:t xml:space="preserve">Berrou et Pompilus, </w:t>
      </w:r>
      <w:r w:rsidRPr="00C92F30">
        <w:rPr>
          <w:i/>
          <w:lang w:val="fr-FR"/>
        </w:rPr>
        <w:t>Histoire de la littérature haïtienne</w:t>
      </w:r>
      <w:r w:rsidRPr="00C92F30">
        <w:rPr>
          <w:lang w:val="fr-FR"/>
        </w:rPr>
        <w:t>…, op. cit., tome I, p</w:t>
      </w:r>
    </w:p>
  </w:footnote>
  <w:footnote w:id="559">
    <w:p w:rsidR="004C50DC" w:rsidRDefault="004C50DC">
      <w:pPr>
        <w:pStyle w:val="Notedebasdepage"/>
      </w:pPr>
      <w:r>
        <w:rPr>
          <w:rStyle w:val="Appelnotedebasdep"/>
        </w:rPr>
        <w:footnoteRef/>
      </w:r>
      <w:r>
        <w:t xml:space="preserve"> </w:t>
      </w:r>
      <w:r>
        <w:tab/>
      </w:r>
      <w:r w:rsidRPr="00C92F30">
        <w:t xml:space="preserve">Dieudonné Fardin et Hérard Jadotte, </w:t>
      </w:r>
      <w:r w:rsidRPr="00C92F30">
        <w:rPr>
          <w:i/>
        </w:rPr>
        <w:t>Cours d’histoire de la littérat</w:t>
      </w:r>
      <w:r w:rsidRPr="00C92F30">
        <w:rPr>
          <w:i/>
        </w:rPr>
        <w:t>u</w:t>
      </w:r>
      <w:r w:rsidRPr="00C92F30">
        <w:rPr>
          <w:i/>
        </w:rPr>
        <w:t>re haïtienne</w:t>
      </w:r>
      <w:r w:rsidRPr="00C92F30">
        <w:t>, vol. 1, Port-au-Prince, Fardin, 1968, p. 45.</w:t>
      </w:r>
    </w:p>
  </w:footnote>
  <w:footnote w:id="560">
    <w:p w:rsidR="004C50DC" w:rsidRDefault="004C50DC">
      <w:pPr>
        <w:pStyle w:val="Notedebasdepage"/>
      </w:pPr>
      <w:r>
        <w:rPr>
          <w:rStyle w:val="Appelnotedebasdep"/>
        </w:rPr>
        <w:footnoteRef/>
      </w:r>
      <w:r>
        <w:t xml:space="preserve"> </w:t>
      </w:r>
      <w:r>
        <w:tab/>
      </w:r>
      <w:r w:rsidRPr="00C92F30">
        <w:t xml:space="preserve">Une typologie de mémoire est présentée et développée en profondeur dans le chapitre 7 de la thèse. </w:t>
      </w:r>
    </w:p>
  </w:footnote>
  <w:footnote w:id="561">
    <w:p w:rsidR="004C50DC" w:rsidRDefault="004C50DC">
      <w:pPr>
        <w:pStyle w:val="Notedebasdepage"/>
      </w:pPr>
      <w:r>
        <w:rPr>
          <w:rStyle w:val="Appelnotedebasdep"/>
        </w:rPr>
        <w:footnoteRef/>
      </w:r>
      <w:r>
        <w:t xml:space="preserve"> </w:t>
      </w:r>
      <w:r>
        <w:tab/>
      </w:r>
      <w:r w:rsidRPr="00C92F30">
        <w:t>Michel Laguerre écrit par exemple que ces sociétés secrètes « forment des cell</w:t>
      </w:r>
      <w:r w:rsidRPr="00C92F30">
        <w:t>u</w:t>
      </w:r>
      <w:r w:rsidRPr="00C92F30">
        <w:t>les paramilitaires à l’intérieur même des communautés vodous grâce au secret des traditions militaires des marrons de Saint-Domingue. Leur rôle est de patrouiller et de protéger leurs communautés contre des ennemis éve</w:t>
      </w:r>
      <w:r w:rsidRPr="00C92F30">
        <w:t>n</w:t>
      </w:r>
      <w:r w:rsidRPr="00C92F30">
        <w:t xml:space="preserve">tuels » ; on peut trouver plus de références dans son ouvrage </w:t>
      </w:r>
      <w:r w:rsidRPr="00C92F30">
        <w:rPr>
          <w:i/>
        </w:rPr>
        <w:t>Études sur le v</w:t>
      </w:r>
      <w:r w:rsidRPr="00C92F30">
        <w:rPr>
          <w:i/>
        </w:rPr>
        <w:t>o</w:t>
      </w:r>
      <w:r w:rsidRPr="00C92F30">
        <w:rPr>
          <w:i/>
        </w:rPr>
        <w:t>dou haïtien. Bibliographie analytique</w:t>
      </w:r>
      <w:r w:rsidRPr="00C92F30">
        <w:t>, Montréal, Centre de recherches cara</w:t>
      </w:r>
      <w:r w:rsidRPr="00C92F30">
        <w:t>ï</w:t>
      </w:r>
      <w:r w:rsidRPr="00C92F30">
        <w:t>bes, 1979.</w:t>
      </w:r>
    </w:p>
  </w:footnote>
  <w:footnote w:id="562">
    <w:p w:rsidR="004C50DC" w:rsidRDefault="004C50DC">
      <w:pPr>
        <w:pStyle w:val="Notedebasdepage"/>
      </w:pPr>
      <w:r>
        <w:rPr>
          <w:rStyle w:val="Appelnotedebasdep"/>
        </w:rPr>
        <w:footnoteRef/>
      </w:r>
      <w:r>
        <w:t xml:space="preserve"> </w:t>
      </w:r>
      <w:r>
        <w:tab/>
      </w:r>
      <w:r w:rsidRPr="00C92F30">
        <w:t xml:space="preserve">Jacques Roumain, </w:t>
      </w:r>
      <w:r w:rsidRPr="00C92F30">
        <w:rPr>
          <w:i/>
        </w:rPr>
        <w:t>Le sacrifice du tambour assoto(r)</w:t>
      </w:r>
      <w:r w:rsidRPr="00C92F30">
        <w:t>, Port-au-Prince, Impr</w:t>
      </w:r>
      <w:r w:rsidRPr="00C92F30">
        <w:t>i</w:t>
      </w:r>
      <w:r w:rsidRPr="00C92F30">
        <w:t>merie de l’État, 1943, p.7.</w:t>
      </w:r>
    </w:p>
  </w:footnote>
  <w:footnote w:id="563">
    <w:p w:rsidR="004C50DC" w:rsidRDefault="004C50DC">
      <w:pPr>
        <w:pStyle w:val="Notedebasdepage"/>
      </w:pPr>
      <w:r>
        <w:rPr>
          <w:rStyle w:val="Appelnotedebasdep"/>
        </w:rPr>
        <w:footnoteRef/>
      </w:r>
      <w:r>
        <w:t xml:space="preserve"> </w:t>
      </w:r>
      <w:r>
        <w:tab/>
      </w:r>
      <w:r w:rsidRPr="00C92F30">
        <w:rPr>
          <w:lang w:val="fr-FR"/>
        </w:rPr>
        <w:t xml:space="preserve">Hérold Toussaint, </w:t>
      </w:r>
      <w:r w:rsidRPr="00C92F30">
        <w:rPr>
          <w:i/>
          <w:lang w:val="fr-FR"/>
        </w:rPr>
        <w:t>op. cit</w:t>
      </w:r>
      <w:r w:rsidRPr="00C92F30">
        <w:rPr>
          <w:lang w:val="fr-FR"/>
        </w:rPr>
        <w:t>, 2008, p. 113.</w:t>
      </w:r>
    </w:p>
  </w:footnote>
  <w:footnote w:id="564">
    <w:p w:rsidR="004C50DC" w:rsidRDefault="004C50DC">
      <w:pPr>
        <w:pStyle w:val="Notedebasdepage"/>
      </w:pPr>
      <w:r>
        <w:rPr>
          <w:rStyle w:val="Appelnotedebasdep"/>
        </w:rPr>
        <w:footnoteRef/>
      </w:r>
      <w:r>
        <w:t xml:space="preserve"> </w:t>
      </w:r>
      <w:r>
        <w:tab/>
      </w:r>
      <w:r w:rsidRPr="00C92F30">
        <w:rPr>
          <w:lang w:val="fr-FR"/>
        </w:rPr>
        <w:t xml:space="preserve">Florence Belaën, </w:t>
      </w:r>
      <w:r w:rsidRPr="00C92F30">
        <w:rPr>
          <w:i/>
          <w:lang w:val="fr-FR"/>
        </w:rPr>
        <w:t xml:space="preserve">L’expérience de visite dans les expositions scientifiques et techniques à scénographie d’immersion, </w:t>
      </w:r>
      <w:r w:rsidRPr="00C92F30">
        <w:rPr>
          <w:lang w:val="fr-FR"/>
        </w:rPr>
        <w:t>thèse de doctorat, Faculté des Scie</w:t>
      </w:r>
      <w:r w:rsidRPr="00C92F30">
        <w:rPr>
          <w:lang w:val="fr-FR"/>
        </w:rPr>
        <w:t>n</w:t>
      </w:r>
      <w:r w:rsidRPr="00C92F30">
        <w:rPr>
          <w:lang w:val="fr-FR"/>
        </w:rPr>
        <w:t>ces de l’information et de la communication », Université de Bourgogne, 2002, cité dans Florence Belaën, « L’immersion comme nouveau mode de médiation au musée des Sciences. Étude de cas : la présentation du chang</w:t>
      </w:r>
      <w:r w:rsidRPr="00C92F30">
        <w:rPr>
          <w:lang w:val="fr-FR"/>
        </w:rPr>
        <w:t>e</w:t>
      </w:r>
      <w:r w:rsidRPr="00C92F30">
        <w:rPr>
          <w:lang w:val="fr-FR"/>
        </w:rPr>
        <w:t>ment climatique », colloque « Sciences, Médias et Société », 15-17 juin 2004, Lyon, ENS-LSH, en ligne,http://sciences-medias.ens-lsh.fr/article.php3 ?id_article=70, consulté le 21 novembre 2015.</w:t>
      </w:r>
    </w:p>
  </w:footnote>
  <w:footnote w:id="565">
    <w:p w:rsidR="004C50DC" w:rsidRDefault="004C50DC">
      <w:pPr>
        <w:pStyle w:val="Notedebasdepage"/>
      </w:pPr>
      <w:r>
        <w:rPr>
          <w:rStyle w:val="Appelnotedebasdep"/>
        </w:rPr>
        <w:footnoteRef/>
      </w:r>
      <w:r>
        <w:t xml:space="preserve"> </w:t>
      </w:r>
      <w:r>
        <w:tab/>
      </w:r>
      <w:r w:rsidRPr="00C92F30">
        <w:rPr>
          <w:lang w:val="fr-FR"/>
        </w:rPr>
        <w:t>Voir www.anneauxdelamemoire.org.</w:t>
      </w:r>
    </w:p>
  </w:footnote>
  <w:footnote w:id="566">
    <w:p w:rsidR="004C50DC" w:rsidRPr="00C92F30" w:rsidRDefault="004C50DC" w:rsidP="004C50DC">
      <w:pPr>
        <w:pStyle w:val="Notedebasdepage"/>
      </w:pPr>
      <w:r w:rsidRPr="00C92F30">
        <w:rPr>
          <w:rStyle w:val="Appelnotedebasdep"/>
          <w:sz w:val="24"/>
        </w:rPr>
        <w:footnoteRef/>
      </w:r>
      <w:r>
        <w:tab/>
      </w:r>
      <w:r w:rsidRPr="00C92F30">
        <w:t xml:space="preserve">Sophia Martelly, « Préambule », dans Musée du panthéon national haïtien (MUPANAH), </w:t>
      </w:r>
      <w:r w:rsidRPr="00C92F30">
        <w:rPr>
          <w:i/>
        </w:rPr>
        <w:t>Chimen libète. Le chemin de la liberté, 20 septembre 2012 - 20 octobre 2012</w:t>
      </w:r>
      <w:r w:rsidRPr="00C92F30">
        <w:t>, Port-au-Prince, Henri Deschamps, 2012, p. 4.</w:t>
      </w:r>
    </w:p>
  </w:footnote>
  <w:footnote w:id="567">
    <w:p w:rsidR="004C50DC" w:rsidRDefault="004C50DC">
      <w:pPr>
        <w:pStyle w:val="Notedebasdepage"/>
      </w:pPr>
      <w:r>
        <w:rPr>
          <w:rStyle w:val="Appelnotedebasdep"/>
        </w:rPr>
        <w:footnoteRef/>
      </w:r>
      <w:r>
        <w:t xml:space="preserve"> </w:t>
      </w:r>
      <w:r>
        <w:tab/>
      </w:r>
      <w:r w:rsidRPr="00C92F30">
        <w:rPr>
          <w:lang w:val="fr-FR"/>
        </w:rPr>
        <w:t>VoirMichèle Gardère Frisch, « Introduction »,  dans Musée du panthéon n</w:t>
      </w:r>
      <w:r w:rsidRPr="00C92F30">
        <w:rPr>
          <w:lang w:val="fr-FR"/>
        </w:rPr>
        <w:t>a</w:t>
      </w:r>
      <w:r w:rsidRPr="00C92F30">
        <w:rPr>
          <w:lang w:val="fr-FR"/>
        </w:rPr>
        <w:t>tional haïtien (MUPANAH), op. cit., p. 11.</w:t>
      </w:r>
    </w:p>
  </w:footnote>
  <w:footnote w:id="568">
    <w:p w:rsidR="004C50DC" w:rsidRDefault="004C50DC">
      <w:pPr>
        <w:pStyle w:val="Notedebasdepage"/>
      </w:pPr>
      <w:r>
        <w:rPr>
          <w:rStyle w:val="Appelnotedebasdep"/>
        </w:rPr>
        <w:footnoteRef/>
      </w:r>
      <w:r>
        <w:t xml:space="preserve"> </w:t>
      </w:r>
      <w:r>
        <w:tab/>
      </w:r>
      <w:r w:rsidRPr="00C92F30">
        <w:rPr>
          <w:i/>
          <w:lang w:val="fr-FR"/>
        </w:rPr>
        <w:t>Ibid</w:t>
      </w:r>
      <w:r w:rsidRPr="00C92F30">
        <w:rPr>
          <w:lang w:val="fr-FR"/>
        </w:rPr>
        <w:t>. p. 11.</w:t>
      </w:r>
    </w:p>
  </w:footnote>
  <w:footnote w:id="569">
    <w:p w:rsidR="004C50DC" w:rsidRPr="00C92F30" w:rsidRDefault="004C50DC" w:rsidP="004C50DC">
      <w:pPr>
        <w:pStyle w:val="Notedebasdepage"/>
      </w:pPr>
      <w:r w:rsidRPr="00C92F30">
        <w:rPr>
          <w:rStyle w:val="Appelnotedebasdep"/>
          <w:sz w:val="24"/>
        </w:rPr>
        <w:footnoteRef/>
      </w:r>
      <w:r>
        <w:tab/>
      </w:r>
      <w:r w:rsidRPr="00C92F30">
        <w:t>Voir Christine Chivallon, « Rendre visible l’esclavage », op. cit.</w:t>
      </w:r>
    </w:p>
  </w:footnote>
  <w:footnote w:id="570">
    <w:p w:rsidR="004C50DC" w:rsidRDefault="004C50DC">
      <w:pPr>
        <w:pStyle w:val="Notedebasdepage"/>
      </w:pPr>
      <w:r>
        <w:rPr>
          <w:rStyle w:val="Appelnotedebasdep"/>
        </w:rPr>
        <w:footnoteRef/>
      </w:r>
      <w:r>
        <w:t xml:space="preserve"> </w:t>
      </w:r>
      <w:r>
        <w:tab/>
      </w:r>
      <w:r w:rsidRPr="00C92F30">
        <w:t xml:space="preserve">Dominique Poulot, </w:t>
      </w:r>
      <w:r w:rsidRPr="00C92F30">
        <w:rPr>
          <w:rFonts w:eastAsia="Calibri"/>
          <w:i/>
        </w:rPr>
        <w:t>Musée et muséologie</w:t>
      </w:r>
      <w:r w:rsidRPr="00C92F30">
        <w:rPr>
          <w:rFonts w:eastAsia="Calibri"/>
        </w:rPr>
        <w:t>, Paris, La Découverte, 2009, p. 4.</w:t>
      </w:r>
    </w:p>
  </w:footnote>
  <w:footnote w:id="571">
    <w:p w:rsidR="004C50DC" w:rsidRDefault="004C50DC">
      <w:pPr>
        <w:pStyle w:val="Notedebasdepage"/>
      </w:pPr>
      <w:r>
        <w:rPr>
          <w:rStyle w:val="Appelnotedebasdep"/>
        </w:rPr>
        <w:footnoteRef/>
      </w:r>
      <w:r>
        <w:t xml:space="preserve"> </w:t>
      </w:r>
      <w:r>
        <w:tab/>
      </w:r>
      <w:r w:rsidRPr="00C92F30">
        <w:t>Ibid., p. 4.</w:t>
      </w:r>
    </w:p>
  </w:footnote>
  <w:footnote w:id="572">
    <w:p w:rsidR="004C50DC" w:rsidRDefault="004C50DC">
      <w:pPr>
        <w:pStyle w:val="Notedebasdepage"/>
      </w:pPr>
      <w:r>
        <w:rPr>
          <w:rStyle w:val="Appelnotedebasdep"/>
        </w:rPr>
        <w:footnoteRef/>
      </w:r>
      <w:r>
        <w:t xml:space="preserve"> </w:t>
      </w:r>
      <w:r>
        <w:tab/>
      </w:r>
      <w:r w:rsidRPr="00C92F30">
        <w:t xml:space="preserve">Cet employé est intervenu dans la conversation au moment de notre entrevue avec Claudy, mais nous n’avons pas réalisé d’entretien formel avec lui. </w:t>
      </w:r>
    </w:p>
  </w:footnote>
  <w:footnote w:id="573">
    <w:p w:rsidR="004C50DC" w:rsidRDefault="004C50DC">
      <w:pPr>
        <w:pStyle w:val="Notedebasdepage"/>
      </w:pPr>
      <w:r>
        <w:rPr>
          <w:rStyle w:val="Appelnotedebasdep"/>
        </w:rPr>
        <w:footnoteRef/>
      </w:r>
      <w:r>
        <w:t xml:space="preserve"> </w:t>
      </w:r>
      <w:r>
        <w:tab/>
      </w:r>
      <w:r w:rsidRPr="00C92F30">
        <w:t xml:space="preserve">Voir Jean Ronald Augustin, « Tambou marengwen », 2010, en ligne, </w:t>
      </w:r>
      <w:hyperlink r:id="rId91" w:history="1">
        <w:r w:rsidRPr="00C92F30">
          <w:rPr>
            <w:rStyle w:val="Lienhypertexte"/>
          </w:rPr>
          <w:t>http://www.ipimh.ulaval.ca/fiche-tanbou-marengwen-24.html</w:t>
        </w:r>
      </w:hyperlink>
      <w:r w:rsidRPr="00C92F30">
        <w:t xml:space="preserve"> ; voir aussi Voegeli Juste-Constant, </w:t>
      </w:r>
      <w:r w:rsidRPr="00C92F30">
        <w:rPr>
          <w:i/>
        </w:rPr>
        <w:t>La musique. Ses origines, son développement en E</w:t>
      </w:r>
      <w:r w:rsidRPr="00C92F30">
        <w:rPr>
          <w:i/>
        </w:rPr>
        <w:t>u</w:t>
      </w:r>
      <w:r w:rsidRPr="00C92F30">
        <w:rPr>
          <w:i/>
        </w:rPr>
        <w:t>rope, ses c</w:t>
      </w:r>
      <w:r w:rsidRPr="00C92F30">
        <w:rPr>
          <w:i/>
        </w:rPr>
        <w:t>a</w:t>
      </w:r>
      <w:r w:rsidRPr="00C92F30">
        <w:rPr>
          <w:i/>
        </w:rPr>
        <w:t>ractéristiques négro-africaines et aspect dans le milieu national</w:t>
      </w:r>
      <w:r w:rsidRPr="00C92F30">
        <w:t>, Port-au-Prince, Publication du bureau d’Ethnologie de la République d’Haïti, Imprimerie des A</w:t>
      </w:r>
      <w:r w:rsidRPr="00C92F30">
        <w:t>n</w:t>
      </w:r>
      <w:r w:rsidRPr="00C92F30">
        <w:t xml:space="preserve">tilles, 1980 ; Lorimer Denis et Emmanuel C. Paul, </w:t>
      </w:r>
      <w:r w:rsidRPr="00C92F30">
        <w:rPr>
          <w:i/>
        </w:rPr>
        <w:t>Essai d’organographie ha</w:t>
      </w:r>
      <w:r w:rsidRPr="00C92F30">
        <w:rPr>
          <w:i/>
        </w:rPr>
        <w:t>ï</w:t>
      </w:r>
      <w:r w:rsidRPr="00C92F30">
        <w:rPr>
          <w:i/>
        </w:rPr>
        <w:t>tienne</w:t>
      </w:r>
      <w:r w:rsidRPr="00C92F30">
        <w:t xml:space="preserve">, Port-au-Prince, Publication du bureau d’Ethnologie de la République d’Haïti, Antilles, 1980. </w:t>
      </w:r>
    </w:p>
  </w:footnote>
  <w:footnote w:id="574">
    <w:p w:rsidR="004C50DC" w:rsidRDefault="004C50DC">
      <w:pPr>
        <w:pStyle w:val="Notedebasdepage"/>
      </w:pPr>
      <w:r>
        <w:rPr>
          <w:rStyle w:val="Appelnotedebasdep"/>
        </w:rPr>
        <w:footnoteRef/>
      </w:r>
      <w:r>
        <w:t xml:space="preserve"> </w:t>
      </w:r>
      <w:r>
        <w:tab/>
      </w:r>
      <w:r w:rsidRPr="00865DCE">
        <w:rPr>
          <w:i/>
          <w:lang w:val="en-US"/>
        </w:rPr>
        <w:t>Ibid</w:t>
      </w:r>
      <w:r w:rsidRPr="00C92F30">
        <w:rPr>
          <w:lang w:val="en-US"/>
        </w:rPr>
        <w:t xml:space="preserve">. </w:t>
      </w:r>
    </w:p>
  </w:footnote>
  <w:footnote w:id="575">
    <w:p w:rsidR="004C50DC" w:rsidRDefault="004C50DC">
      <w:pPr>
        <w:pStyle w:val="Notedebasdepage"/>
      </w:pPr>
      <w:r>
        <w:rPr>
          <w:rStyle w:val="Appelnotedebasdep"/>
        </w:rPr>
        <w:footnoteRef/>
      </w:r>
      <w:r>
        <w:t xml:space="preserve"> </w:t>
      </w:r>
      <w:r>
        <w:tab/>
      </w:r>
      <w:r w:rsidRPr="00C92F30">
        <w:rPr>
          <w:lang w:val="en-US"/>
        </w:rPr>
        <w:t>Augustin, « Tambou marengwen », op. cit.</w:t>
      </w:r>
    </w:p>
  </w:footnote>
  <w:footnote w:id="576">
    <w:p w:rsidR="004C50DC" w:rsidRDefault="004C50DC">
      <w:pPr>
        <w:pStyle w:val="Notedebasdepage"/>
      </w:pPr>
      <w:r>
        <w:rPr>
          <w:rStyle w:val="Appelnotedebasdep"/>
        </w:rPr>
        <w:footnoteRef/>
      </w:r>
      <w:r>
        <w:t xml:space="preserve"> </w:t>
      </w:r>
      <w:r>
        <w:tab/>
      </w:r>
      <w:r w:rsidRPr="00C92F30">
        <w:t xml:space="preserve">Jacques Le Goff (dir.), </w:t>
      </w:r>
      <w:r w:rsidRPr="00C92F30">
        <w:rPr>
          <w:i/>
        </w:rPr>
        <w:t>Patrimoine et passions identitaires. Actes des entr</w:t>
      </w:r>
      <w:r w:rsidRPr="00C92F30">
        <w:rPr>
          <w:i/>
        </w:rPr>
        <w:t>e</w:t>
      </w:r>
      <w:r w:rsidRPr="00C92F30">
        <w:rPr>
          <w:i/>
        </w:rPr>
        <w:t>tiens du patrimoine</w:t>
      </w:r>
      <w:r w:rsidRPr="00C92F30">
        <w:t>, Paris, Fayard/CNMHS/Éditions du patrimoine, 1998, p. 431.</w:t>
      </w:r>
    </w:p>
  </w:footnote>
  <w:footnote w:id="577">
    <w:p w:rsidR="004C50DC" w:rsidRDefault="004C50DC">
      <w:pPr>
        <w:pStyle w:val="Notedebasdepage"/>
      </w:pPr>
      <w:r>
        <w:rPr>
          <w:rStyle w:val="Appelnotedebasdep"/>
        </w:rPr>
        <w:footnoteRef/>
      </w:r>
      <w:r>
        <w:t xml:space="preserve"> </w:t>
      </w:r>
      <w:r>
        <w:tab/>
      </w:r>
      <w:r w:rsidRPr="00C92F30">
        <w:rPr>
          <w:lang w:val="en-US"/>
        </w:rPr>
        <w:t>Augustin, « Tambou marengwen », op. cit.</w:t>
      </w:r>
    </w:p>
  </w:footnote>
  <w:footnote w:id="578">
    <w:p w:rsidR="004C50DC" w:rsidRDefault="004C50DC">
      <w:pPr>
        <w:pStyle w:val="Notedebasdepage"/>
      </w:pPr>
      <w:r>
        <w:rPr>
          <w:rStyle w:val="Appelnotedebasdep"/>
        </w:rPr>
        <w:footnoteRef/>
      </w:r>
      <w:r>
        <w:t xml:space="preserve"> </w:t>
      </w:r>
      <w:r>
        <w:tab/>
      </w:r>
      <w:r w:rsidRPr="00C92F30">
        <w:t>Marcel Dorigny, op. cit., 2003, p. 122.</w:t>
      </w:r>
    </w:p>
  </w:footnote>
  <w:footnote w:id="579">
    <w:p w:rsidR="004C50DC" w:rsidRDefault="004C50DC">
      <w:pPr>
        <w:pStyle w:val="Notedebasdepage"/>
      </w:pPr>
      <w:r>
        <w:rPr>
          <w:rStyle w:val="Appelnotedebasdep"/>
        </w:rPr>
        <w:footnoteRef/>
      </w:r>
      <w:r>
        <w:t xml:space="preserve"> </w:t>
      </w:r>
      <w:r>
        <w:tab/>
      </w:r>
      <w:r w:rsidRPr="00C92F30">
        <w:t>Le Parc historique de la canne à sucre, situé à Tabarre, appartient à la Fond</w:t>
      </w:r>
      <w:r w:rsidRPr="00C92F30">
        <w:t>a</w:t>
      </w:r>
      <w:r w:rsidRPr="00C92F30">
        <w:t>tion Canez Auguste. Il est construit sur l’ancienne habitation sucrière Ch</w:t>
      </w:r>
      <w:r w:rsidRPr="00C92F30">
        <w:t>a</w:t>
      </w:r>
      <w:r w:rsidRPr="00C92F30">
        <w:t>teaublond (1771-1803), où se trouvait également l’ancienne industrie de produ</w:t>
      </w:r>
      <w:r w:rsidRPr="00C92F30">
        <w:t>c</w:t>
      </w:r>
      <w:r w:rsidRPr="00C92F30">
        <w:t xml:space="preserve">tion sucrière du président Tancrède Auguste (1895-1925). Le Parc, dans sa démarche première, veut reconstituer </w:t>
      </w:r>
      <w:r w:rsidRPr="00C92F30">
        <w:rPr>
          <w:i/>
        </w:rPr>
        <w:t xml:space="preserve">in situ </w:t>
      </w:r>
      <w:r w:rsidRPr="00C92F30">
        <w:t>une ancienne habitation sucri</w:t>
      </w:r>
      <w:r w:rsidRPr="00C92F30">
        <w:t>è</w:t>
      </w:r>
      <w:r w:rsidRPr="00C92F30">
        <w:t>re.</w:t>
      </w:r>
    </w:p>
  </w:footnote>
  <w:footnote w:id="580">
    <w:p w:rsidR="004C50DC" w:rsidRDefault="004C50DC">
      <w:pPr>
        <w:pStyle w:val="Notedebasdepage"/>
      </w:pPr>
      <w:r>
        <w:rPr>
          <w:rStyle w:val="Appelnotedebasdep"/>
        </w:rPr>
        <w:footnoteRef/>
      </w:r>
      <w:r>
        <w:t xml:space="preserve"> </w:t>
      </w:r>
      <w:r>
        <w:tab/>
      </w:r>
      <w:r w:rsidRPr="00C92F30">
        <w:t>Jacques de Cauna,</w:t>
      </w:r>
      <w:r w:rsidRPr="00C92F30">
        <w:rPr>
          <w:i/>
        </w:rPr>
        <w:t xml:space="preserve"> Au temps des Îles à Sucre, </w:t>
      </w:r>
      <w:r w:rsidRPr="00C92F30">
        <w:t xml:space="preserve">Paris, Karthala, 2003, p. 245. </w:t>
      </w:r>
    </w:p>
  </w:footnote>
  <w:footnote w:id="581">
    <w:p w:rsidR="004C50DC" w:rsidRDefault="004C50DC">
      <w:pPr>
        <w:pStyle w:val="Notedebasdepage"/>
      </w:pPr>
      <w:r>
        <w:rPr>
          <w:rStyle w:val="Appelnotedebasdep"/>
        </w:rPr>
        <w:footnoteRef/>
      </w:r>
      <w:r>
        <w:t xml:space="preserve"> </w:t>
      </w:r>
      <w:r>
        <w:tab/>
      </w:r>
      <w:r w:rsidRPr="00C92F30">
        <w:rPr>
          <w:lang w:val="en-US"/>
        </w:rPr>
        <w:t>Jhon Picard Byron, op. cit., p. 187.</w:t>
      </w:r>
    </w:p>
  </w:footnote>
  <w:footnote w:id="582">
    <w:p w:rsidR="004C50DC" w:rsidRDefault="004C50DC">
      <w:pPr>
        <w:pStyle w:val="Notedebasdepage"/>
      </w:pPr>
      <w:r>
        <w:rPr>
          <w:rStyle w:val="Appelnotedebasdep"/>
        </w:rPr>
        <w:footnoteRef/>
      </w:r>
      <w:r>
        <w:t xml:space="preserve"> </w:t>
      </w:r>
      <w:r>
        <w:tab/>
      </w:r>
      <w:r w:rsidRPr="00C92F30">
        <w:rPr>
          <w:lang w:val="fr-FR"/>
        </w:rPr>
        <w:t>Voir, en ligne,</w:t>
      </w:r>
      <w:hyperlink r:id="rId92" w:history="1">
        <w:r w:rsidRPr="00C92F30">
          <w:rPr>
            <w:rStyle w:val="Lienhypertexte"/>
            <w:lang w:val="fr-FR"/>
          </w:rPr>
          <w:t>http://museeogierfombrun.org/mof/notre-histoire/</w:t>
        </w:r>
      </w:hyperlink>
      <w:r w:rsidRPr="00C92F30">
        <w:rPr>
          <w:lang w:val="fr-FR"/>
        </w:rPr>
        <w:t xml:space="preserve">  et </w:t>
      </w:r>
      <w:hyperlink r:id="rId93" w:history="1">
        <w:r w:rsidRPr="00C92F30">
          <w:rPr>
            <w:rStyle w:val="Lienhypertexte"/>
            <w:lang w:val="fr-FR"/>
          </w:rPr>
          <w:t>http://www.anneauxdelamemoire.org/fr/acteurs-du-reseau/ameriques/institutions-culturelles/item/629-mus%C3%A9e-ogier-fombrun.html</w:t>
        </w:r>
      </w:hyperlink>
      <w:r w:rsidRPr="00C92F30">
        <w:rPr>
          <w:lang w:val="fr-FR"/>
        </w:rPr>
        <w:t>, consulté le 25 juin 2013.</w:t>
      </w:r>
    </w:p>
  </w:footnote>
  <w:footnote w:id="583">
    <w:p w:rsidR="004C50DC" w:rsidRDefault="004C50DC">
      <w:pPr>
        <w:pStyle w:val="Notedebasdepage"/>
      </w:pPr>
      <w:r>
        <w:rPr>
          <w:rStyle w:val="Appelnotedebasdep"/>
        </w:rPr>
        <w:footnoteRef/>
      </w:r>
      <w:r>
        <w:t xml:space="preserve"> </w:t>
      </w:r>
      <w:r>
        <w:tab/>
      </w:r>
      <w:r w:rsidRPr="00C92F30">
        <w:t xml:space="preserve">Voir Jhon Picard Byron, « Le nationalisme haïtien et la mémoire de l’esclavage », dans Vincent Auzas et Jewsiewicki (dir.), </w:t>
      </w:r>
      <w:r w:rsidRPr="00C92F30">
        <w:rPr>
          <w:i/>
        </w:rPr>
        <w:t>Traumatisme co</w:t>
      </w:r>
      <w:r w:rsidRPr="00C92F30">
        <w:rPr>
          <w:i/>
        </w:rPr>
        <w:t>l</w:t>
      </w:r>
      <w:r w:rsidRPr="00C92F30">
        <w:rPr>
          <w:i/>
        </w:rPr>
        <w:t>lectif pour patrimoine</w:t>
      </w:r>
      <w:r w:rsidRPr="00C92F30">
        <w:t>..., op. cit., p. 187.</w:t>
      </w:r>
    </w:p>
  </w:footnote>
  <w:footnote w:id="584">
    <w:p w:rsidR="004C50DC" w:rsidRDefault="004C50DC">
      <w:pPr>
        <w:pStyle w:val="Notedebasdepage"/>
      </w:pPr>
      <w:r>
        <w:rPr>
          <w:rStyle w:val="Appelnotedebasdep"/>
        </w:rPr>
        <w:footnoteRef/>
      </w:r>
      <w:r>
        <w:t xml:space="preserve"> </w:t>
      </w:r>
      <w:r>
        <w:tab/>
      </w:r>
      <w:r w:rsidRPr="00C92F30">
        <w:t xml:space="preserve">Richard Price cité par Gérard Barthélemy, « Réflexions sur des mémoires inconciliables : celle du maître et celle de l’esclave. Le cas d’Haïti », </w:t>
      </w:r>
      <w:r w:rsidRPr="00C92F30">
        <w:rPr>
          <w:i/>
        </w:rPr>
        <w:t>C</w:t>
      </w:r>
      <w:r w:rsidRPr="00C92F30">
        <w:rPr>
          <w:i/>
        </w:rPr>
        <w:t>a</w:t>
      </w:r>
      <w:r w:rsidRPr="00C92F30">
        <w:rPr>
          <w:i/>
        </w:rPr>
        <w:t>hiers d’études africaines</w:t>
      </w:r>
      <w:r w:rsidRPr="00C92F30">
        <w:t>, XLIV (1-2), p. 173-174, 2004, p. 127.</w:t>
      </w:r>
    </w:p>
  </w:footnote>
  <w:footnote w:id="585">
    <w:p w:rsidR="004C50DC" w:rsidRPr="00C92F30" w:rsidRDefault="004C50DC" w:rsidP="004C50DC">
      <w:pPr>
        <w:pStyle w:val="Notedebasdepage"/>
      </w:pPr>
      <w:r w:rsidRPr="00865DCE">
        <w:rPr>
          <w:rStyle w:val="Appelnotedebasdep"/>
        </w:rPr>
        <w:footnoteRef/>
      </w:r>
      <w:r>
        <w:tab/>
      </w:r>
      <w:r w:rsidRPr="00C92F30">
        <w:t>Le monument de Vertières est classé patrimoine national selon le décret-loi du 23 août 1995.</w:t>
      </w:r>
    </w:p>
  </w:footnote>
  <w:footnote w:id="586">
    <w:p w:rsidR="004C50DC" w:rsidRDefault="004C50DC">
      <w:pPr>
        <w:pStyle w:val="Notedebasdepage"/>
      </w:pPr>
      <w:r>
        <w:rPr>
          <w:rStyle w:val="Appelnotedebasdep"/>
        </w:rPr>
        <w:footnoteRef/>
      </w:r>
      <w:r>
        <w:t xml:space="preserve"> </w:t>
      </w:r>
      <w:r>
        <w:tab/>
      </w:r>
      <w:r w:rsidRPr="00C92F30">
        <w:rPr>
          <w:lang w:val="fr-FR"/>
        </w:rPr>
        <w:t xml:space="preserve">Lyonel Trouillot, « Préface », dans Jean-Pierre Le Glaunec, </w:t>
      </w:r>
      <w:r w:rsidRPr="00C92F30">
        <w:rPr>
          <w:i/>
          <w:lang w:val="fr-FR"/>
        </w:rPr>
        <w:t>L’armée indig</w:t>
      </w:r>
      <w:r w:rsidRPr="00C92F30">
        <w:rPr>
          <w:i/>
          <w:lang w:val="fr-FR"/>
        </w:rPr>
        <w:t>è</w:t>
      </w:r>
      <w:r w:rsidRPr="00C92F30">
        <w:rPr>
          <w:i/>
          <w:lang w:val="fr-FR"/>
        </w:rPr>
        <w:t>ne. La défaite de Napoléon en Haïti</w:t>
      </w:r>
      <w:r w:rsidRPr="00C92F30">
        <w:rPr>
          <w:lang w:val="fr-FR"/>
        </w:rPr>
        <w:t>, Montréal, Lux éditeur, 2014, p. 7.</w:t>
      </w:r>
    </w:p>
  </w:footnote>
  <w:footnote w:id="587">
    <w:p w:rsidR="004C50DC" w:rsidRPr="00C92F30" w:rsidRDefault="004C50DC" w:rsidP="004C50DC">
      <w:pPr>
        <w:pStyle w:val="Notedebasdepage"/>
        <w:rPr>
          <w:lang w:val="en-US"/>
        </w:rPr>
      </w:pPr>
      <w:r w:rsidRPr="00865DCE">
        <w:rPr>
          <w:rStyle w:val="Appelnotedebasdep"/>
        </w:rPr>
        <w:footnoteRef/>
      </w:r>
      <w:r>
        <w:rPr>
          <w:lang w:val="en-US"/>
        </w:rPr>
        <w:tab/>
      </w:r>
      <w:r w:rsidRPr="00C92F30">
        <w:rPr>
          <w:lang w:val="en-US"/>
        </w:rPr>
        <w:t xml:space="preserve">Lyonel Trouillot, op. cit, p. 8. </w:t>
      </w:r>
    </w:p>
  </w:footnote>
  <w:footnote w:id="588">
    <w:p w:rsidR="004C50DC" w:rsidRDefault="004C50DC">
      <w:pPr>
        <w:pStyle w:val="Notedebasdepage"/>
      </w:pPr>
      <w:r>
        <w:rPr>
          <w:rStyle w:val="Appelnotedebasdep"/>
        </w:rPr>
        <w:footnoteRef/>
      </w:r>
      <w:r>
        <w:t xml:space="preserve"> </w:t>
      </w:r>
      <w:r>
        <w:tab/>
      </w:r>
      <w:r w:rsidRPr="00C92F30">
        <w:t xml:space="preserve">Voir Jean-Simon Legault St-Amour sur </w:t>
      </w:r>
      <w:r>
        <w:br/>
      </w:r>
      <w:hyperlink r:id="rId94" w:history="1">
        <w:r w:rsidRPr="00C92F30">
          <w:rPr>
            <w:rStyle w:val="Lienhypertexte"/>
            <w:color w:val="auto"/>
          </w:rPr>
          <w:t>https://www.pinterest.com/pin/509610514056990292/</w:t>
        </w:r>
      </w:hyperlink>
      <w:r w:rsidRPr="00C92F30">
        <w:t xml:space="preserve">. </w:t>
      </w:r>
    </w:p>
  </w:footnote>
  <w:footnote w:id="589">
    <w:p w:rsidR="004C50DC" w:rsidRDefault="004C50DC">
      <w:pPr>
        <w:pStyle w:val="Notedebasdepage"/>
      </w:pPr>
      <w:r>
        <w:rPr>
          <w:rStyle w:val="Appelnotedebasdep"/>
        </w:rPr>
        <w:footnoteRef/>
      </w:r>
      <w:r>
        <w:t xml:space="preserve"> </w:t>
      </w:r>
      <w:r>
        <w:tab/>
      </w:r>
      <w:r w:rsidRPr="00C92F30">
        <w:rPr>
          <w:lang w:val="fr-FR"/>
        </w:rPr>
        <w:t>Pierre Josué Agénor Cadet, « L’Acte de l’Indépendance d’Haïti avait-il été volé ou vendu ? Question-réponse du professeur d’histoire Pierre Josué Ag</w:t>
      </w:r>
      <w:r w:rsidRPr="00C92F30">
        <w:rPr>
          <w:lang w:val="fr-FR"/>
        </w:rPr>
        <w:t>é</w:t>
      </w:r>
      <w:r w:rsidRPr="00C92F30">
        <w:rPr>
          <w:lang w:val="fr-FR"/>
        </w:rPr>
        <w:t>nor Cadet », publié le dimanche 4 avril 2010,</w:t>
      </w:r>
      <w:r>
        <w:rPr>
          <w:lang w:val="fr-FR"/>
        </w:rPr>
        <w:br/>
      </w:r>
      <w:hyperlink r:id="rId95" w:history="1">
        <w:r w:rsidRPr="00C92F30">
          <w:rPr>
            <w:rStyle w:val="Lienhypertexte"/>
            <w:lang w:val="fr-FR"/>
          </w:rPr>
          <w:t>http://radiokiskeya.com/spip.php?article6685</w:t>
        </w:r>
      </w:hyperlink>
      <w:r w:rsidRPr="00C92F30">
        <w:rPr>
          <w:lang w:val="fr-FR"/>
        </w:rPr>
        <w:t>, consulté le 12 avril 2014.</w:t>
      </w:r>
    </w:p>
  </w:footnote>
  <w:footnote w:id="590">
    <w:p w:rsidR="004C50DC" w:rsidRDefault="004C50DC">
      <w:pPr>
        <w:pStyle w:val="Notedebasdepage"/>
      </w:pPr>
      <w:r>
        <w:rPr>
          <w:rStyle w:val="Appelnotedebasdep"/>
        </w:rPr>
        <w:footnoteRef/>
      </w:r>
      <w:r>
        <w:t xml:space="preserve"> </w:t>
      </w:r>
      <w:r>
        <w:tab/>
      </w:r>
      <w:r w:rsidRPr="00865DCE">
        <w:rPr>
          <w:i/>
        </w:rPr>
        <w:t>Ibid</w:t>
      </w:r>
      <w:r w:rsidRPr="00C92F30">
        <w:t>.</w:t>
      </w:r>
    </w:p>
  </w:footnote>
  <w:footnote w:id="591">
    <w:p w:rsidR="004C50DC" w:rsidRDefault="004C50DC">
      <w:pPr>
        <w:pStyle w:val="Notedebasdepage"/>
      </w:pPr>
      <w:r>
        <w:rPr>
          <w:rStyle w:val="Appelnotedebasdep"/>
        </w:rPr>
        <w:footnoteRef/>
      </w:r>
      <w:r>
        <w:t xml:space="preserve"> </w:t>
      </w:r>
      <w:r>
        <w:tab/>
      </w:r>
      <w:r w:rsidRPr="00C92F30">
        <w:t xml:space="preserve">Roberson Alphonse, « Haïti, pays sans papier », </w:t>
      </w:r>
      <w:r w:rsidRPr="00C92F30">
        <w:rPr>
          <w:i/>
        </w:rPr>
        <w:t>Le Nouvelliste</w:t>
      </w:r>
      <w:r w:rsidRPr="00C92F30">
        <w:t>, 15 janvier 2014, en ligne, http://lenouvelliste.com/.../Haiti-pays-sans-papier.html, consu</w:t>
      </w:r>
      <w:r w:rsidRPr="00C92F30">
        <w:t>l</w:t>
      </w:r>
      <w:r w:rsidRPr="00C92F30">
        <w:t>té le 21 janvier 2014.</w:t>
      </w:r>
    </w:p>
  </w:footnote>
  <w:footnote w:id="592">
    <w:p w:rsidR="004C50DC" w:rsidRDefault="004C50DC">
      <w:pPr>
        <w:pStyle w:val="Notedebasdepage"/>
      </w:pPr>
      <w:r>
        <w:rPr>
          <w:rStyle w:val="Appelnotedebasdep"/>
        </w:rPr>
        <w:footnoteRef/>
      </w:r>
      <w:r>
        <w:t xml:space="preserve"> </w:t>
      </w:r>
      <w:r>
        <w:tab/>
      </w:r>
      <w:r w:rsidRPr="00865DCE">
        <w:rPr>
          <w:i/>
          <w:lang w:val="fr-FR"/>
        </w:rPr>
        <w:t>Ibid</w:t>
      </w:r>
      <w:r w:rsidRPr="00C92F30">
        <w:t>.</w:t>
      </w:r>
    </w:p>
  </w:footnote>
  <w:footnote w:id="593">
    <w:p w:rsidR="004C50DC" w:rsidRPr="00C92F30" w:rsidRDefault="004C50DC" w:rsidP="004C50DC">
      <w:pPr>
        <w:pStyle w:val="Notedebasdepage"/>
      </w:pPr>
      <w:r w:rsidRPr="00C92F30">
        <w:rPr>
          <w:rStyle w:val="Appelnotedebasdep"/>
          <w:sz w:val="24"/>
        </w:rPr>
        <w:footnoteRef/>
      </w:r>
      <w:r>
        <w:tab/>
      </w:r>
      <w:r w:rsidRPr="00C92F30">
        <w:t>Enfant né d’un parent blanc et d’un parent métis.</w:t>
      </w:r>
    </w:p>
  </w:footnote>
  <w:footnote w:id="594">
    <w:p w:rsidR="004C50DC" w:rsidRPr="00C92F30" w:rsidRDefault="004C50DC" w:rsidP="004C50DC">
      <w:pPr>
        <w:pStyle w:val="Notedebasdepage"/>
      </w:pPr>
      <w:r w:rsidRPr="00C92F30">
        <w:rPr>
          <w:rStyle w:val="Appelnotedebasdep"/>
          <w:sz w:val="24"/>
        </w:rPr>
        <w:footnoteRef/>
      </w:r>
      <w:r>
        <w:tab/>
      </w:r>
      <w:r w:rsidRPr="00C92F30">
        <w:t>Enfant né d’un parent blanc et d’un parent noir.</w:t>
      </w:r>
    </w:p>
  </w:footnote>
  <w:footnote w:id="595">
    <w:p w:rsidR="004C50DC" w:rsidRDefault="004C50DC">
      <w:pPr>
        <w:pStyle w:val="Notedebasdepage"/>
      </w:pPr>
      <w:r>
        <w:rPr>
          <w:rStyle w:val="Appelnotedebasdep"/>
        </w:rPr>
        <w:footnoteRef/>
      </w:r>
      <w:r>
        <w:t xml:space="preserve"> </w:t>
      </w:r>
      <w:r>
        <w:tab/>
      </w:r>
      <w:r w:rsidRPr="00C92F30">
        <w:t xml:space="preserve">Emmanuel Wesner, </w:t>
      </w:r>
      <w:r w:rsidRPr="00C92F30">
        <w:rPr>
          <w:i/>
        </w:rPr>
        <w:t>La Période révolutionnaire à Saint-Domingue et en Fra</w:t>
      </w:r>
      <w:r w:rsidRPr="00C92F30">
        <w:rPr>
          <w:i/>
        </w:rPr>
        <w:t>n</w:t>
      </w:r>
      <w:r w:rsidRPr="00C92F30">
        <w:rPr>
          <w:i/>
        </w:rPr>
        <w:t>ce (1789-1804) : classe de seconde et de rhéto,</w:t>
      </w:r>
      <w:r w:rsidRPr="00C92F30">
        <w:t xml:space="preserve"> Port-au-Prince, Fardin, 1981, p. 6.</w:t>
      </w:r>
    </w:p>
  </w:footnote>
  <w:footnote w:id="596">
    <w:p w:rsidR="004C50DC" w:rsidRDefault="004C50DC">
      <w:pPr>
        <w:pStyle w:val="Notedebasdepage"/>
      </w:pPr>
      <w:r>
        <w:rPr>
          <w:rStyle w:val="Appelnotedebasdep"/>
        </w:rPr>
        <w:footnoteRef/>
      </w:r>
      <w:r>
        <w:t xml:space="preserve"> </w:t>
      </w:r>
      <w:r>
        <w:tab/>
      </w:r>
      <w:r w:rsidRPr="00C92F30">
        <w:t>Selon J.C. Dorsainvil, « Vingt-et-un de leurs compagnons étaient aussi condamnés à la pendaison, treize autres aux galères » ; voir Justin Chrysost</w:t>
      </w:r>
      <w:r w:rsidRPr="00C92F30">
        <w:t>o</w:t>
      </w:r>
      <w:r w:rsidRPr="00C92F30">
        <w:t>me Dorsai</w:t>
      </w:r>
      <w:r w:rsidRPr="00C92F30">
        <w:t>n</w:t>
      </w:r>
      <w:r w:rsidRPr="00C92F30">
        <w:t xml:space="preserve">vil, </w:t>
      </w:r>
      <w:r w:rsidRPr="00C92F30">
        <w:rPr>
          <w:i/>
        </w:rPr>
        <w:t>Histoire d’Haïti</w:t>
      </w:r>
      <w:r w:rsidRPr="00C92F30">
        <w:t>, Port-au-Prince, Procure desFrères de l’Instruction chrétie</w:t>
      </w:r>
      <w:r w:rsidRPr="00C92F30">
        <w:t>n</w:t>
      </w:r>
      <w:r w:rsidRPr="00C92F30">
        <w:t xml:space="preserve">ne, 1934, p. 71. </w:t>
      </w:r>
    </w:p>
  </w:footnote>
  <w:footnote w:id="597">
    <w:p w:rsidR="004C50DC" w:rsidRDefault="004C50DC">
      <w:pPr>
        <w:pStyle w:val="Notedebasdepage"/>
      </w:pPr>
      <w:r>
        <w:rPr>
          <w:rStyle w:val="Appelnotedebasdep"/>
        </w:rPr>
        <w:footnoteRef/>
      </w:r>
      <w:r>
        <w:t xml:space="preserve"> </w:t>
      </w:r>
      <w:r>
        <w:tab/>
      </w:r>
      <w:r w:rsidRPr="00C92F30">
        <w:t xml:space="preserve">Thomas Madiou, </w:t>
      </w:r>
      <w:r w:rsidRPr="00C92F30">
        <w:rPr>
          <w:i/>
        </w:rPr>
        <w:t>Histoire d’Haïti</w:t>
      </w:r>
      <w:r w:rsidRPr="00C92F30">
        <w:t xml:space="preserve">, </w:t>
      </w:r>
      <w:r w:rsidRPr="00C92F30">
        <w:rPr>
          <w:rFonts w:eastAsia="Calibri"/>
          <w:i/>
          <w:lang w:eastAsia="fr-FR"/>
        </w:rPr>
        <w:t xml:space="preserve">1803-1807, </w:t>
      </w:r>
      <w:r w:rsidRPr="00C92F30">
        <w:t xml:space="preserve">op. cit., tome III, p. 310 ; voir aussi RenéA. Saint-Louis, </w:t>
      </w:r>
      <w:r w:rsidRPr="00C92F30">
        <w:rPr>
          <w:i/>
        </w:rPr>
        <w:t>La présociologie haïtienne ou Haïti et sa voc</w:t>
      </w:r>
      <w:r w:rsidRPr="00C92F30">
        <w:rPr>
          <w:i/>
        </w:rPr>
        <w:t>a</w:t>
      </w:r>
      <w:r w:rsidRPr="00C92F30">
        <w:rPr>
          <w:i/>
        </w:rPr>
        <w:t>tion nationale. Éléments d’ethno-histoire haïtienne,</w:t>
      </w:r>
      <w:r w:rsidRPr="00C92F30">
        <w:t xml:space="preserve"> Ottawa, Leméac, 1970, p. 86, extrait du discours prononcé par l’empereur Jean-Jacques Dessalines en 1805 sur le comportement des mulâtres du Sud. Plusieurs historiens et chercheurs haïtiens croient que cette prise de position qui embrasse aussi la réforme agraire fut l’une des causes principales de son assassinat le 17 oct</w:t>
      </w:r>
      <w:r w:rsidRPr="00C92F30">
        <w:t>o</w:t>
      </w:r>
      <w:r w:rsidRPr="00C92F30">
        <w:t>bre 1806 à Pont Rouge.</w:t>
      </w:r>
    </w:p>
  </w:footnote>
  <w:footnote w:id="598">
    <w:p w:rsidR="004C50DC" w:rsidRDefault="004C50DC">
      <w:pPr>
        <w:pStyle w:val="Notedebasdepage"/>
      </w:pPr>
      <w:r>
        <w:rPr>
          <w:rStyle w:val="Appelnotedebasdep"/>
        </w:rPr>
        <w:footnoteRef/>
      </w:r>
      <w:r>
        <w:t xml:space="preserve"> </w:t>
      </w:r>
      <w:r>
        <w:tab/>
      </w:r>
      <w:r w:rsidRPr="00C92F30">
        <w:t>René A. Saint-Louis, op. cit. p. 85.</w:t>
      </w:r>
    </w:p>
  </w:footnote>
  <w:footnote w:id="599">
    <w:p w:rsidR="004C50DC" w:rsidRDefault="004C50DC">
      <w:pPr>
        <w:pStyle w:val="Notedebasdepage"/>
      </w:pPr>
      <w:r>
        <w:rPr>
          <w:rStyle w:val="Appelnotedebasdep"/>
        </w:rPr>
        <w:footnoteRef/>
      </w:r>
      <w:r>
        <w:t xml:space="preserve"> </w:t>
      </w:r>
      <w:r>
        <w:tab/>
      </w:r>
      <w:r w:rsidRPr="00C92F30">
        <w:t xml:space="preserve">Leslie Péan, </w:t>
      </w:r>
      <w:r w:rsidRPr="00C92F30">
        <w:rPr>
          <w:bCs/>
          <w:lang w:eastAsia="en-CA"/>
        </w:rPr>
        <w:t xml:space="preserve">« Économie politique de la corruption (1791-1990) », </w:t>
      </w:r>
      <w:r w:rsidRPr="00C92F30">
        <w:rPr>
          <w:lang w:eastAsia="en-CA"/>
        </w:rPr>
        <w:t>Texte de pr</w:t>
      </w:r>
      <w:r w:rsidRPr="00C92F30">
        <w:rPr>
          <w:lang w:eastAsia="en-CA"/>
        </w:rPr>
        <w:t>é</w:t>
      </w:r>
      <w:r w:rsidRPr="00C92F30">
        <w:rPr>
          <w:lang w:eastAsia="en-CA"/>
        </w:rPr>
        <w:t xml:space="preserve">sentation à l’Académie dominicaine d’Histoire, </w:t>
      </w:r>
      <w:r w:rsidRPr="00C92F30">
        <w:rPr>
          <w:i/>
          <w:lang w:eastAsia="en-CA"/>
        </w:rPr>
        <w:t>Le Nouvelliste</w:t>
      </w:r>
      <w:r w:rsidRPr="00C92F30">
        <w:t>, en ligne, http://lenouvelliste.com/lenouvelliste/article/41536/Texte-de-presentation-de-Leslie-Pean-a-lAcademie-Dominicaine-dHistoire, le 30 mars 2007, consulté le 17 octobre 2014.</w:t>
      </w:r>
    </w:p>
  </w:footnote>
  <w:footnote w:id="600">
    <w:p w:rsidR="004C50DC" w:rsidRDefault="004C50DC">
      <w:pPr>
        <w:pStyle w:val="Notedebasdepage"/>
      </w:pPr>
      <w:r>
        <w:rPr>
          <w:rStyle w:val="Appelnotedebasdep"/>
        </w:rPr>
        <w:footnoteRef/>
      </w:r>
      <w:r>
        <w:t xml:space="preserve"> </w:t>
      </w:r>
      <w:r>
        <w:tab/>
      </w:r>
      <w:r w:rsidRPr="00C92F30">
        <w:t>Leslie François Manigat, « Annotations réflexives sur un thème porteur. La R</w:t>
      </w:r>
      <w:r w:rsidRPr="00C92F30">
        <w:t>é</w:t>
      </w:r>
      <w:r w:rsidRPr="00C92F30">
        <w:t xml:space="preserve">volution d’indépendance nationale d’Haïti, de l’ethno-nationalisme à l’universalisme des droits de l’Homme (concepts et conceptions des droits de l’homme dans la dynamique du message révolutionnaire haïtien) », </w:t>
      </w:r>
      <w:r w:rsidRPr="00C92F30">
        <w:rPr>
          <w:i/>
        </w:rPr>
        <w:t>Co</w:t>
      </w:r>
      <w:r w:rsidRPr="00C92F30">
        <w:rPr>
          <w:i/>
        </w:rPr>
        <w:t>l</w:t>
      </w:r>
      <w:r w:rsidRPr="00C92F30">
        <w:rPr>
          <w:i/>
        </w:rPr>
        <w:t>loque international. Révolution haïtienne et Universalité des droits de l’Homme. Apports, parcours historique, perspectives</w:t>
      </w:r>
      <w:r w:rsidRPr="00C92F30">
        <w:t xml:space="preserve"> à l’occasion du soixantième ann</w:t>
      </w:r>
      <w:r w:rsidRPr="00C92F30">
        <w:t>i</w:t>
      </w:r>
      <w:r w:rsidRPr="00C92F30">
        <w:t>versaire de la Déclaration universelle des droits de l’Homme, Port-au-Prince, août 2009.</w:t>
      </w:r>
    </w:p>
  </w:footnote>
  <w:footnote w:id="601">
    <w:p w:rsidR="004C50DC" w:rsidRDefault="004C50DC">
      <w:pPr>
        <w:pStyle w:val="Notedebasdepage"/>
      </w:pPr>
      <w:r>
        <w:rPr>
          <w:rStyle w:val="Appelnotedebasdep"/>
        </w:rPr>
        <w:footnoteRef/>
      </w:r>
      <w:r>
        <w:t xml:space="preserve"> </w:t>
      </w:r>
      <w:r>
        <w:tab/>
      </w:r>
      <w:r w:rsidRPr="00C92F30">
        <w:t>À ce propos, le professeur René A. Saint-Louis note que « le préjugé de co</w:t>
      </w:r>
      <w:r w:rsidRPr="00C92F30">
        <w:t>u</w:t>
      </w:r>
      <w:r w:rsidRPr="00C92F30">
        <w:t>leur définira les attitudes et les démarches des divers secteurs de la société haïtie</w:t>
      </w:r>
      <w:r w:rsidRPr="00C92F30">
        <w:t>n</w:t>
      </w:r>
      <w:r w:rsidRPr="00C92F30">
        <w:t>ne dans leurs rapports économiques suivant les régions » ; René A. Saint-Louis, op.cit., p. 85.</w:t>
      </w:r>
    </w:p>
  </w:footnote>
  <w:footnote w:id="602">
    <w:p w:rsidR="004C50DC" w:rsidRDefault="004C50DC">
      <w:pPr>
        <w:pStyle w:val="Notedebasdepage"/>
      </w:pPr>
      <w:r>
        <w:rPr>
          <w:rStyle w:val="Appelnotedebasdep"/>
        </w:rPr>
        <w:footnoteRef/>
      </w:r>
      <w:r>
        <w:t xml:space="preserve"> </w:t>
      </w:r>
      <w:r>
        <w:tab/>
      </w:r>
      <w:r w:rsidRPr="00C92F30">
        <w:rPr>
          <w:lang w:val="fr-FR"/>
        </w:rPr>
        <w:t>François Duvalier ne tolérait pas la position de l’oligarchie économique mul</w:t>
      </w:r>
      <w:r w:rsidRPr="00C92F30">
        <w:rPr>
          <w:lang w:val="fr-FR"/>
        </w:rPr>
        <w:t>â</w:t>
      </w:r>
      <w:r w:rsidRPr="00C92F30">
        <w:rPr>
          <w:lang w:val="fr-FR"/>
        </w:rPr>
        <w:t>tresse qui affichait un préjugé de couleur contre la masse des Noirs dans ce</w:t>
      </w:r>
      <w:r w:rsidRPr="00C92F30">
        <w:rPr>
          <w:lang w:val="fr-FR"/>
        </w:rPr>
        <w:t>t</w:t>
      </w:r>
      <w:r w:rsidRPr="00C92F30">
        <w:rPr>
          <w:lang w:val="fr-FR"/>
        </w:rPr>
        <w:t>te ville. Il en a profité pour matérialiser les haines et les rancœurs longtemps nourries dans la population contre les mulâtres. Durant deux jours, des fami</w:t>
      </w:r>
      <w:r w:rsidRPr="00C92F30">
        <w:rPr>
          <w:lang w:val="fr-FR"/>
        </w:rPr>
        <w:t>l</w:t>
      </w:r>
      <w:r w:rsidRPr="00C92F30">
        <w:rPr>
          <w:lang w:val="fr-FR"/>
        </w:rPr>
        <w:t>les enti</w:t>
      </w:r>
      <w:r w:rsidRPr="00C92F30">
        <w:rPr>
          <w:lang w:val="fr-FR"/>
        </w:rPr>
        <w:t>è</w:t>
      </w:r>
      <w:r w:rsidRPr="00C92F30">
        <w:rPr>
          <w:lang w:val="fr-FR"/>
        </w:rPr>
        <w:t>res (femmes, hommes, enfants et vieillards) ont été exécutées. Sur ce sujet, voir Franck Laraque, « Les Vêpres jérémiennes et le préjugé de co</w:t>
      </w:r>
      <w:r w:rsidRPr="00C92F30">
        <w:rPr>
          <w:lang w:val="fr-FR"/>
        </w:rPr>
        <w:t>u</w:t>
      </w:r>
      <w:r w:rsidRPr="00C92F30">
        <w:rPr>
          <w:lang w:val="fr-FR"/>
        </w:rPr>
        <w:t xml:space="preserve">leur », dans Paul Laraque et Franck Laraque, </w:t>
      </w:r>
      <w:r w:rsidRPr="00C92F30">
        <w:rPr>
          <w:i/>
          <w:lang w:val="fr-FR"/>
        </w:rPr>
        <w:t>Haïti. La lutte et l’espoir</w:t>
      </w:r>
      <w:r w:rsidRPr="00C92F30">
        <w:rPr>
          <w:lang w:val="fr-FR"/>
        </w:rPr>
        <w:t>, Cidh</w:t>
      </w:r>
      <w:r w:rsidRPr="00C92F30">
        <w:rPr>
          <w:lang w:val="fr-FR"/>
        </w:rPr>
        <w:t>i</w:t>
      </w:r>
      <w:r w:rsidRPr="00C92F30">
        <w:rPr>
          <w:lang w:val="fr-FR"/>
        </w:rPr>
        <w:t xml:space="preserve">ca, Montréal, 2003 ; Jean Hénold Buteau, « À propos des vêpres de Jérémie », </w:t>
      </w:r>
      <w:r w:rsidRPr="00C92F30">
        <w:rPr>
          <w:i/>
          <w:lang w:val="fr-FR"/>
        </w:rPr>
        <w:t>Le Nouvelliste</w:t>
      </w:r>
      <w:r w:rsidRPr="00C92F30">
        <w:rPr>
          <w:lang w:val="fr-FR"/>
        </w:rPr>
        <w:t>, 22 août 2014, en ligne,</w:t>
      </w:r>
      <w:r>
        <w:rPr>
          <w:lang w:val="fr-FR"/>
        </w:rPr>
        <w:br/>
      </w:r>
      <w:hyperlink r:id="rId96" w:history="1">
        <w:r w:rsidRPr="00C92F30">
          <w:rPr>
            <w:rStyle w:val="Lienhypertexte"/>
            <w:lang w:val="fr-FR"/>
          </w:rPr>
          <w:t>http://lenouvelliste.com/lenouvelliste/article/134823/A-propos-des-vepres-de-Jeremie</w:t>
        </w:r>
      </w:hyperlink>
      <w:r w:rsidRPr="00C92F30">
        <w:rPr>
          <w:lang w:val="fr-FR"/>
        </w:rPr>
        <w:t>, consulté le 12 février 2014.</w:t>
      </w:r>
    </w:p>
  </w:footnote>
  <w:footnote w:id="603">
    <w:p w:rsidR="004C50DC" w:rsidRDefault="004C50DC">
      <w:pPr>
        <w:pStyle w:val="Notedebasdepage"/>
      </w:pPr>
      <w:r>
        <w:rPr>
          <w:rStyle w:val="Appelnotedebasdep"/>
        </w:rPr>
        <w:footnoteRef/>
      </w:r>
      <w:r>
        <w:t xml:space="preserve"> </w:t>
      </w:r>
      <w:r>
        <w:tab/>
      </w:r>
      <w:r w:rsidRPr="00C92F30">
        <w:t>David Nicholls, « Idéologie et mouvements politiques en Haïti, 1915-1946 », dans Marc Ferro (dir.)</w:t>
      </w:r>
      <w:r w:rsidRPr="00C92F30">
        <w:rPr>
          <w:i/>
        </w:rPr>
        <w:t>, Le livre noir du colonialisme. XVI</w:t>
      </w:r>
      <w:r w:rsidRPr="00C92F30">
        <w:rPr>
          <w:i/>
          <w:vertAlign w:val="superscript"/>
        </w:rPr>
        <w:t>e</w:t>
      </w:r>
      <w:r w:rsidRPr="00C92F30">
        <w:rPr>
          <w:i/>
        </w:rPr>
        <w:t>-XXI</w:t>
      </w:r>
      <w:r w:rsidRPr="00C92F30">
        <w:rPr>
          <w:i/>
          <w:vertAlign w:val="superscript"/>
        </w:rPr>
        <w:t>e</w:t>
      </w:r>
      <w:r w:rsidRPr="00C92F30">
        <w:rPr>
          <w:i/>
        </w:rPr>
        <w:t xml:space="preserve"> siècle : de l’extermination à la  repentance,</w:t>
      </w:r>
      <w:r w:rsidRPr="00C92F30">
        <w:t xml:space="preserve"> Paris, Hachette, 2004, p. 304.</w:t>
      </w:r>
    </w:p>
  </w:footnote>
  <w:footnote w:id="604">
    <w:p w:rsidR="004C50DC" w:rsidRPr="00C92F30" w:rsidRDefault="004C50DC" w:rsidP="004C50DC">
      <w:pPr>
        <w:pStyle w:val="Notedebasdepage"/>
      </w:pPr>
      <w:r w:rsidRPr="001E04C4">
        <w:rPr>
          <w:rStyle w:val="Appelnotedebasdep"/>
        </w:rPr>
        <w:footnoteRef/>
      </w:r>
      <w:r>
        <w:tab/>
      </w:r>
      <w:r w:rsidRPr="00C92F30">
        <w:t>Dorsainvil rapporte que : « De la chute de Rivière Hérard à l’avènement de So</w:t>
      </w:r>
      <w:r w:rsidRPr="00C92F30">
        <w:t>u</w:t>
      </w:r>
      <w:r w:rsidRPr="00C92F30">
        <w:t xml:space="preserve">louque, une politique étrange prévalut en notre paysappelée : </w:t>
      </w:r>
      <w:r w:rsidRPr="00C92F30">
        <w:rPr>
          <w:i/>
        </w:rPr>
        <w:t>politique de doublure</w:t>
      </w:r>
      <w:r w:rsidRPr="00C92F30">
        <w:t>. Elle consistait à porter au pouvoir un noir des plus ignorants, pour diriger le gouvernement en son nom » ; voir Justin Chrysostome Do</w:t>
      </w:r>
      <w:r w:rsidRPr="00C92F30">
        <w:t>r</w:t>
      </w:r>
      <w:r w:rsidRPr="00C92F30">
        <w:t xml:space="preserve">sainvil, </w:t>
      </w:r>
      <w:r w:rsidRPr="00C92F30">
        <w:rPr>
          <w:i/>
        </w:rPr>
        <w:t>Manuel d’histoire d’Haïti</w:t>
      </w:r>
      <w:r w:rsidRPr="00C92F30">
        <w:t>, Port-au-Prince, Procure des Frères de l’Instruction chrétienne, 1934, p. 243.</w:t>
      </w:r>
    </w:p>
  </w:footnote>
  <w:footnote w:id="605">
    <w:p w:rsidR="004C50DC" w:rsidRDefault="004C50DC">
      <w:pPr>
        <w:pStyle w:val="Notedebasdepage"/>
      </w:pPr>
      <w:r>
        <w:rPr>
          <w:rStyle w:val="Appelnotedebasdep"/>
        </w:rPr>
        <w:footnoteRef/>
      </w:r>
      <w:r>
        <w:t xml:space="preserve"> </w:t>
      </w:r>
      <w:r>
        <w:tab/>
      </w:r>
      <w:r w:rsidRPr="00C92F30">
        <w:t>Jean Leslie Péan, op. cit., en ligne,</w:t>
      </w:r>
      <w:r>
        <w:br/>
      </w:r>
      <w:r w:rsidRPr="00C92F30">
        <w:t>http://lenouvelliste.com/lenouvelliste/article/41536/Texte-de-presentation-de-Leslie-Pean-a-lAcademie-Dominicaine-dHistoire.</w:t>
      </w:r>
    </w:p>
  </w:footnote>
  <w:footnote w:id="606">
    <w:p w:rsidR="004C50DC" w:rsidRDefault="004C50DC">
      <w:pPr>
        <w:pStyle w:val="Notedebasdepage"/>
      </w:pPr>
      <w:r>
        <w:rPr>
          <w:rStyle w:val="Appelnotedebasdep"/>
        </w:rPr>
        <w:footnoteRef/>
      </w:r>
      <w:r>
        <w:t xml:space="preserve"> </w:t>
      </w:r>
      <w:r>
        <w:tab/>
      </w:r>
      <w:r w:rsidRPr="00C92F30">
        <w:t>Jean Leslie Péan, « Haïti : Retour sur l’article “Économie d’une langue et la</w:t>
      </w:r>
      <w:r w:rsidRPr="00C92F30">
        <w:t>n</w:t>
      </w:r>
      <w:r w:rsidRPr="00C92F30">
        <w:t xml:space="preserve">gue d’une économie” », op. cit. </w:t>
      </w:r>
    </w:p>
  </w:footnote>
  <w:footnote w:id="607">
    <w:p w:rsidR="004C50DC" w:rsidRDefault="004C50DC">
      <w:pPr>
        <w:pStyle w:val="Notedebasdepage"/>
      </w:pPr>
      <w:r>
        <w:rPr>
          <w:rStyle w:val="Appelnotedebasdep"/>
        </w:rPr>
        <w:footnoteRef/>
      </w:r>
      <w:r>
        <w:t xml:space="preserve"> </w:t>
      </w:r>
      <w:r>
        <w:tab/>
      </w:r>
      <w:r w:rsidRPr="00C92F30">
        <w:t xml:space="preserve">Leslie Péan, </w:t>
      </w:r>
      <w:r w:rsidRPr="004C5227">
        <w:rPr>
          <w:i/>
        </w:rPr>
        <w:t>op. cit</w:t>
      </w:r>
      <w:r w:rsidRPr="00C92F30">
        <w:t>., En l</w:t>
      </w:r>
      <w:r w:rsidRPr="00C92F30">
        <w:t>i</w:t>
      </w:r>
      <w:r w:rsidRPr="00C92F30">
        <w:t>gne :</w:t>
      </w:r>
      <w:r>
        <w:br/>
      </w:r>
      <w:hyperlink r:id="rId97" w:history="1">
        <w:r w:rsidRPr="00C92F30">
          <w:rPr>
            <w:rStyle w:val="Lienhypertexte"/>
            <w:color w:val="auto"/>
          </w:rPr>
          <w:t>http://lenouvelliste.com/lenouvelliste/article/41536/Texte-de-presentation-de-Leslie-Pean-a-lAcademie-Dominicaine-dHistoire</w:t>
        </w:r>
      </w:hyperlink>
      <w:r w:rsidRPr="00C92F30">
        <w:t xml:space="preserve">. </w:t>
      </w:r>
    </w:p>
  </w:footnote>
  <w:footnote w:id="608">
    <w:p w:rsidR="004C50DC" w:rsidRDefault="004C50DC">
      <w:pPr>
        <w:pStyle w:val="Notedebasdepage"/>
      </w:pPr>
      <w:r>
        <w:rPr>
          <w:rStyle w:val="Appelnotedebasdep"/>
        </w:rPr>
        <w:footnoteRef/>
      </w:r>
      <w:r>
        <w:t xml:space="preserve"> </w:t>
      </w:r>
      <w:r>
        <w:tab/>
      </w:r>
      <w:r w:rsidRPr="00C92F30">
        <w:rPr>
          <w:lang w:val="en-US"/>
        </w:rPr>
        <w:t xml:space="preserve">David Nicholls, </w:t>
      </w:r>
      <w:r w:rsidRPr="004C5227">
        <w:rPr>
          <w:i/>
          <w:lang w:val="en-US"/>
        </w:rPr>
        <w:t>op. cit</w:t>
      </w:r>
      <w:r w:rsidRPr="00C92F30">
        <w:rPr>
          <w:lang w:val="en-US"/>
        </w:rPr>
        <w:t>.,</w:t>
      </w:r>
      <w:r w:rsidRPr="00C92F30">
        <w:rPr>
          <w:bCs/>
          <w:lang w:val="en-US"/>
        </w:rPr>
        <w:t xml:space="preserve"> p. 304.</w:t>
      </w:r>
    </w:p>
  </w:footnote>
  <w:footnote w:id="609">
    <w:p w:rsidR="004C50DC" w:rsidRDefault="004C50DC">
      <w:pPr>
        <w:pStyle w:val="Notedebasdepage"/>
      </w:pPr>
      <w:r>
        <w:rPr>
          <w:rStyle w:val="Appelnotedebasdep"/>
        </w:rPr>
        <w:footnoteRef/>
      </w:r>
      <w:r>
        <w:t xml:space="preserve"> </w:t>
      </w:r>
      <w:r>
        <w:tab/>
      </w:r>
      <w:r w:rsidRPr="004C5227">
        <w:rPr>
          <w:i/>
        </w:rPr>
        <w:t>Ibid</w:t>
      </w:r>
      <w:r w:rsidRPr="00C92F30">
        <w:t>.</w:t>
      </w:r>
    </w:p>
  </w:footnote>
  <w:footnote w:id="610">
    <w:p w:rsidR="004C50DC" w:rsidRDefault="004C50DC">
      <w:pPr>
        <w:pStyle w:val="Notedebasdepage"/>
      </w:pPr>
      <w:r>
        <w:rPr>
          <w:rStyle w:val="Appelnotedebasdep"/>
        </w:rPr>
        <w:footnoteRef/>
      </w:r>
      <w:r>
        <w:t xml:space="preserve"> </w:t>
      </w:r>
      <w:r>
        <w:tab/>
      </w:r>
      <w:r w:rsidRPr="00C92F30">
        <w:t>Selon Claude Roumain, cette lettre de 45 pages datée de 1966 est le testament politique de Jean Price-Mars. Claude Roumain intervenait dans une émi</w:t>
      </w:r>
      <w:r w:rsidRPr="00C92F30">
        <w:t>s</w:t>
      </w:r>
      <w:r w:rsidRPr="00C92F30">
        <w:t xml:space="preserve">sion sur la radio </w:t>
      </w:r>
      <w:r w:rsidRPr="00C92F30">
        <w:rPr>
          <w:i/>
        </w:rPr>
        <w:t>Signal FM</w:t>
      </w:r>
      <w:r w:rsidRPr="00C92F30">
        <w:t>, en ligne,</w:t>
      </w:r>
      <w:r>
        <w:br/>
      </w:r>
      <w:hyperlink r:id="rId98" w:history="1">
        <w:r w:rsidRPr="00C92F30">
          <w:rPr>
            <w:rStyle w:val="Lienhypertexte"/>
            <w:color w:val="auto"/>
          </w:rPr>
          <w:t>http://www.signalfmhaiti.com/articles/categorie/2012-02-08-01-57-30/1787-haiti-culture-il-a-perdu-la-presidentielle-de-1930-parce-que-les-votes-ont-ete-achetes.html</w:t>
        </w:r>
      </w:hyperlink>
      <w:r w:rsidRPr="00C92F30">
        <w:t>, 06 juin 2014, consulté le 17 octobre 2014.</w:t>
      </w:r>
    </w:p>
  </w:footnote>
  <w:footnote w:id="611">
    <w:p w:rsidR="004C50DC" w:rsidRDefault="004C50DC">
      <w:pPr>
        <w:pStyle w:val="Notedebasdepage"/>
      </w:pPr>
      <w:r>
        <w:rPr>
          <w:rStyle w:val="Appelnotedebasdep"/>
        </w:rPr>
        <w:footnoteRef/>
      </w:r>
      <w:r>
        <w:t xml:space="preserve"> </w:t>
      </w:r>
      <w:r>
        <w:tab/>
      </w:r>
      <w:r w:rsidRPr="00C92F30">
        <w:t xml:space="preserve">René Piquion, </w:t>
      </w:r>
      <w:r w:rsidRPr="00C92F30">
        <w:rPr>
          <w:i/>
        </w:rPr>
        <w:t>Manuel de négritude</w:t>
      </w:r>
      <w:r w:rsidRPr="00C92F30">
        <w:t>, Port-au-Prince, Henri Deschamps, 1965.</w:t>
      </w:r>
    </w:p>
  </w:footnote>
  <w:footnote w:id="612">
    <w:p w:rsidR="004C50DC" w:rsidRDefault="004C50DC">
      <w:pPr>
        <w:pStyle w:val="Notedebasdepage"/>
      </w:pPr>
      <w:r>
        <w:rPr>
          <w:rStyle w:val="Appelnotedebasdep"/>
        </w:rPr>
        <w:footnoteRef/>
      </w:r>
      <w:r>
        <w:t xml:space="preserve"> </w:t>
      </w:r>
      <w:r>
        <w:tab/>
      </w:r>
      <w:r w:rsidRPr="00C92F30">
        <w:t>Claude Roumain, intervention radiophonique, op. cit.</w:t>
      </w:r>
    </w:p>
  </w:footnote>
  <w:footnote w:id="613">
    <w:p w:rsidR="004C50DC" w:rsidRDefault="004C50DC">
      <w:pPr>
        <w:pStyle w:val="Notedebasdepage"/>
      </w:pPr>
      <w:r>
        <w:rPr>
          <w:rStyle w:val="Appelnotedebasdep"/>
        </w:rPr>
        <w:footnoteRef/>
      </w:r>
      <w:r>
        <w:t xml:space="preserve"> </w:t>
      </w:r>
      <w:r>
        <w:tab/>
      </w:r>
      <w:r w:rsidRPr="004C5227">
        <w:rPr>
          <w:i/>
        </w:rPr>
        <w:t>Ibid</w:t>
      </w:r>
      <w:r w:rsidRPr="00C92F30">
        <w:t>.</w:t>
      </w:r>
    </w:p>
  </w:footnote>
  <w:footnote w:id="614">
    <w:p w:rsidR="004C50DC" w:rsidRDefault="004C50DC">
      <w:pPr>
        <w:pStyle w:val="Notedebasdepage"/>
      </w:pPr>
      <w:r>
        <w:rPr>
          <w:rStyle w:val="Appelnotedebasdep"/>
        </w:rPr>
        <w:footnoteRef/>
      </w:r>
      <w:r>
        <w:t xml:space="preserve"> </w:t>
      </w:r>
      <w:r>
        <w:tab/>
      </w:r>
      <w:r w:rsidRPr="00C92F30">
        <w:t xml:space="preserve">Dans le créole haïtien, un </w:t>
      </w:r>
      <w:r w:rsidRPr="00C92F30">
        <w:rPr>
          <w:i/>
        </w:rPr>
        <w:t>sousou</w:t>
      </w:r>
      <w:r w:rsidRPr="00C92F30">
        <w:t xml:space="preserve"> est une </w:t>
      </w:r>
      <w:r w:rsidRPr="00C92F30">
        <w:rPr>
          <w:lang w:eastAsia="en-CA"/>
        </w:rPr>
        <w:t>personne qui flatte bassement que</w:t>
      </w:r>
      <w:r w:rsidRPr="00C92F30">
        <w:rPr>
          <w:lang w:eastAsia="en-CA"/>
        </w:rPr>
        <w:t>l</w:t>
      </w:r>
      <w:r w:rsidRPr="00C92F30">
        <w:rPr>
          <w:lang w:eastAsia="en-CA"/>
        </w:rPr>
        <w:t>qu’un de façon obséquieuse</w:t>
      </w:r>
      <w:r w:rsidRPr="00C92F30">
        <w:rPr>
          <w:color w:val="424242"/>
          <w:lang w:eastAsia="en-CA"/>
        </w:rPr>
        <w:t>.</w:t>
      </w:r>
    </w:p>
  </w:footnote>
  <w:footnote w:id="615">
    <w:p w:rsidR="004C50DC" w:rsidRDefault="004C50DC">
      <w:pPr>
        <w:pStyle w:val="Notedebasdepage"/>
      </w:pPr>
      <w:r>
        <w:rPr>
          <w:rStyle w:val="Appelnotedebasdep"/>
        </w:rPr>
        <w:footnoteRef/>
      </w:r>
      <w:r>
        <w:t xml:space="preserve"> </w:t>
      </w:r>
      <w:r>
        <w:tab/>
      </w:r>
      <w:hyperlink r:id="rId99" w:history="1">
        <w:r w:rsidRPr="004C5227">
          <w:rPr>
            <w:rStyle w:val="Lienhypertexte"/>
          </w:rPr>
          <w:t>Leslie François Manigat, entrevue à Télémax</w:t>
        </w:r>
      </w:hyperlink>
      <w:r w:rsidRPr="004C5227">
        <w:t>, Émission « Profil »</w:t>
      </w:r>
      <w:r>
        <w:t xml:space="preserve"> </w:t>
      </w:r>
      <w:r w:rsidRPr="004C5227">
        <w:t>du 30 se</w:t>
      </w:r>
      <w:r w:rsidRPr="004C5227">
        <w:t>p</w:t>
      </w:r>
      <w:r w:rsidRPr="004C5227">
        <w:t>tembre 1999</w:t>
      </w:r>
      <w:r w:rsidRPr="00C92F30">
        <w:t xml:space="preserve">, en ligne, </w:t>
      </w:r>
      <w:hyperlink r:id="rId100" w:history="1">
        <w:r w:rsidRPr="00C92F30">
          <w:rPr>
            <w:rStyle w:val="Lienhypertexte"/>
          </w:rPr>
          <w:t>https://www.youtube.com/watch?v=b7tOpUJA-YY</w:t>
        </w:r>
      </w:hyperlink>
      <w:r w:rsidRPr="00C92F30">
        <w:t xml:space="preserve">, </w:t>
      </w:r>
      <w:r w:rsidRPr="00C92F30">
        <w:rPr>
          <w:lang w:val="fr-FR"/>
        </w:rPr>
        <w:t>publié le 6 oct. 2014,</w:t>
      </w:r>
      <w:r w:rsidRPr="00C92F30">
        <w:t xml:space="preserve"> consulté le 12 mars 2015.</w:t>
      </w:r>
    </w:p>
  </w:footnote>
  <w:footnote w:id="616">
    <w:p w:rsidR="004C50DC" w:rsidRDefault="004C50DC">
      <w:pPr>
        <w:pStyle w:val="Notedebasdepage"/>
      </w:pPr>
      <w:r>
        <w:rPr>
          <w:rStyle w:val="Appelnotedebasdep"/>
        </w:rPr>
        <w:footnoteRef/>
      </w:r>
      <w:r>
        <w:t xml:space="preserve"> </w:t>
      </w:r>
      <w:r>
        <w:tab/>
      </w:r>
      <w:r w:rsidRPr="00C92F30">
        <w:t xml:space="preserve">Jacques Roumain, « Éditions Prolétariennes », </w:t>
      </w:r>
      <w:r w:rsidRPr="00C92F30">
        <w:rPr>
          <w:i/>
        </w:rPr>
        <w:t>Analyse schématique</w:t>
      </w:r>
      <w:r w:rsidRPr="00C92F30">
        <w:t>32-34, 15 juin 1984, p. 37.</w:t>
      </w:r>
    </w:p>
  </w:footnote>
  <w:footnote w:id="617">
    <w:p w:rsidR="004C50DC" w:rsidRDefault="004C50DC">
      <w:pPr>
        <w:pStyle w:val="Notedebasdepage"/>
      </w:pPr>
      <w:r>
        <w:rPr>
          <w:rStyle w:val="Appelnotedebasdep"/>
        </w:rPr>
        <w:footnoteRef/>
      </w:r>
      <w:r>
        <w:t xml:space="preserve"> </w:t>
      </w:r>
      <w:r>
        <w:tab/>
      </w:r>
      <w:r w:rsidRPr="00C92F30">
        <w:t xml:space="preserve">Nicole Siméon, « Que dire d’être Noir dans la “république” de Pétion-Ville ? », en ligne, </w:t>
      </w:r>
      <w:r w:rsidRPr="00C92F30">
        <w:rPr>
          <w:i/>
        </w:rPr>
        <w:t>Le Nouvelliste</w:t>
      </w:r>
      <w:r w:rsidRPr="00C92F30">
        <w:t>, mercredi 11 juillet 2012, consulté le 11 n</w:t>
      </w:r>
      <w:r w:rsidRPr="00C92F30">
        <w:t>o</w:t>
      </w:r>
      <w:r w:rsidRPr="00C92F30">
        <w:t>vembre 2013.</w:t>
      </w:r>
    </w:p>
  </w:footnote>
  <w:footnote w:id="618">
    <w:p w:rsidR="004C50DC" w:rsidRDefault="004C50DC">
      <w:pPr>
        <w:pStyle w:val="Notedebasdepage"/>
      </w:pPr>
      <w:r>
        <w:rPr>
          <w:rStyle w:val="Appelnotedebasdep"/>
        </w:rPr>
        <w:footnoteRef/>
      </w:r>
      <w:r>
        <w:t xml:space="preserve"> </w:t>
      </w:r>
      <w:r>
        <w:tab/>
      </w:r>
      <w:r w:rsidRPr="00C92F30">
        <w:t>Ibid.</w:t>
      </w:r>
    </w:p>
  </w:footnote>
  <w:footnote w:id="619">
    <w:p w:rsidR="004C50DC" w:rsidRDefault="004C50DC">
      <w:pPr>
        <w:pStyle w:val="Notedebasdepage"/>
      </w:pPr>
      <w:r>
        <w:rPr>
          <w:rStyle w:val="Appelnotedebasdep"/>
        </w:rPr>
        <w:footnoteRef/>
      </w:r>
      <w:r>
        <w:t xml:space="preserve"> </w:t>
      </w:r>
      <w:r>
        <w:tab/>
      </w:r>
      <w:r w:rsidRPr="00C92F30">
        <w:t xml:space="preserve">Ces propos ont été rapportés dans notre cahier de terrain le 27 octobre 2013 lors d’une visite au bureau des UNPOL à Frères, localité de Pétion-Ville. </w:t>
      </w:r>
    </w:p>
  </w:footnote>
  <w:footnote w:id="620">
    <w:p w:rsidR="004C50DC" w:rsidRPr="00C92F30" w:rsidRDefault="004C50DC" w:rsidP="004C50DC">
      <w:pPr>
        <w:autoSpaceDE w:val="0"/>
        <w:autoSpaceDN w:val="0"/>
        <w:adjustRightInd w:val="0"/>
        <w:jc w:val="both"/>
        <w:rPr>
          <w:sz w:val="24"/>
          <w:lang w:val="fr-FR"/>
        </w:rPr>
      </w:pPr>
      <w:r w:rsidRPr="00C92F30">
        <w:rPr>
          <w:rStyle w:val="Appelnotedebasdep"/>
          <w:sz w:val="24"/>
          <w:lang w:val="fr-FR"/>
        </w:rPr>
        <w:footnoteRef/>
      </w:r>
      <w:r w:rsidRPr="00C92F30">
        <w:rPr>
          <w:rFonts w:eastAsia="Calibri"/>
          <w:sz w:val="24"/>
          <w:lang w:val="fr-FR" w:eastAsia="en-CA"/>
        </w:rPr>
        <w:t xml:space="preserve">Micheline Labelle, </w:t>
      </w:r>
      <w:r w:rsidRPr="00C92F30">
        <w:rPr>
          <w:rFonts w:eastAsia="Calibri"/>
          <w:i/>
          <w:sz w:val="24"/>
          <w:lang w:val="fr-FR" w:eastAsia="en-CA"/>
        </w:rPr>
        <w:t>Idéologie de couleur et classes sociales en Haïti</w:t>
      </w:r>
      <w:r w:rsidRPr="00C92F30">
        <w:rPr>
          <w:rFonts w:eastAsia="Calibri"/>
          <w:sz w:val="24"/>
          <w:lang w:val="fr-FR" w:eastAsia="en-CA"/>
        </w:rPr>
        <w:t>, Mo</w:t>
      </w:r>
      <w:r w:rsidRPr="00C92F30">
        <w:rPr>
          <w:rFonts w:eastAsia="Calibri"/>
          <w:sz w:val="24"/>
          <w:lang w:val="fr-FR" w:eastAsia="en-CA"/>
        </w:rPr>
        <w:t>n</w:t>
      </w:r>
      <w:r w:rsidRPr="00C92F30">
        <w:rPr>
          <w:rFonts w:eastAsia="Calibri"/>
          <w:sz w:val="24"/>
          <w:lang w:val="fr-FR" w:eastAsia="en-CA"/>
        </w:rPr>
        <w:t xml:space="preserve">tréal, Les Presses de l’Université de Montréal, 1987, p. 317-318. </w:t>
      </w:r>
    </w:p>
  </w:footnote>
  <w:footnote w:id="621">
    <w:p w:rsidR="004C50DC" w:rsidRDefault="004C50DC">
      <w:pPr>
        <w:pStyle w:val="Notedebasdepage"/>
      </w:pPr>
      <w:r>
        <w:rPr>
          <w:rStyle w:val="Appelnotedebasdep"/>
        </w:rPr>
        <w:footnoteRef/>
      </w:r>
      <w:r>
        <w:t xml:space="preserve"> </w:t>
      </w:r>
      <w:r>
        <w:tab/>
      </w:r>
      <w:r w:rsidRPr="00C92F30">
        <w:rPr>
          <w:lang w:val="fr-FR"/>
        </w:rPr>
        <w:t xml:space="preserve">Anthénor Firmin rejetait la thèse soutenue par Joseph-Arthur de Gobineau dans son </w:t>
      </w:r>
      <w:hyperlink r:id="rId101" w:history="1">
        <w:r w:rsidRPr="004C5227">
          <w:rPr>
            <w:rStyle w:val="Lienhypertexte"/>
            <w:i/>
            <w:lang w:val="fr-FR"/>
          </w:rPr>
          <w:t>Essai sur l’inégalité des races humaines (1853-1855)</w:t>
        </w:r>
      </w:hyperlink>
      <w:r w:rsidRPr="00C92F30">
        <w:rPr>
          <w:lang w:val="fr-FR"/>
        </w:rPr>
        <w:t>, Paris, Pierre Be</w:t>
      </w:r>
      <w:r w:rsidRPr="00C92F30">
        <w:rPr>
          <w:lang w:val="fr-FR"/>
        </w:rPr>
        <w:t>l</w:t>
      </w:r>
      <w:r w:rsidRPr="00C92F30">
        <w:rPr>
          <w:lang w:val="fr-FR"/>
        </w:rPr>
        <w:t>fond, 1967.</w:t>
      </w:r>
    </w:p>
  </w:footnote>
  <w:footnote w:id="622">
    <w:p w:rsidR="004C50DC" w:rsidRDefault="004C50DC">
      <w:pPr>
        <w:pStyle w:val="Notedebasdepage"/>
      </w:pPr>
      <w:r>
        <w:rPr>
          <w:rStyle w:val="Appelnotedebasdep"/>
        </w:rPr>
        <w:footnoteRef/>
      </w:r>
      <w:r>
        <w:t xml:space="preserve"> </w:t>
      </w:r>
      <w:r>
        <w:tab/>
      </w:r>
      <w:r w:rsidRPr="00C92F30">
        <w:t>Il est à constater l’émergence d’une élite économique noire au cours de la deuxième moitié du XX</w:t>
      </w:r>
      <w:r w:rsidRPr="00C92F30">
        <w:rPr>
          <w:vertAlign w:val="superscript"/>
        </w:rPr>
        <w:t>e</w:t>
      </w:r>
      <w:r w:rsidRPr="00C92F30">
        <w:t xml:space="preserve"> siècle en Haïti. </w:t>
      </w:r>
    </w:p>
  </w:footnote>
  <w:footnote w:id="623">
    <w:p w:rsidR="004C50DC" w:rsidRDefault="004C50DC">
      <w:pPr>
        <w:pStyle w:val="Notedebasdepage"/>
      </w:pPr>
      <w:r>
        <w:rPr>
          <w:rStyle w:val="Appelnotedebasdep"/>
        </w:rPr>
        <w:footnoteRef/>
      </w:r>
      <w:r>
        <w:t xml:space="preserve"> </w:t>
      </w:r>
      <w:r>
        <w:tab/>
      </w:r>
      <w:r w:rsidRPr="00C92F30">
        <w:t xml:space="preserve">Voir Leslie Jean-Robert Péan, </w:t>
      </w:r>
      <w:r w:rsidRPr="00C92F30">
        <w:rPr>
          <w:i/>
        </w:rPr>
        <w:t>Haïti, économie politique de la corruption. L’État marron</w:t>
      </w:r>
      <w:r w:rsidRPr="00C92F30">
        <w:t>, tome 2, Paris, Maisonneuve et Larose, 2003.</w:t>
      </w:r>
    </w:p>
  </w:footnote>
  <w:footnote w:id="624">
    <w:p w:rsidR="004C50DC" w:rsidRDefault="004C50DC">
      <w:pPr>
        <w:pStyle w:val="Notedebasdepage"/>
      </w:pPr>
      <w:r>
        <w:rPr>
          <w:rStyle w:val="Appelnotedebasdep"/>
        </w:rPr>
        <w:footnoteRef/>
      </w:r>
      <w:r>
        <w:t xml:space="preserve"> </w:t>
      </w:r>
      <w:r>
        <w:tab/>
      </w:r>
      <w:r w:rsidRPr="00C92F30">
        <w:rPr>
          <w:lang w:eastAsia="en-CA"/>
        </w:rPr>
        <w:t xml:space="preserve">Michel Foucault, </w:t>
      </w:r>
      <w:r w:rsidRPr="00C92F30">
        <w:rPr>
          <w:i/>
          <w:lang w:eastAsia="en-CA"/>
        </w:rPr>
        <w:t>Dits et écrits</w:t>
      </w:r>
      <w:r w:rsidRPr="00C92F30">
        <w:rPr>
          <w:lang w:eastAsia="en-CA"/>
        </w:rPr>
        <w:t xml:space="preserve">, tome III, Gallimard, Paris, 1994, </w:t>
      </w:r>
      <w:r>
        <w:rPr>
          <w:lang w:eastAsia="en-CA"/>
        </w:rPr>
        <w:t>p</w:t>
      </w:r>
      <w:r w:rsidRPr="00C92F30">
        <w:rPr>
          <w:lang w:eastAsia="en-CA"/>
        </w:rPr>
        <w:t>. 625-635.</w:t>
      </w:r>
    </w:p>
  </w:footnote>
  <w:footnote w:id="625">
    <w:p w:rsidR="004C50DC" w:rsidRDefault="004C50DC">
      <w:pPr>
        <w:pStyle w:val="Notedebasdepage"/>
      </w:pPr>
      <w:r>
        <w:rPr>
          <w:rStyle w:val="Appelnotedebasdep"/>
        </w:rPr>
        <w:footnoteRef/>
      </w:r>
      <w:r>
        <w:t xml:space="preserve"> </w:t>
      </w:r>
      <w:r>
        <w:tab/>
      </w:r>
      <w:r w:rsidRPr="00C92F30">
        <w:rPr>
          <w:lang w:eastAsia="en-CA"/>
        </w:rPr>
        <w:t xml:space="preserve">Aimé Césaire, </w:t>
      </w:r>
      <w:r w:rsidRPr="00C92F30">
        <w:rPr>
          <w:i/>
          <w:lang w:eastAsia="en-CA"/>
        </w:rPr>
        <w:t>La tragédie du roi Christophe</w:t>
      </w:r>
      <w:r w:rsidRPr="00C92F30">
        <w:rPr>
          <w:lang w:eastAsia="en-CA"/>
        </w:rPr>
        <w:t>, Paris, Présence africaine, 1963.</w:t>
      </w:r>
    </w:p>
  </w:footnote>
  <w:footnote w:id="626">
    <w:p w:rsidR="004C50DC" w:rsidRDefault="004C50DC">
      <w:pPr>
        <w:pStyle w:val="Notedebasdepage"/>
      </w:pPr>
      <w:r>
        <w:rPr>
          <w:rStyle w:val="Appelnotedebasdep"/>
        </w:rPr>
        <w:footnoteRef/>
      </w:r>
      <w:r>
        <w:t xml:space="preserve"> </w:t>
      </w:r>
      <w:r>
        <w:tab/>
      </w:r>
      <w:r w:rsidRPr="00C92F30">
        <w:t xml:space="preserve">Leslie Jean-Robert Péan, </w:t>
      </w:r>
      <w:r w:rsidRPr="00C92F30">
        <w:rPr>
          <w:lang w:eastAsia="en-CA"/>
        </w:rPr>
        <w:t>« Économie politique de la corruption (1791-1990) », op. cit.</w:t>
      </w:r>
    </w:p>
  </w:footnote>
  <w:footnote w:id="627">
    <w:p w:rsidR="004C50DC" w:rsidRDefault="004C50DC">
      <w:pPr>
        <w:pStyle w:val="Notedebasdepage"/>
      </w:pPr>
      <w:r>
        <w:rPr>
          <w:rStyle w:val="Appelnotedebasdep"/>
        </w:rPr>
        <w:footnoteRef/>
      </w:r>
      <w:r>
        <w:t xml:space="preserve"> </w:t>
      </w:r>
      <w:r>
        <w:tab/>
      </w:r>
      <w:r w:rsidRPr="00C92F30">
        <w:rPr>
          <w:lang w:eastAsia="en-CA"/>
        </w:rPr>
        <w:t>Michel Foucault</w:t>
      </w:r>
      <w:r w:rsidRPr="00C92F30">
        <w:t xml:space="preserve">, op. cit., </w:t>
      </w:r>
      <w:r w:rsidRPr="00C92F30">
        <w:rPr>
          <w:lang w:eastAsia="en-CA"/>
        </w:rPr>
        <w:t xml:space="preserve">1994, </w:t>
      </w:r>
      <w:r w:rsidRPr="00C92F30">
        <w:t>p. 655.</w:t>
      </w:r>
    </w:p>
  </w:footnote>
  <w:footnote w:id="628">
    <w:p w:rsidR="004C50DC" w:rsidRDefault="004C50DC">
      <w:pPr>
        <w:pStyle w:val="Notedebasdepage"/>
      </w:pPr>
      <w:r>
        <w:rPr>
          <w:rStyle w:val="Appelnotedebasdep"/>
        </w:rPr>
        <w:footnoteRef/>
      </w:r>
      <w:r>
        <w:t xml:space="preserve"> </w:t>
      </w:r>
      <w:r>
        <w:tab/>
      </w:r>
      <w:r w:rsidRPr="00C92F30">
        <w:rPr>
          <w:lang w:val="en-US"/>
        </w:rPr>
        <w:t xml:space="preserve">Jan Kooiman, </w:t>
      </w:r>
      <w:r w:rsidRPr="004C5227">
        <w:rPr>
          <w:i/>
          <w:lang w:val="en-US"/>
        </w:rPr>
        <w:t>Modern gouvernance : New Government, Society Interactions</w:t>
      </w:r>
      <w:r w:rsidRPr="00C92F30">
        <w:rPr>
          <w:lang w:val="en-US"/>
        </w:rPr>
        <w:t>, Londres, Sage, 1993, p. 43.</w:t>
      </w:r>
    </w:p>
  </w:footnote>
  <w:footnote w:id="629">
    <w:p w:rsidR="004C50DC" w:rsidRDefault="004C50DC">
      <w:pPr>
        <w:pStyle w:val="Notedebasdepage"/>
      </w:pPr>
      <w:r>
        <w:rPr>
          <w:rStyle w:val="Appelnotedebasdep"/>
        </w:rPr>
        <w:footnoteRef/>
      </w:r>
      <w:r>
        <w:t xml:space="preserve"> </w:t>
      </w:r>
      <w:r>
        <w:tab/>
      </w:r>
      <w:r w:rsidRPr="00C92F30">
        <w:t xml:space="preserve">Leslie Jean-Robert Péan, </w:t>
      </w:r>
      <w:r w:rsidRPr="00C92F30">
        <w:rPr>
          <w:lang w:eastAsia="en-CA"/>
        </w:rPr>
        <w:t>« Économie politique de la corruption (1791-1990) », op. cit.</w:t>
      </w:r>
    </w:p>
  </w:footnote>
  <w:footnote w:id="630">
    <w:p w:rsidR="004C50DC" w:rsidRDefault="004C50DC">
      <w:pPr>
        <w:pStyle w:val="Notedebasdepage"/>
      </w:pPr>
      <w:r>
        <w:rPr>
          <w:rStyle w:val="Appelnotedebasdep"/>
        </w:rPr>
        <w:footnoteRef/>
      </w:r>
      <w:r>
        <w:t xml:space="preserve"> </w:t>
      </w:r>
      <w:r>
        <w:tab/>
      </w:r>
      <w:r w:rsidRPr="004C5227">
        <w:rPr>
          <w:i/>
        </w:rPr>
        <w:t>Ibid</w:t>
      </w:r>
      <w:r w:rsidRPr="00C92F30">
        <w:t>.</w:t>
      </w:r>
    </w:p>
  </w:footnote>
  <w:footnote w:id="631">
    <w:p w:rsidR="004C50DC" w:rsidRDefault="004C50DC">
      <w:pPr>
        <w:pStyle w:val="Notedebasdepage"/>
      </w:pPr>
      <w:r>
        <w:rPr>
          <w:rStyle w:val="Appelnotedebasdep"/>
        </w:rPr>
        <w:footnoteRef/>
      </w:r>
      <w:r>
        <w:t xml:space="preserve"> </w:t>
      </w:r>
      <w:r>
        <w:tab/>
      </w:r>
      <w:r w:rsidRPr="00C92F30">
        <w:t>Ibid.</w:t>
      </w:r>
    </w:p>
  </w:footnote>
  <w:footnote w:id="632">
    <w:p w:rsidR="004C50DC" w:rsidRDefault="004C50DC">
      <w:pPr>
        <w:pStyle w:val="Notedebasdepage"/>
      </w:pPr>
      <w:r>
        <w:rPr>
          <w:rStyle w:val="Appelnotedebasdep"/>
        </w:rPr>
        <w:footnoteRef/>
      </w:r>
      <w:r>
        <w:t xml:space="preserve"> </w:t>
      </w:r>
      <w:r>
        <w:tab/>
      </w:r>
      <w:r w:rsidRPr="00C92F30">
        <w:rPr>
          <w:rFonts w:eastAsia="Arial Unicode MS"/>
        </w:rPr>
        <w:t>Pierre Valentin d’Avezac était un colon français né  à Tarbes en Bigorre et d</w:t>
      </w:r>
      <w:r w:rsidRPr="00C92F30">
        <w:rPr>
          <w:rFonts w:eastAsia="Arial Unicode MS"/>
        </w:rPr>
        <w:t>é</w:t>
      </w:r>
      <w:r w:rsidRPr="00C92F30">
        <w:rPr>
          <w:rFonts w:eastAsia="Arial Unicode MS"/>
        </w:rPr>
        <w:t xml:space="preserve">cédé à Saint-Domingue le 14 septembre 1781 ; voir Moreau de Saint-Méry, </w:t>
      </w:r>
      <w:r w:rsidRPr="00C92F30">
        <w:rPr>
          <w:rFonts w:eastAsia="Arial Unicode MS"/>
          <w:i/>
        </w:rPr>
        <w:t>Description de la partie française de l’Isle de Saint-Domingue</w:t>
      </w:r>
      <w:r w:rsidRPr="00C92F30">
        <w:rPr>
          <w:rFonts w:eastAsia="Arial Unicode MS"/>
        </w:rPr>
        <w:t>, Philade</w:t>
      </w:r>
      <w:r w:rsidRPr="00C92F30">
        <w:rPr>
          <w:rFonts w:eastAsia="Arial Unicode MS"/>
        </w:rPr>
        <w:t>l</w:t>
      </w:r>
      <w:r w:rsidRPr="00C92F30">
        <w:rPr>
          <w:rFonts w:eastAsia="Arial Unicode MS"/>
        </w:rPr>
        <w:t>phie, 1797, 3 vol., Paris, Société française histoire d’outre-mer, Larose, 1958.</w:t>
      </w:r>
    </w:p>
  </w:footnote>
  <w:footnote w:id="633">
    <w:p w:rsidR="004C50DC" w:rsidRDefault="004C50DC">
      <w:pPr>
        <w:pStyle w:val="Notedebasdepage"/>
      </w:pPr>
      <w:r>
        <w:rPr>
          <w:rStyle w:val="Appelnotedebasdep"/>
        </w:rPr>
        <w:footnoteRef/>
      </w:r>
      <w:r>
        <w:t xml:space="preserve"> </w:t>
      </w:r>
      <w:r>
        <w:tab/>
      </w:r>
      <w:r w:rsidRPr="00C92F30">
        <w:t xml:space="preserve">Voir Leslie Péan, </w:t>
      </w:r>
      <w:r w:rsidRPr="00C92F30">
        <w:rPr>
          <w:bCs/>
          <w:lang w:eastAsia="en-CA"/>
        </w:rPr>
        <w:t xml:space="preserve">« Économie politique de la corruption (1791-1990) », </w:t>
      </w:r>
      <w:r w:rsidRPr="00C92F30">
        <w:rPr>
          <w:lang w:eastAsia="en-CA"/>
        </w:rPr>
        <w:t>op. cit</w:t>
      </w:r>
      <w:r w:rsidRPr="00C92F30">
        <w:t>.</w:t>
      </w:r>
    </w:p>
  </w:footnote>
  <w:footnote w:id="634">
    <w:p w:rsidR="004C50DC" w:rsidRPr="00C92F30" w:rsidRDefault="004C50DC" w:rsidP="004C50DC">
      <w:pPr>
        <w:pStyle w:val="Notedebasdepage"/>
      </w:pPr>
      <w:r w:rsidRPr="000E3116">
        <w:rPr>
          <w:rStyle w:val="Appelnotedebasdep"/>
        </w:rPr>
        <w:footnoteRef/>
      </w:r>
      <w:r>
        <w:tab/>
      </w:r>
      <w:r w:rsidRPr="00C92F30">
        <w:t>Jacques de Cauna, « Patrimoine et mémoire de l’esclavage en Haïti : les vest</w:t>
      </w:r>
      <w:r w:rsidRPr="00C92F30">
        <w:t>i</w:t>
      </w:r>
      <w:r w:rsidRPr="00C92F30">
        <w:t>ges de la société  d’habitation coloniale », </w:t>
      </w:r>
      <w:r w:rsidRPr="00C92F30">
        <w:rPr>
          <w:i/>
        </w:rPr>
        <w:t>In Situ</w:t>
      </w:r>
      <w:r w:rsidRPr="00C92F30">
        <w:t>, n</w:t>
      </w:r>
      <w:r w:rsidRPr="00C92F30">
        <w:rPr>
          <w:vertAlign w:val="superscript"/>
        </w:rPr>
        <w:t>o</w:t>
      </w:r>
      <w:r w:rsidRPr="00C92F30">
        <w:t> 20, 2013, en ligne : http://insitu.revues.org/10107 ; DOI : 10.4000/in situ.10107, consulté le 08 f</w:t>
      </w:r>
      <w:r w:rsidRPr="00C92F30">
        <w:t>é</w:t>
      </w:r>
      <w:r w:rsidRPr="00C92F30">
        <w:t>vrier 2014 ; Michèle Oriol, « Toponymes français et créole. La mémoire v</w:t>
      </w:r>
      <w:r w:rsidRPr="00C92F30">
        <w:t>i</w:t>
      </w:r>
      <w:r w:rsidRPr="00C92F30">
        <w:t>vante de Saint-Domingue en Haïti », communication au colloque Exp</w:t>
      </w:r>
      <w:r w:rsidRPr="00C92F30">
        <w:t>é</w:t>
      </w:r>
      <w:r w:rsidRPr="00C92F30">
        <w:t xml:space="preserve">riences et mémoire : partager en français la diversité du monde, Bucarest, septembre 2006. </w:t>
      </w:r>
    </w:p>
  </w:footnote>
  <w:footnote w:id="635">
    <w:p w:rsidR="004C50DC" w:rsidRDefault="004C50DC">
      <w:pPr>
        <w:pStyle w:val="Notedebasdepage"/>
      </w:pPr>
      <w:r>
        <w:rPr>
          <w:rStyle w:val="Appelnotedebasdep"/>
        </w:rPr>
        <w:footnoteRef/>
      </w:r>
      <w:r>
        <w:t xml:space="preserve"> </w:t>
      </w:r>
      <w:r>
        <w:tab/>
      </w:r>
      <w:r w:rsidRPr="00C92F30">
        <w:rPr>
          <w:lang w:val="fr-FR"/>
        </w:rPr>
        <w:t xml:space="preserve">Yannick Le Roux, Réginald Auger et Nathalie Cazelles, </w:t>
      </w:r>
      <w:r w:rsidRPr="00C92F30">
        <w:rPr>
          <w:i/>
          <w:lang w:val="fr-FR"/>
        </w:rPr>
        <w:t xml:space="preserve">Les jésuites et l’esclavage. Loyola : l’habitation des jésuites de Rémire en Guyane française, </w:t>
      </w:r>
      <w:r w:rsidRPr="00C92F30">
        <w:rPr>
          <w:lang w:val="fr-FR"/>
        </w:rPr>
        <w:t>Montréal, Les Presses de l’Université de Québec, 2009, p</w:t>
      </w:r>
      <w:r>
        <w:rPr>
          <w:lang w:val="fr-FR"/>
        </w:rPr>
        <w:t>p</w:t>
      </w:r>
      <w:r w:rsidRPr="00C92F30">
        <w:rPr>
          <w:lang w:val="fr-FR"/>
        </w:rPr>
        <w:t>. 39-40.</w:t>
      </w:r>
    </w:p>
  </w:footnote>
  <w:footnote w:id="636">
    <w:p w:rsidR="004C50DC" w:rsidRDefault="004C50DC">
      <w:pPr>
        <w:pStyle w:val="Notedebasdepage"/>
      </w:pPr>
      <w:r>
        <w:rPr>
          <w:rStyle w:val="Appelnotedebasdep"/>
        </w:rPr>
        <w:footnoteRef/>
      </w:r>
      <w:r>
        <w:t xml:space="preserve"> </w:t>
      </w:r>
      <w:r>
        <w:tab/>
      </w:r>
      <w:r w:rsidRPr="00C92F30">
        <w:rPr>
          <w:lang w:val="fr-FR"/>
        </w:rPr>
        <w:t>« Libres de couleur » dans le contexte colonial français renvoie aux indiv</w:t>
      </w:r>
      <w:r w:rsidRPr="00C92F30">
        <w:rPr>
          <w:lang w:val="fr-FR"/>
        </w:rPr>
        <w:t>i</w:t>
      </w:r>
      <w:r w:rsidRPr="00C92F30">
        <w:rPr>
          <w:lang w:val="fr-FR"/>
        </w:rPr>
        <w:t>dus « noirs » ou « métis », libres de naissance ou par affranchissement ; voir le colloque international Secondes rencontres atlantiques, 13-16 mai 2009, « Affranchis et descendants d’affranchis dans le monde atlantique (Europe, Afr</w:t>
      </w:r>
      <w:r w:rsidRPr="00C92F30">
        <w:rPr>
          <w:lang w:val="fr-FR"/>
        </w:rPr>
        <w:t>i</w:t>
      </w:r>
      <w:r w:rsidRPr="00C92F30">
        <w:rPr>
          <w:lang w:val="fr-FR"/>
        </w:rPr>
        <w:t>que et Amériques) du XV</w:t>
      </w:r>
      <w:r w:rsidRPr="00C92F30">
        <w:rPr>
          <w:vertAlign w:val="superscript"/>
          <w:lang w:val="fr-FR"/>
        </w:rPr>
        <w:t>e</w:t>
      </w:r>
      <w:r w:rsidRPr="00C92F30">
        <w:rPr>
          <w:lang w:val="fr-FR"/>
        </w:rPr>
        <w:t xml:space="preserve"> au XIX</w:t>
      </w:r>
      <w:r w:rsidRPr="00C92F30">
        <w:rPr>
          <w:vertAlign w:val="superscript"/>
          <w:lang w:val="fr-FR"/>
        </w:rPr>
        <w:t>e</w:t>
      </w:r>
      <w:r w:rsidRPr="00C92F30">
        <w:rPr>
          <w:lang w:val="fr-FR"/>
        </w:rPr>
        <w:t xml:space="preserve"> siècle : statuts juridiques, insertion sociale et identités culturelles », organisé par l’axe Droit : normes, pratiques et rapports sociaux, du projet EURESCL (Slave Trade, Slavery, Abolitions and their Leg</w:t>
      </w:r>
      <w:r w:rsidRPr="00C92F30">
        <w:rPr>
          <w:lang w:val="fr-FR"/>
        </w:rPr>
        <w:t>a</w:t>
      </w:r>
      <w:r w:rsidRPr="00C92F30">
        <w:rPr>
          <w:lang w:val="fr-FR"/>
        </w:rPr>
        <w:t>cies in European Histories and Identities), en ligne, http://www.aidh.org/esclav/Images/DP_Musee%20_Aqui.pdf, p. 10, consulté le 19 septembre 2012.</w:t>
      </w:r>
    </w:p>
  </w:footnote>
  <w:footnote w:id="637">
    <w:p w:rsidR="004C50DC" w:rsidRDefault="004C50DC">
      <w:pPr>
        <w:pStyle w:val="Notedebasdepage"/>
      </w:pPr>
      <w:r>
        <w:rPr>
          <w:rStyle w:val="Appelnotedebasdep"/>
        </w:rPr>
        <w:footnoteRef/>
      </w:r>
      <w:r>
        <w:t xml:space="preserve"> </w:t>
      </w:r>
      <w:r>
        <w:tab/>
      </w:r>
      <w:r w:rsidRPr="00C92F30">
        <w:rPr>
          <w:lang w:val="fr-FR"/>
        </w:rPr>
        <w:t xml:space="preserve">Le Roux, Auger et Cazelles, </w:t>
      </w:r>
      <w:r w:rsidRPr="00C92F30">
        <w:rPr>
          <w:i/>
          <w:lang w:val="fr-FR"/>
        </w:rPr>
        <w:t>op. cit</w:t>
      </w:r>
      <w:r w:rsidRPr="00C92F30">
        <w:rPr>
          <w:lang w:val="fr-FR"/>
        </w:rPr>
        <w:t>., p. 39.</w:t>
      </w:r>
    </w:p>
  </w:footnote>
  <w:footnote w:id="638">
    <w:p w:rsidR="004C50DC" w:rsidRDefault="004C50DC">
      <w:pPr>
        <w:pStyle w:val="Notedebasdepage"/>
      </w:pPr>
      <w:r>
        <w:rPr>
          <w:rStyle w:val="Appelnotedebasdep"/>
        </w:rPr>
        <w:footnoteRef/>
      </w:r>
      <w:r>
        <w:t xml:space="preserve"> </w:t>
      </w:r>
      <w:r>
        <w:tab/>
      </w:r>
      <w:r w:rsidRPr="00C92F30">
        <w:rPr>
          <w:rFonts w:eastAsia="Arial Unicode MS"/>
          <w:lang w:eastAsia="hi-IN"/>
        </w:rPr>
        <w:t>En effet, Haïti a valu à elle seule « six à sept fois plus que chacune des petites Antilles françaises, davantage même que toutes les Antilles anglaises et esp</w:t>
      </w:r>
      <w:r w:rsidRPr="00C92F30">
        <w:rPr>
          <w:rFonts w:eastAsia="Arial Unicode MS"/>
          <w:lang w:eastAsia="hi-IN"/>
        </w:rPr>
        <w:t>a</w:t>
      </w:r>
      <w:r w:rsidRPr="00C92F30">
        <w:rPr>
          <w:rFonts w:eastAsia="Arial Unicode MS"/>
          <w:lang w:eastAsia="hi-IN"/>
        </w:rPr>
        <w:t>gnoles réunies, et fournissant, avec les réexportations, près des deuxtiers du commerce extérieur de la France, et notamment les 3/4 du sucre et les 2/3 du café mondiaux » ; Jacques de Cauna, « Patrimoine et mémoire de l’esclavage en Haïti : les vestiges de la société d’habitation coloniale », op. cit., en ligne.</w:t>
      </w:r>
    </w:p>
  </w:footnote>
  <w:footnote w:id="639">
    <w:p w:rsidR="004C50DC" w:rsidRDefault="004C50DC">
      <w:pPr>
        <w:pStyle w:val="Notedebasdepage"/>
      </w:pPr>
      <w:r>
        <w:rPr>
          <w:rStyle w:val="Appelnotedebasdep"/>
        </w:rPr>
        <w:footnoteRef/>
      </w:r>
      <w:r>
        <w:t xml:space="preserve"> </w:t>
      </w:r>
      <w:r>
        <w:tab/>
      </w:r>
      <w:r w:rsidRPr="00C92F30">
        <w:rPr>
          <w:lang w:val="en-US"/>
        </w:rPr>
        <w:t>Thomas Madiou, tome I, op</w:t>
      </w:r>
      <w:r w:rsidRPr="00C92F30">
        <w:rPr>
          <w:i/>
          <w:lang w:val="en-US"/>
        </w:rPr>
        <w:t>. cit</w:t>
      </w:r>
      <w:r w:rsidRPr="00C92F30">
        <w:rPr>
          <w:lang w:val="en-US"/>
        </w:rPr>
        <w:t>., pp. 38-39.</w:t>
      </w:r>
    </w:p>
  </w:footnote>
  <w:footnote w:id="640">
    <w:p w:rsidR="004C50DC" w:rsidRDefault="004C50DC">
      <w:pPr>
        <w:pStyle w:val="Notedebasdepage"/>
      </w:pPr>
      <w:r>
        <w:rPr>
          <w:rStyle w:val="Appelnotedebasdep"/>
        </w:rPr>
        <w:footnoteRef/>
      </w:r>
      <w:r>
        <w:t xml:space="preserve"> </w:t>
      </w:r>
      <w:r>
        <w:tab/>
      </w:r>
      <w:r w:rsidRPr="00C92F30">
        <w:t xml:space="preserve">Illustration tirée de l’ouvrage de Michel Philippe Lerebours, </w:t>
      </w:r>
      <w:r w:rsidRPr="00C92F30">
        <w:rPr>
          <w:i/>
        </w:rPr>
        <w:t>L’habitation s</w:t>
      </w:r>
      <w:r w:rsidRPr="00C92F30">
        <w:rPr>
          <w:i/>
        </w:rPr>
        <w:t>u</w:t>
      </w:r>
      <w:r w:rsidRPr="00C92F30">
        <w:rPr>
          <w:i/>
        </w:rPr>
        <w:t>cri</w:t>
      </w:r>
      <w:r w:rsidRPr="00C92F30">
        <w:rPr>
          <w:i/>
        </w:rPr>
        <w:t>è</w:t>
      </w:r>
      <w:r w:rsidRPr="00C92F30">
        <w:rPr>
          <w:i/>
        </w:rPr>
        <w:t>re dominguoise et les vestiges d’habitations sucrières dans la région de Port-au-Prince</w:t>
      </w:r>
      <w:r w:rsidRPr="00C92F30">
        <w:t>, Port-au-Prince, Presses nationales d’Haïti, 2006, p. 42.</w:t>
      </w:r>
    </w:p>
  </w:footnote>
  <w:footnote w:id="641">
    <w:p w:rsidR="004C50DC" w:rsidRDefault="004C50DC">
      <w:pPr>
        <w:pStyle w:val="Notedebasdepage"/>
      </w:pPr>
      <w:r>
        <w:rPr>
          <w:rStyle w:val="Appelnotedebasdep"/>
        </w:rPr>
        <w:footnoteRef/>
      </w:r>
      <w:r>
        <w:t xml:space="preserve"> </w:t>
      </w:r>
      <w:r>
        <w:tab/>
      </w:r>
      <w:r w:rsidRPr="00C92F30">
        <w:t>Pour une connaissance de l’architecture et des matériaux utilisés dans la fabr</w:t>
      </w:r>
      <w:r w:rsidRPr="00C92F30">
        <w:t>i</w:t>
      </w:r>
      <w:r w:rsidRPr="00C92F30">
        <w:t>c</w:t>
      </w:r>
      <w:r w:rsidRPr="00C92F30">
        <w:t>a</w:t>
      </w:r>
      <w:r w:rsidRPr="00C92F30">
        <w:t xml:space="preserve">tion des cases, voir </w:t>
      </w:r>
      <w:r w:rsidRPr="00C92F30">
        <w:rPr>
          <w:rStyle w:val="lev"/>
          <w:rFonts w:eastAsia="Arial Unicode MS"/>
          <w:b w:val="0"/>
          <w:bCs/>
        </w:rPr>
        <w:t>Jacques de</w:t>
      </w:r>
      <w:r w:rsidRPr="00C92F30">
        <w:rPr>
          <w:rStyle w:val="apple-converted-space"/>
        </w:rPr>
        <w:t> </w:t>
      </w:r>
      <w:r w:rsidRPr="00C92F30">
        <w:rPr>
          <w:rStyle w:val="familyname"/>
        </w:rPr>
        <w:t>Cauna</w:t>
      </w:r>
      <w:r w:rsidRPr="00C92F30">
        <w:t>, « Patrimoine et mémoire de l’esclavage en Haïti : les vestiges de la société d’habitation coloniale », op. cit., en ligne.</w:t>
      </w:r>
    </w:p>
  </w:footnote>
  <w:footnote w:id="642">
    <w:p w:rsidR="004C50DC" w:rsidRDefault="004C50DC">
      <w:pPr>
        <w:pStyle w:val="Notedebasdepage"/>
      </w:pPr>
      <w:r>
        <w:rPr>
          <w:rStyle w:val="Appelnotedebasdep"/>
        </w:rPr>
        <w:footnoteRef/>
      </w:r>
      <w:r>
        <w:t xml:space="preserve"> </w:t>
      </w:r>
      <w:r>
        <w:tab/>
      </w:r>
      <w:r w:rsidRPr="00C92F30">
        <w:rPr>
          <w:lang w:val="en-US"/>
        </w:rPr>
        <w:t>« Planters or overseers often prefered not to register the existence of a black baby whose survival was unlikely, given the high incidence of infant morta</w:t>
      </w:r>
      <w:r w:rsidRPr="00C92F30">
        <w:rPr>
          <w:lang w:val="en-US"/>
        </w:rPr>
        <w:t>l</w:t>
      </w:r>
      <w:r w:rsidRPr="00C92F30">
        <w:rPr>
          <w:lang w:val="en-US"/>
        </w:rPr>
        <w:t xml:space="preserve">ity » ; Michel-Rolph Trouillot, </w:t>
      </w:r>
      <w:r w:rsidRPr="00C92F30">
        <w:rPr>
          <w:i/>
          <w:lang w:val="en-US"/>
        </w:rPr>
        <w:t xml:space="preserve">Silencing the Past, </w:t>
      </w:r>
      <w:r w:rsidRPr="00C92F30">
        <w:rPr>
          <w:lang w:val="en-US"/>
        </w:rPr>
        <w:t>op. cit</w:t>
      </w:r>
      <w:r w:rsidRPr="00C92F30">
        <w:rPr>
          <w:i/>
          <w:lang w:val="en-US"/>
        </w:rPr>
        <w:t xml:space="preserve">. </w:t>
      </w:r>
      <w:r w:rsidRPr="00C92F30">
        <w:rPr>
          <w:lang w:val="en-US"/>
        </w:rPr>
        <w:t xml:space="preserve">p. 51. </w:t>
      </w:r>
    </w:p>
  </w:footnote>
  <w:footnote w:id="643">
    <w:p w:rsidR="004C50DC" w:rsidRDefault="004C50DC">
      <w:pPr>
        <w:pStyle w:val="Notedebasdepage"/>
      </w:pPr>
      <w:r>
        <w:rPr>
          <w:rStyle w:val="Appelnotedebasdep"/>
        </w:rPr>
        <w:footnoteRef/>
      </w:r>
      <w:r>
        <w:t xml:space="preserve"> </w:t>
      </w:r>
      <w:r>
        <w:tab/>
      </w:r>
      <w:r w:rsidRPr="00C92F30">
        <w:t>Sur ce sujet voir Jacques de Cauna, « Les comptes de la sucrerie Fleuriau. Analyse de la rentabilité d’une plantation de Saint-Domingue au XVIII</w:t>
      </w:r>
      <w:r w:rsidRPr="00C92F30">
        <w:rPr>
          <w:vertAlign w:val="superscript"/>
        </w:rPr>
        <w:t>e</w:t>
      </w:r>
      <w:r w:rsidRPr="00C92F30">
        <w:t xml:space="preserve"> si</w:t>
      </w:r>
      <w:r w:rsidRPr="00C92F30">
        <w:t>è</w:t>
      </w:r>
      <w:r w:rsidRPr="00C92F30">
        <w:t xml:space="preserve">cle », dans Paul Butel (dir.), </w:t>
      </w:r>
      <w:r w:rsidRPr="00C92F30">
        <w:rPr>
          <w:i/>
          <w:iCs/>
        </w:rPr>
        <w:t>Commerce et plantation dans la Caraïbe</w:t>
      </w:r>
      <w:r w:rsidRPr="00C92F30">
        <w:rPr>
          <w:iCs/>
        </w:rPr>
        <w:t>…, op. cit.</w:t>
      </w:r>
      <w:r w:rsidRPr="00C92F30">
        <w:t xml:space="preserve">, p. 143-156 ; voir aussi </w:t>
      </w:r>
      <w:r w:rsidRPr="00C92F30">
        <w:rPr>
          <w:lang w:eastAsia="fr-FR"/>
        </w:rPr>
        <w:t xml:space="preserve">Dorigny et Gainot, </w:t>
      </w:r>
      <w:r w:rsidRPr="00C92F30">
        <w:rPr>
          <w:i/>
          <w:lang w:eastAsia="fr-FR"/>
        </w:rPr>
        <w:t>Atlas des esclavages….</w:t>
      </w:r>
      <w:r w:rsidRPr="00C92F30">
        <w:rPr>
          <w:lang w:eastAsia="fr-FR"/>
        </w:rPr>
        <w:t>, op. cit., p. 42.</w:t>
      </w:r>
    </w:p>
  </w:footnote>
  <w:footnote w:id="644">
    <w:p w:rsidR="004C50DC" w:rsidRDefault="004C50DC">
      <w:pPr>
        <w:pStyle w:val="Notedebasdepage"/>
      </w:pPr>
      <w:r>
        <w:rPr>
          <w:rStyle w:val="Appelnotedebasdep"/>
        </w:rPr>
        <w:footnoteRef/>
      </w:r>
      <w:r>
        <w:t xml:space="preserve"> </w:t>
      </w:r>
      <w:r>
        <w:tab/>
      </w:r>
      <w:r w:rsidRPr="00C92F30">
        <w:t xml:space="preserve">Hector et Moïse, </w:t>
      </w:r>
      <w:r w:rsidRPr="000E3116">
        <w:rPr>
          <w:i/>
        </w:rPr>
        <w:t>Colonisation et esclavage en Haïti</w:t>
      </w:r>
      <w:r w:rsidRPr="00C92F30">
        <w:t>…, op. cit., p. 80.</w:t>
      </w:r>
    </w:p>
  </w:footnote>
  <w:footnote w:id="645">
    <w:p w:rsidR="004C50DC" w:rsidRDefault="004C50DC">
      <w:pPr>
        <w:pStyle w:val="Notedebasdepage"/>
      </w:pPr>
      <w:r>
        <w:rPr>
          <w:rStyle w:val="Appelnotedebasdep"/>
        </w:rPr>
        <w:footnoteRef/>
      </w:r>
      <w:r>
        <w:t xml:space="preserve"> </w:t>
      </w:r>
      <w:r>
        <w:tab/>
      </w:r>
      <w:r w:rsidRPr="00C92F30">
        <w:t>Alexandre-Stanislas de Wimpffen, Haïti au XVIII</w:t>
      </w:r>
      <w:r w:rsidRPr="00C92F30">
        <w:rPr>
          <w:vertAlign w:val="superscript"/>
        </w:rPr>
        <w:t>e</w:t>
      </w:r>
      <w:r w:rsidRPr="00C92F30">
        <w:t xml:space="preserve"> siècle. Richesse et escl</w:t>
      </w:r>
      <w:r w:rsidRPr="00C92F30">
        <w:t>a</w:t>
      </w:r>
      <w:r w:rsidRPr="00C92F30">
        <w:t>vage dans une colonie française, Paris, Karthala, 1993, p. 112.</w:t>
      </w:r>
    </w:p>
  </w:footnote>
  <w:footnote w:id="646">
    <w:p w:rsidR="004C50DC" w:rsidRDefault="004C50DC">
      <w:pPr>
        <w:pStyle w:val="Notedebasdepage"/>
      </w:pPr>
      <w:r>
        <w:rPr>
          <w:rStyle w:val="Appelnotedebasdep"/>
        </w:rPr>
        <w:footnoteRef/>
      </w:r>
      <w:r>
        <w:t xml:space="preserve"> </w:t>
      </w:r>
      <w:r>
        <w:tab/>
      </w:r>
      <w:r w:rsidRPr="00C92F30">
        <w:t>Sur certaines habitations, on retrouvait les deux types de moulins pour une pr</w:t>
      </w:r>
      <w:r w:rsidRPr="00C92F30">
        <w:t>o</w:t>
      </w:r>
      <w:r w:rsidRPr="00C92F30">
        <w:t xml:space="preserve">duction sans interruption du sucre même en sécheresse persistante. </w:t>
      </w:r>
    </w:p>
  </w:footnote>
  <w:footnote w:id="647">
    <w:p w:rsidR="004C50DC" w:rsidRDefault="004C50DC">
      <w:pPr>
        <w:pStyle w:val="Notedebasdepage"/>
      </w:pPr>
      <w:r>
        <w:rPr>
          <w:rStyle w:val="Appelnotedebasdep"/>
        </w:rPr>
        <w:footnoteRef/>
      </w:r>
      <w:r>
        <w:t xml:space="preserve"> </w:t>
      </w:r>
      <w:r>
        <w:tab/>
      </w:r>
      <w:r w:rsidRPr="00C92F30">
        <w:rPr>
          <w:lang w:val="fr-FR"/>
        </w:rPr>
        <w:t>On comptait à Saint-Domingue près de 800 cotonneries attenantes à des ind</w:t>
      </w:r>
      <w:r w:rsidRPr="00C92F30">
        <w:rPr>
          <w:lang w:val="fr-FR"/>
        </w:rPr>
        <w:t>i</w:t>
      </w:r>
      <w:r w:rsidRPr="00C92F30">
        <w:rPr>
          <w:lang w:val="fr-FR"/>
        </w:rPr>
        <w:t>goteries au courant de la dernière décennie du XVIII</w:t>
      </w:r>
      <w:r w:rsidRPr="00C92F30">
        <w:rPr>
          <w:vertAlign w:val="superscript"/>
          <w:lang w:val="fr-FR"/>
        </w:rPr>
        <w:t>e</w:t>
      </w:r>
      <w:r w:rsidRPr="00C92F30">
        <w:rPr>
          <w:lang w:val="fr-FR"/>
        </w:rPr>
        <w:t xml:space="preserve"> siècle. Le coton fut la troisième denrée d’exportation à Saint-Domingue et l’une des plus anciennes ; voir Jacques de Cauna, op. cit.</w:t>
      </w:r>
    </w:p>
  </w:footnote>
  <w:footnote w:id="648">
    <w:p w:rsidR="004C50DC" w:rsidRDefault="004C50DC">
      <w:pPr>
        <w:pStyle w:val="Notedebasdepage"/>
      </w:pPr>
      <w:r>
        <w:rPr>
          <w:rStyle w:val="Appelnotedebasdep"/>
        </w:rPr>
        <w:footnoteRef/>
      </w:r>
      <w:r>
        <w:t xml:space="preserve"> </w:t>
      </w:r>
      <w:r>
        <w:tab/>
      </w:r>
      <w:r w:rsidRPr="00C92F30">
        <w:rPr>
          <w:lang w:val="fr-FR"/>
        </w:rPr>
        <w:t>Il faut considérer les guildiveries qui produisent le rhum fabriqué aussi avec de la canne à sucre ; à ce propos, voir Jacques de Cauna, ibid.</w:t>
      </w:r>
    </w:p>
  </w:footnote>
  <w:footnote w:id="649">
    <w:p w:rsidR="004C50DC" w:rsidRPr="00C92F30" w:rsidRDefault="004C50DC" w:rsidP="004C50DC">
      <w:pPr>
        <w:pStyle w:val="Notedebasdepage"/>
      </w:pPr>
      <w:r w:rsidRPr="00107B9B">
        <w:rPr>
          <w:rStyle w:val="Appelnotedebasdep"/>
        </w:rPr>
        <w:footnoteRef/>
      </w:r>
      <w:r>
        <w:tab/>
      </w:r>
      <w:r w:rsidRPr="00C92F30">
        <w:t xml:space="preserve">Voir « L’habitation caféière coloniale de Dion et ses ruines de logements d’esclaves », </w:t>
      </w:r>
      <w:r w:rsidRPr="00C92F30">
        <w:rPr>
          <w:i/>
        </w:rPr>
        <w:t>Bulletin de l’ISPAN</w:t>
      </w:r>
      <w:r w:rsidRPr="00C92F30">
        <w:t>n</w:t>
      </w:r>
      <w:r w:rsidRPr="00C92F30">
        <w:rPr>
          <w:vertAlign w:val="superscript"/>
        </w:rPr>
        <w:t>o</w:t>
      </w:r>
      <w:r w:rsidRPr="00C92F30">
        <w:t> 4, 1</w:t>
      </w:r>
      <w:r w:rsidRPr="00C92F30">
        <w:rPr>
          <w:vertAlign w:val="superscript"/>
        </w:rPr>
        <w:t xml:space="preserve">er </w:t>
      </w:r>
      <w:r w:rsidRPr="00C92F30">
        <w:t>septembre 2009, p. 2-3.</w:t>
      </w:r>
    </w:p>
  </w:footnote>
  <w:footnote w:id="650">
    <w:p w:rsidR="004C50DC" w:rsidRPr="00C92F30" w:rsidRDefault="004C50DC" w:rsidP="004C50DC">
      <w:pPr>
        <w:pStyle w:val="Notedebasdepage"/>
      </w:pPr>
      <w:r w:rsidRPr="00107B9B">
        <w:rPr>
          <w:rStyle w:val="Appelnotedebasdep"/>
        </w:rPr>
        <w:footnoteRef/>
      </w:r>
      <w:r>
        <w:tab/>
      </w:r>
      <w:r w:rsidRPr="00107B9B">
        <w:rPr>
          <w:i/>
        </w:rPr>
        <w:t>Ibid</w:t>
      </w:r>
      <w:r w:rsidRPr="00C92F30">
        <w:t>.</w:t>
      </w:r>
    </w:p>
  </w:footnote>
  <w:footnote w:id="651">
    <w:p w:rsidR="004C50DC" w:rsidRDefault="004C50DC">
      <w:pPr>
        <w:pStyle w:val="Notedebasdepage"/>
      </w:pPr>
      <w:r>
        <w:rPr>
          <w:rStyle w:val="Appelnotedebasdep"/>
        </w:rPr>
        <w:footnoteRef/>
      </w:r>
      <w:r>
        <w:t xml:space="preserve"> </w:t>
      </w:r>
      <w:r>
        <w:tab/>
      </w:r>
      <w:r w:rsidRPr="00C92F30">
        <w:rPr>
          <w:lang w:val="fr-FR"/>
        </w:rPr>
        <w:t>Laënnec Hurbon, « Retrouver la mémoire », dans Michel-Philippe Ler</w:t>
      </w:r>
      <w:r w:rsidRPr="00C92F30">
        <w:rPr>
          <w:lang w:val="fr-FR"/>
        </w:rPr>
        <w:t>e</w:t>
      </w:r>
      <w:r w:rsidRPr="00C92F30">
        <w:rPr>
          <w:lang w:val="fr-FR"/>
        </w:rPr>
        <w:t xml:space="preserve">bours, </w:t>
      </w:r>
      <w:r w:rsidRPr="00C92F30">
        <w:rPr>
          <w:i/>
          <w:lang w:val="fr-FR"/>
        </w:rPr>
        <w:t>Esclavage. Mémoire et patrimoine. Vestiges d’habitations sucrières de la r</w:t>
      </w:r>
      <w:r w:rsidRPr="00C92F30">
        <w:rPr>
          <w:i/>
          <w:lang w:val="fr-FR"/>
        </w:rPr>
        <w:t>é</w:t>
      </w:r>
      <w:r w:rsidRPr="00C92F30">
        <w:rPr>
          <w:i/>
          <w:lang w:val="fr-FR"/>
        </w:rPr>
        <w:t>gion de Port-au-Prince</w:t>
      </w:r>
      <w:r w:rsidRPr="00C92F30">
        <w:rPr>
          <w:lang w:val="fr-FR"/>
        </w:rPr>
        <w:t xml:space="preserve">, Port-au-Prince, </w:t>
      </w:r>
      <w:r w:rsidRPr="00C92F30">
        <w:t>Publication du comité national de la Route de l’esclave, 1999,</w:t>
      </w:r>
      <w:r w:rsidRPr="00C92F30">
        <w:rPr>
          <w:lang w:val="fr-FR"/>
        </w:rPr>
        <w:t xml:space="preserve"> p. 1.</w:t>
      </w:r>
    </w:p>
  </w:footnote>
  <w:footnote w:id="652">
    <w:p w:rsidR="004C50DC" w:rsidRDefault="004C50DC">
      <w:pPr>
        <w:pStyle w:val="Notedebasdepage"/>
      </w:pPr>
      <w:r>
        <w:rPr>
          <w:rStyle w:val="Appelnotedebasdep"/>
        </w:rPr>
        <w:footnoteRef/>
      </w:r>
      <w:r>
        <w:t xml:space="preserve"> </w:t>
      </w:r>
      <w:r>
        <w:tab/>
      </w:r>
      <w:r w:rsidRPr="00C92F30">
        <w:rPr>
          <w:lang w:val="fr-FR"/>
        </w:rPr>
        <w:t xml:space="preserve">Hugh Thomas, </w:t>
      </w:r>
      <w:r w:rsidRPr="00C92F30">
        <w:rPr>
          <w:i/>
          <w:lang w:val="fr-FR"/>
        </w:rPr>
        <w:t>La Traite des Noirs, 1440-1870</w:t>
      </w:r>
      <w:r w:rsidRPr="00C92F30">
        <w:rPr>
          <w:lang w:val="fr-FR"/>
        </w:rPr>
        <w:t>, Paris</w:t>
      </w:r>
      <w:r>
        <w:rPr>
          <w:lang w:val="fr-FR"/>
        </w:rPr>
        <w:t>, Robert Laffont, 2006, p. 871.</w:t>
      </w:r>
    </w:p>
  </w:footnote>
  <w:footnote w:id="653">
    <w:p w:rsidR="004C50DC" w:rsidRDefault="004C50DC">
      <w:pPr>
        <w:pStyle w:val="Notedebasdepage"/>
      </w:pPr>
      <w:r>
        <w:rPr>
          <w:rStyle w:val="Appelnotedebasdep"/>
        </w:rPr>
        <w:footnoteRef/>
      </w:r>
      <w:r>
        <w:t xml:space="preserve"> </w:t>
      </w:r>
      <w:r>
        <w:tab/>
      </w:r>
      <w:r w:rsidRPr="00C92F30">
        <w:rPr>
          <w:lang w:val="fr-FR"/>
        </w:rPr>
        <w:t xml:space="preserve">Voir, de Gabriel Debien : « Les engagés pour les Antilles », </w:t>
      </w:r>
      <w:r w:rsidRPr="00C92F30">
        <w:rPr>
          <w:i/>
          <w:lang w:val="fr-FR"/>
        </w:rPr>
        <w:t>Revue d’histoire des colonies</w:t>
      </w:r>
      <w:r w:rsidRPr="00C92F30">
        <w:rPr>
          <w:lang w:val="fr-FR"/>
        </w:rPr>
        <w:t xml:space="preserve">, 1951, premier et deuxième trimestres, p. 260-261 ; « Les cases des esclaves de plantation », </w:t>
      </w:r>
      <w:r w:rsidRPr="00C92F30">
        <w:rPr>
          <w:i/>
          <w:lang w:val="fr-FR"/>
        </w:rPr>
        <w:t>Conjonction</w:t>
      </w:r>
      <w:r w:rsidRPr="00C92F30">
        <w:rPr>
          <w:lang w:val="fr-FR"/>
        </w:rPr>
        <w:t>, n</w:t>
      </w:r>
      <w:r w:rsidRPr="00C92F30">
        <w:rPr>
          <w:vertAlign w:val="superscript"/>
          <w:lang w:val="fr-FR"/>
        </w:rPr>
        <w:t>o</w:t>
      </w:r>
      <w:r w:rsidRPr="00C92F30">
        <w:rPr>
          <w:lang w:val="fr-FR"/>
        </w:rPr>
        <w:t> 101, Port-au-Prince, 1961, pp. 19-32 (Notes d’histoire coloniale, no 98) ; « Comptes, profits, esclaves et tr</w:t>
      </w:r>
      <w:r w:rsidRPr="00C92F30">
        <w:rPr>
          <w:lang w:val="fr-FR"/>
        </w:rPr>
        <w:t>a</w:t>
      </w:r>
      <w:r w:rsidRPr="00C92F30">
        <w:rPr>
          <w:lang w:val="fr-FR"/>
        </w:rPr>
        <w:t xml:space="preserve">vaux de deux sucreries de Saint-Domingue (1774-1798) », </w:t>
      </w:r>
      <w:r w:rsidRPr="00C92F30">
        <w:rPr>
          <w:i/>
        </w:rPr>
        <w:t>Revue de la Société ha</w:t>
      </w:r>
      <w:r w:rsidRPr="00C92F30">
        <w:rPr>
          <w:i/>
        </w:rPr>
        <w:t>ï</w:t>
      </w:r>
      <w:r w:rsidRPr="00C92F30">
        <w:rPr>
          <w:i/>
        </w:rPr>
        <w:t>tienne d'histoire, de géographie et de géologie</w:t>
      </w:r>
      <w:r w:rsidRPr="00C92F30">
        <w:t xml:space="preserve">, vol. 15 no 55, 1944, p. 1-60 et vol. 16, no 56, 1945, pp. 1-51 </w:t>
      </w:r>
      <w:r w:rsidRPr="00C92F30">
        <w:rPr>
          <w:lang w:val="fr-FR"/>
        </w:rPr>
        <w:t xml:space="preserve">(Notes d’histoire coloniale, no 6) ; </w:t>
      </w:r>
      <w:r w:rsidRPr="00C92F30">
        <w:t>Une pla</w:t>
      </w:r>
      <w:r w:rsidRPr="00C92F30">
        <w:t>n</w:t>
      </w:r>
      <w:r w:rsidRPr="00C92F30">
        <w:t xml:space="preserve">tation de Saint-Domingue. La sucrerie </w:t>
      </w:r>
      <w:r w:rsidRPr="00C92F30">
        <w:rPr>
          <w:i/>
          <w:iCs/>
        </w:rPr>
        <w:t>Galbaud du Fort</w:t>
      </w:r>
      <w:r w:rsidRPr="00C92F30">
        <w:t>, 1690-1802, Le Caire, 1941 (monogr</w:t>
      </w:r>
      <w:r w:rsidRPr="00C92F30">
        <w:t>a</w:t>
      </w:r>
      <w:r w:rsidRPr="00C92F30">
        <w:t>phie) ; Plantations et esclaves à Saint-Domingue. La sucrerie Foäche et ses esclaves (1770-1803), P</w:t>
      </w:r>
      <w:r w:rsidRPr="00C92F30">
        <w:t>u</w:t>
      </w:r>
      <w:r w:rsidRPr="00C92F30">
        <w:t>blications de la Section d’Histoire de la Faculté des Lettres de Dakar, 1963 (monographie).</w:t>
      </w:r>
    </w:p>
  </w:footnote>
  <w:footnote w:id="654">
    <w:p w:rsidR="004C50DC" w:rsidRDefault="004C50DC">
      <w:pPr>
        <w:pStyle w:val="Notedebasdepage"/>
      </w:pPr>
      <w:r>
        <w:rPr>
          <w:rStyle w:val="Appelnotedebasdep"/>
        </w:rPr>
        <w:footnoteRef/>
      </w:r>
      <w:r>
        <w:t xml:space="preserve"> </w:t>
      </w:r>
      <w:r>
        <w:tab/>
      </w:r>
      <w:r w:rsidRPr="00C92F30">
        <w:rPr>
          <w:lang w:val="fr-FR"/>
        </w:rPr>
        <w:t xml:space="preserve">Voir, de </w:t>
      </w:r>
      <w:r w:rsidRPr="00C92F30">
        <w:rPr>
          <w:iCs/>
        </w:rPr>
        <w:t>David Patrick Geggus</w:t>
      </w:r>
      <w:r w:rsidRPr="00C92F30">
        <w:t>, « </w:t>
      </w:r>
      <w:r w:rsidRPr="00C92F30">
        <w:rPr>
          <w:iCs/>
        </w:rPr>
        <w:t>Les</w:t>
      </w:r>
      <w:r w:rsidRPr="00C92F30">
        <w:t xml:space="preserve"> esclaves de la plaine du Nord à la vei</w:t>
      </w:r>
      <w:r w:rsidRPr="00C92F30">
        <w:t>l</w:t>
      </w:r>
      <w:r w:rsidRPr="00C92F30">
        <w:t xml:space="preserve">le de la Révolution française », </w:t>
      </w:r>
      <w:r w:rsidRPr="00C92F30">
        <w:rPr>
          <w:i/>
        </w:rPr>
        <w:t>Revue de la Société haïtienne d’histoire et de gé</w:t>
      </w:r>
      <w:r w:rsidRPr="00C92F30">
        <w:rPr>
          <w:i/>
        </w:rPr>
        <w:t>o</w:t>
      </w:r>
      <w:r w:rsidRPr="00C92F30">
        <w:rPr>
          <w:i/>
        </w:rPr>
        <w:t>graphie</w:t>
      </w:r>
      <w:r w:rsidRPr="00C92F30">
        <w:t xml:space="preserve">, no 135, 1982, pp. 85-107 ; no 136, 1982, pp. 5-32 ; no 144, 1984, pp. 15-44 ; no 149, 1985, pp. 16-52 ; voir aussi Pierre Pluchon, « L’économie d’habitation à Saint-Domingue », Revue d’histoire maritime 1, 1997, pp. 197- 241 ; </w:t>
      </w:r>
      <w:r w:rsidRPr="00C92F30">
        <w:rPr>
          <w:lang w:val="fr-FR"/>
        </w:rPr>
        <w:t xml:space="preserve">Jacques de Cauna, « Vestiges de sucreries dans la Plaine du Cul-de-Sac », part. 1, </w:t>
      </w:r>
      <w:r w:rsidRPr="00C92F30">
        <w:rPr>
          <w:i/>
          <w:iCs/>
          <w:lang w:val="fr-FR"/>
        </w:rPr>
        <w:t xml:space="preserve">Conjonction, </w:t>
      </w:r>
      <w:r w:rsidRPr="00C92F30">
        <w:rPr>
          <w:iCs/>
          <w:lang w:val="fr-FR"/>
        </w:rPr>
        <w:t>n</w:t>
      </w:r>
      <w:r w:rsidRPr="00C92F30">
        <w:rPr>
          <w:iCs/>
          <w:vertAlign w:val="superscript"/>
          <w:lang w:val="fr-FR"/>
        </w:rPr>
        <w:t>o </w:t>
      </w:r>
      <w:r w:rsidRPr="00C92F30">
        <w:rPr>
          <w:iCs/>
          <w:lang w:val="fr-FR"/>
        </w:rPr>
        <w:t xml:space="preserve">149, </w:t>
      </w:r>
      <w:r w:rsidRPr="00C92F30">
        <w:rPr>
          <w:lang w:val="fr-FR"/>
        </w:rPr>
        <w:t xml:space="preserve">1981, p. 63-104 ; part. 2, </w:t>
      </w:r>
      <w:r w:rsidRPr="00C92F30">
        <w:rPr>
          <w:i/>
          <w:iCs/>
          <w:lang w:val="fr-FR"/>
        </w:rPr>
        <w:t xml:space="preserve">Conjonction </w:t>
      </w:r>
      <w:r w:rsidRPr="00C92F30">
        <w:rPr>
          <w:lang w:val="fr-FR"/>
        </w:rPr>
        <w:t>n</w:t>
      </w:r>
      <w:r w:rsidRPr="00C92F30">
        <w:rPr>
          <w:vertAlign w:val="superscript"/>
          <w:lang w:val="fr-FR"/>
        </w:rPr>
        <w:t>o</w:t>
      </w:r>
      <w:r w:rsidRPr="00C92F30">
        <w:rPr>
          <w:lang w:val="fr-FR"/>
        </w:rPr>
        <w:t xml:space="preserve"> 165, p. 4-32 ; « L’habitation d’un Béarnais à Saint-Domingue. La sucrerie Nolivos à la Croix-des-Bouquets », </w:t>
      </w:r>
      <w:r w:rsidRPr="00C92F30">
        <w:rPr>
          <w:i/>
          <w:iCs/>
          <w:lang w:val="fr-FR"/>
        </w:rPr>
        <w:t>Revue de Pau et du Béarn</w:t>
      </w:r>
      <w:r w:rsidRPr="00C92F30">
        <w:rPr>
          <w:lang w:val="fr-FR"/>
        </w:rPr>
        <w:t>, n° 12, 1985, pp. 213-232 [G</w:t>
      </w:r>
      <w:r w:rsidRPr="00C92F30">
        <w:rPr>
          <w:lang w:val="fr-FR"/>
        </w:rPr>
        <w:t>a</w:t>
      </w:r>
      <w:r w:rsidRPr="00C92F30">
        <w:rPr>
          <w:lang w:val="fr-FR"/>
        </w:rPr>
        <w:t>briel Debien,</w:t>
      </w:r>
      <w:r w:rsidRPr="00C92F30">
        <w:rPr>
          <w:i/>
          <w:iCs/>
          <w:lang w:val="fr-FR"/>
        </w:rPr>
        <w:t xml:space="preserve"> Notes d’Histoire Coloniale</w:t>
      </w:r>
      <w:r w:rsidRPr="00C92F30">
        <w:rPr>
          <w:lang w:val="fr-FR"/>
        </w:rPr>
        <w:t xml:space="preserve"> n</w:t>
      </w:r>
      <w:r w:rsidRPr="00C92F30">
        <w:rPr>
          <w:vertAlign w:val="superscript"/>
          <w:lang w:val="fr-FR"/>
        </w:rPr>
        <w:t>o</w:t>
      </w:r>
      <w:r w:rsidRPr="00C92F30">
        <w:rPr>
          <w:lang w:val="fr-FR"/>
        </w:rPr>
        <w:t xml:space="preserve"> 237]. </w:t>
      </w:r>
    </w:p>
  </w:footnote>
  <w:footnote w:id="655">
    <w:p w:rsidR="004C50DC" w:rsidRDefault="004C50DC">
      <w:pPr>
        <w:pStyle w:val="Notedebasdepage"/>
      </w:pPr>
      <w:r>
        <w:rPr>
          <w:rStyle w:val="Appelnotedebasdep"/>
        </w:rPr>
        <w:footnoteRef/>
      </w:r>
      <w:r>
        <w:t xml:space="preserve"> </w:t>
      </w:r>
      <w:r>
        <w:tab/>
      </w:r>
      <w:r w:rsidRPr="00C92F30">
        <w:t xml:space="preserve">Michel-Philippe Lerebours, </w:t>
      </w:r>
      <w:r w:rsidRPr="00C92F30">
        <w:rPr>
          <w:i/>
        </w:rPr>
        <w:t>L’habitation sucrière dominguoise et les vestiges d’habitations sucrières dans la région de Port-au-Prince</w:t>
      </w:r>
      <w:r w:rsidRPr="00C92F30">
        <w:t>, Port-au-Prince, Presses nationales d’Haïti, 2006, p. 13.</w:t>
      </w:r>
    </w:p>
  </w:footnote>
  <w:footnote w:id="656">
    <w:p w:rsidR="004C50DC" w:rsidRDefault="004C50DC">
      <w:pPr>
        <w:pStyle w:val="Notedebasdepage"/>
      </w:pPr>
      <w:r>
        <w:rPr>
          <w:rStyle w:val="Appelnotedebasdep"/>
        </w:rPr>
        <w:footnoteRef/>
      </w:r>
      <w:r>
        <w:t xml:space="preserve"> </w:t>
      </w:r>
      <w:r>
        <w:tab/>
      </w:r>
      <w:r w:rsidRPr="00C92F30">
        <w:t>Michel Hector et Claude Moïse, op. cit., p. 80.</w:t>
      </w:r>
    </w:p>
  </w:footnote>
  <w:footnote w:id="657">
    <w:p w:rsidR="004C50DC" w:rsidRPr="00C92F30" w:rsidRDefault="004C50DC" w:rsidP="004C50DC">
      <w:pPr>
        <w:pStyle w:val="Notedebasdepage"/>
      </w:pPr>
      <w:r w:rsidRPr="00107B9B">
        <w:rPr>
          <w:rStyle w:val="Appelnotedebasdep"/>
        </w:rPr>
        <w:footnoteRef/>
      </w:r>
      <w:r>
        <w:tab/>
      </w:r>
      <w:r w:rsidRPr="00C92F30">
        <w:t xml:space="preserve">Voir Dimitri Bechacq, « Les parcours du marronnage dans l’histoire haïtienne. Entre instrumentalisation politique et réinterprétation sociale », </w:t>
      </w:r>
      <w:r w:rsidRPr="00C92F30">
        <w:rPr>
          <w:i/>
        </w:rPr>
        <w:t>Ethnologies</w:t>
      </w:r>
      <w:r w:rsidRPr="00C92F30">
        <w:t>, numéro thématique</w:t>
      </w:r>
      <w:r w:rsidRPr="00C92F30">
        <w:rPr>
          <w:i/>
        </w:rPr>
        <w:t xml:space="preserve"> Haïti face au passé, </w:t>
      </w:r>
      <w:r w:rsidRPr="00C92F30">
        <w:t>vol. 8, n</w:t>
      </w:r>
      <w:r w:rsidRPr="00C92F30">
        <w:rPr>
          <w:vertAlign w:val="superscript"/>
        </w:rPr>
        <w:t>o</w:t>
      </w:r>
      <w:r w:rsidRPr="00C92F30">
        <w:t> 1</w:t>
      </w:r>
      <w:r w:rsidRPr="00C92F30">
        <w:rPr>
          <w:i/>
        </w:rPr>
        <w:t xml:space="preserve">, </w:t>
      </w:r>
      <w:r w:rsidRPr="00C92F30">
        <w:t xml:space="preserve">2006, p. 207 ; voir aussi Jean-Baptiste Dorsainvil, </w:t>
      </w:r>
      <w:r w:rsidRPr="00C92F30">
        <w:rPr>
          <w:i/>
        </w:rPr>
        <w:t>Cours d’histoire d’Haïti à l’usage de l’enseignement secondaire – Seconde partie : 1804-1889</w:t>
      </w:r>
      <w:r w:rsidRPr="00C92F30">
        <w:t>, Paris, Dubois et Bauer, 1912, p. 65 : « le Code rural de 1826 eut tout le caractère et tout l’effet d’une législation faite pour réglementer le servage. Dans cet ordre de chose, c’était le colonat pur et simple organisé au profit des nouveaux déte</w:t>
      </w:r>
      <w:r w:rsidRPr="00C92F30">
        <w:t>n</w:t>
      </w:r>
      <w:r w:rsidRPr="00C92F30">
        <w:t>teurs du sol, en attachant les ouvriers ruraux aux habitations où ils louaient leur serv</w:t>
      </w:r>
      <w:r w:rsidRPr="00C92F30">
        <w:t>i</w:t>
      </w:r>
      <w:r w:rsidRPr="00C92F30">
        <w:t>ce ».</w:t>
      </w:r>
    </w:p>
  </w:footnote>
  <w:footnote w:id="658">
    <w:p w:rsidR="004C50DC" w:rsidRDefault="004C50DC">
      <w:pPr>
        <w:pStyle w:val="Notedebasdepage"/>
      </w:pPr>
      <w:r>
        <w:rPr>
          <w:rStyle w:val="Appelnotedebasdep"/>
        </w:rPr>
        <w:footnoteRef/>
      </w:r>
      <w:r>
        <w:t xml:space="preserve"> </w:t>
      </w:r>
      <w:r>
        <w:tab/>
      </w:r>
      <w:r w:rsidRPr="00C92F30">
        <w:rPr>
          <w:lang w:val="fr-FR"/>
        </w:rPr>
        <w:t xml:space="preserve">Joseph D. Baguidy, </w:t>
      </w:r>
      <w:r w:rsidRPr="00C92F30">
        <w:rPr>
          <w:i/>
          <w:lang w:val="fr-FR"/>
        </w:rPr>
        <w:t>Dynamique d’une Révolution. 1946 à Haïti</w:t>
      </w:r>
      <w:r w:rsidRPr="00C92F30">
        <w:rPr>
          <w:lang w:val="fr-FR"/>
        </w:rPr>
        <w:t>, Berne, Col</w:t>
      </w:r>
      <w:r w:rsidRPr="00C92F30">
        <w:rPr>
          <w:lang w:val="fr-FR"/>
        </w:rPr>
        <w:t>o</w:t>
      </w:r>
      <w:r w:rsidRPr="00C92F30">
        <w:rPr>
          <w:lang w:val="fr-FR"/>
        </w:rPr>
        <w:t>roffset, 1972, p. 46.</w:t>
      </w:r>
    </w:p>
  </w:footnote>
  <w:footnote w:id="659">
    <w:p w:rsidR="004C50DC" w:rsidRDefault="004C50DC">
      <w:pPr>
        <w:pStyle w:val="Notedebasdepage"/>
      </w:pPr>
      <w:r>
        <w:rPr>
          <w:rStyle w:val="Appelnotedebasdep"/>
        </w:rPr>
        <w:footnoteRef/>
      </w:r>
      <w:r>
        <w:t xml:space="preserve"> </w:t>
      </w:r>
      <w:r>
        <w:tab/>
      </w:r>
      <w:r w:rsidRPr="00C92F30">
        <w:rPr>
          <w:lang w:val="fr-FR"/>
        </w:rPr>
        <w:t>En Haïti, le mot désigne des industries traditionnelles de type colonial et so</w:t>
      </w:r>
      <w:r w:rsidRPr="00C92F30">
        <w:rPr>
          <w:lang w:val="fr-FR"/>
        </w:rPr>
        <w:t>u</w:t>
      </w:r>
      <w:r w:rsidRPr="00C92F30">
        <w:rPr>
          <w:lang w:val="fr-FR"/>
        </w:rPr>
        <w:t xml:space="preserve">vent familiales où l’on fabrique l’alcool appelé </w:t>
      </w:r>
      <w:r w:rsidRPr="00C92F30">
        <w:rPr>
          <w:i/>
          <w:lang w:val="fr-FR"/>
        </w:rPr>
        <w:t xml:space="preserve">tafia </w:t>
      </w:r>
      <w:r w:rsidRPr="00C92F30">
        <w:rPr>
          <w:lang w:val="fr-FR"/>
        </w:rPr>
        <w:t>fait avec le jus de canne à sucre. Justement, la majorité des guildives aujourd’hui se trouvent sur les ve</w:t>
      </w:r>
      <w:r w:rsidRPr="00C92F30">
        <w:rPr>
          <w:lang w:val="fr-FR"/>
        </w:rPr>
        <w:t>s</w:t>
      </w:r>
      <w:r w:rsidRPr="00C92F30">
        <w:rPr>
          <w:lang w:val="fr-FR"/>
        </w:rPr>
        <w:t>tiges ou à proximité des habitations coloniales.</w:t>
      </w:r>
    </w:p>
  </w:footnote>
  <w:footnote w:id="660">
    <w:p w:rsidR="004C50DC" w:rsidRDefault="004C50DC">
      <w:pPr>
        <w:pStyle w:val="Notedebasdepage"/>
      </w:pPr>
      <w:r>
        <w:rPr>
          <w:rStyle w:val="Appelnotedebasdep"/>
        </w:rPr>
        <w:footnoteRef/>
      </w:r>
      <w:r>
        <w:t xml:space="preserve"> </w:t>
      </w:r>
      <w:r>
        <w:tab/>
      </w:r>
      <w:r w:rsidRPr="00C92F30">
        <w:rPr>
          <w:lang w:val="fr-FR"/>
        </w:rPr>
        <w:t xml:space="preserve">La commune de </w:t>
      </w:r>
      <w:r w:rsidRPr="00C92F30">
        <w:rPr>
          <w:rFonts w:eastAsia="Code2000" w:cs="Arial Unicode MS"/>
          <w:szCs w:val="24"/>
          <w:lang w:val="en-US"/>
        </w:rPr>
        <w:t xml:space="preserve">Jean Rabel est située </w:t>
      </w:r>
      <w:r w:rsidRPr="00C92F30">
        <w:rPr>
          <w:rFonts w:eastAsia="Code2000" w:cs="Arial Unicode MS"/>
          <w:szCs w:val="24"/>
          <w:lang w:val="en-US" w:eastAsia="hi-IN"/>
        </w:rPr>
        <w:t>d</w:t>
      </w:r>
      <w:r w:rsidRPr="00C92F30">
        <w:rPr>
          <w:rFonts w:eastAsia="Code2000" w:cs="Arial Unicode MS"/>
          <w:szCs w:val="24"/>
          <w:lang w:val="en-US"/>
        </w:rPr>
        <w:t>ans le département du Nord-Ouest, arrondissement de Môle-Saint-Nicolas.</w:t>
      </w:r>
      <w:r w:rsidRPr="00C92F30">
        <w:rPr>
          <w:shd w:val="clear" w:color="auto" w:fill="FFFFFF"/>
          <w:lang w:val="fr-FR"/>
        </w:rPr>
        <w:t xml:space="preserve"> </w:t>
      </w:r>
    </w:p>
  </w:footnote>
  <w:footnote w:id="661">
    <w:p w:rsidR="004C50DC" w:rsidRDefault="004C50DC">
      <w:pPr>
        <w:pStyle w:val="Notedebasdepage"/>
      </w:pPr>
      <w:r>
        <w:rPr>
          <w:rStyle w:val="Appelnotedebasdep"/>
        </w:rPr>
        <w:footnoteRef/>
      </w:r>
      <w:r>
        <w:t xml:space="preserve"> </w:t>
      </w:r>
      <w:r>
        <w:tab/>
      </w:r>
      <w:r w:rsidRPr="00C92F30">
        <w:rPr>
          <w:rFonts w:eastAsia="Code2000"/>
          <w:lang w:val="en-US"/>
        </w:rPr>
        <w:t>Franklin Mendels, « Proto-industrialization : The First Phase of the Industr</w:t>
      </w:r>
      <w:r w:rsidRPr="00C92F30">
        <w:rPr>
          <w:rFonts w:eastAsia="Code2000"/>
          <w:lang w:val="en-US"/>
        </w:rPr>
        <w:t>i</w:t>
      </w:r>
      <w:r w:rsidRPr="00C92F30">
        <w:rPr>
          <w:rFonts w:eastAsia="Code2000"/>
          <w:lang w:val="en-US"/>
        </w:rPr>
        <w:t>aliz</w:t>
      </w:r>
      <w:r w:rsidRPr="00C92F30">
        <w:rPr>
          <w:rFonts w:eastAsia="Code2000"/>
          <w:lang w:val="en-US"/>
        </w:rPr>
        <w:t>a</w:t>
      </w:r>
      <w:r w:rsidRPr="00C92F30">
        <w:rPr>
          <w:rFonts w:eastAsia="Code2000"/>
          <w:lang w:val="en-US"/>
        </w:rPr>
        <w:t xml:space="preserve">tion process », </w:t>
      </w:r>
      <w:r w:rsidRPr="00C92F30">
        <w:rPr>
          <w:rFonts w:eastAsia="Code2000"/>
          <w:i/>
          <w:lang w:val="en-US"/>
        </w:rPr>
        <w:t>Journal ofEconomic History</w:t>
      </w:r>
      <w:r w:rsidRPr="00C92F30">
        <w:rPr>
          <w:rFonts w:eastAsia="Code2000"/>
          <w:lang w:val="en-US"/>
        </w:rPr>
        <w:t>, mars 1972, p</w:t>
      </w:r>
      <w:r>
        <w:rPr>
          <w:rFonts w:eastAsia="Code2000"/>
          <w:lang w:val="en-US"/>
        </w:rPr>
        <w:t>p</w:t>
      </w:r>
      <w:r w:rsidRPr="00C92F30">
        <w:rPr>
          <w:rFonts w:eastAsia="Code2000"/>
          <w:lang w:val="en-US"/>
        </w:rPr>
        <w:t>. 241-261.</w:t>
      </w:r>
    </w:p>
  </w:footnote>
  <w:footnote w:id="662">
    <w:p w:rsidR="004C50DC" w:rsidRDefault="004C50DC">
      <w:pPr>
        <w:pStyle w:val="Notedebasdepage"/>
      </w:pPr>
      <w:r>
        <w:rPr>
          <w:rStyle w:val="Appelnotedebasdep"/>
        </w:rPr>
        <w:footnoteRef/>
      </w:r>
      <w:r>
        <w:t xml:space="preserve"> </w:t>
      </w:r>
      <w:r>
        <w:tab/>
      </w:r>
      <w:r w:rsidRPr="00C92F30">
        <w:rPr>
          <w:rFonts w:eastAsia="Code2000"/>
          <w:lang w:val="fr-FR"/>
        </w:rPr>
        <w:t xml:space="preserve">Pierre Deyon, « L’enjeu des discussions autour du concept de proto-industrialisation », </w:t>
      </w:r>
      <w:r w:rsidRPr="00C92F30">
        <w:rPr>
          <w:rFonts w:eastAsia="Code2000"/>
          <w:i/>
          <w:lang w:val="fr-FR"/>
        </w:rPr>
        <w:t>Revue du Nord</w:t>
      </w:r>
      <w:r w:rsidRPr="00C92F30">
        <w:rPr>
          <w:rFonts w:eastAsia="Code2000"/>
          <w:lang w:val="fr-FR"/>
        </w:rPr>
        <w:t>, 1979, n</w:t>
      </w:r>
      <w:r w:rsidRPr="00C92F30">
        <w:rPr>
          <w:rFonts w:eastAsia="Code2000"/>
          <w:vertAlign w:val="superscript"/>
          <w:lang w:val="fr-FR"/>
        </w:rPr>
        <w:t>o</w:t>
      </w:r>
      <w:r w:rsidRPr="00C92F30">
        <w:rPr>
          <w:rFonts w:eastAsia="Code2000"/>
          <w:lang w:val="fr-FR"/>
        </w:rPr>
        <w:t> 1, p</w:t>
      </w:r>
      <w:r>
        <w:rPr>
          <w:rFonts w:eastAsia="Code2000"/>
          <w:lang w:val="fr-FR"/>
        </w:rPr>
        <w:t>p</w:t>
      </w:r>
      <w:r w:rsidRPr="00C92F30">
        <w:rPr>
          <w:rFonts w:eastAsia="Code2000"/>
          <w:lang w:val="fr-FR"/>
        </w:rPr>
        <w:t xml:space="preserve">. 9-15 ; « La proto-industrialisation : théorie et réalité », </w:t>
      </w:r>
      <w:r w:rsidRPr="00C92F30">
        <w:rPr>
          <w:rFonts w:eastAsia="Code2000"/>
          <w:i/>
          <w:lang w:val="fr-FR"/>
        </w:rPr>
        <w:t>Revue du Nord</w:t>
      </w:r>
      <w:r w:rsidRPr="00C92F30">
        <w:rPr>
          <w:rFonts w:eastAsia="Code2000"/>
          <w:lang w:val="fr-FR"/>
        </w:rPr>
        <w:t>, 1981, n</w:t>
      </w:r>
      <w:r w:rsidRPr="00C92F30">
        <w:rPr>
          <w:rFonts w:eastAsia="Code2000"/>
          <w:vertAlign w:val="superscript"/>
          <w:lang w:val="fr-FR"/>
        </w:rPr>
        <w:t>o</w:t>
      </w:r>
      <w:r w:rsidRPr="00C92F30">
        <w:rPr>
          <w:rFonts w:eastAsia="Code2000"/>
          <w:lang w:val="fr-FR"/>
        </w:rPr>
        <w:t xml:space="preserve"> 1, </w:t>
      </w:r>
      <w:r>
        <w:rPr>
          <w:rFonts w:eastAsia="Code2000"/>
          <w:lang w:val="fr-FR"/>
        </w:rPr>
        <w:t>p</w:t>
      </w:r>
      <w:r w:rsidRPr="00C92F30">
        <w:rPr>
          <w:rFonts w:eastAsia="Code2000"/>
          <w:lang w:val="fr-FR"/>
        </w:rPr>
        <w:t>p. 11-19.</w:t>
      </w:r>
    </w:p>
  </w:footnote>
  <w:footnote w:id="663">
    <w:p w:rsidR="004C50DC" w:rsidRDefault="004C50DC">
      <w:pPr>
        <w:pStyle w:val="Notedebasdepage"/>
      </w:pPr>
      <w:r>
        <w:rPr>
          <w:rStyle w:val="Appelnotedebasdep"/>
        </w:rPr>
        <w:footnoteRef/>
      </w:r>
      <w:r>
        <w:t xml:space="preserve"> </w:t>
      </w:r>
      <w:r>
        <w:tab/>
      </w:r>
      <w:r w:rsidRPr="00C92F30">
        <w:rPr>
          <w:lang w:val="fr-FR"/>
        </w:rPr>
        <w:t>Voir Jean-François Géraud, « 1810-1880 : les contradictions du siècle du s</w:t>
      </w:r>
      <w:r w:rsidRPr="00C92F30">
        <w:rPr>
          <w:lang w:val="fr-FR"/>
        </w:rPr>
        <w:t>u</w:t>
      </w:r>
      <w:r w:rsidRPr="00C92F30">
        <w:rPr>
          <w:lang w:val="fr-FR"/>
        </w:rPr>
        <w:t xml:space="preserve">cre », </w:t>
      </w:r>
      <w:r w:rsidRPr="00C92F30">
        <w:t>en l</w:t>
      </w:r>
      <w:r w:rsidRPr="00C92F30">
        <w:t>i</w:t>
      </w:r>
      <w:r w:rsidRPr="00C92F30">
        <w:t>gne,</w:t>
      </w:r>
      <w:r>
        <w:br/>
      </w:r>
      <w:hyperlink r:id="rId102" w:history="1">
        <w:r w:rsidRPr="00C92F30">
          <w:rPr>
            <w:rStyle w:val="Lienhypertexte"/>
            <w:lang w:val="fr-FR"/>
          </w:rPr>
          <w:t>http://tice2.univreunion.fr/webdocs/crlhoiocs/cresoi/document/article_1810_1880_les_contradictions_du_siecle_du_sucre/les_contradictions_du_siecle_du_sucre.pdf</w:t>
        </w:r>
      </w:hyperlink>
      <w:r w:rsidRPr="00C92F30">
        <w:rPr>
          <w:lang w:val="fr-FR"/>
        </w:rPr>
        <w:t>, consulté le 18 mai 2013.</w:t>
      </w:r>
    </w:p>
  </w:footnote>
  <w:footnote w:id="664">
    <w:p w:rsidR="004C50DC" w:rsidRDefault="004C50DC">
      <w:pPr>
        <w:pStyle w:val="Notedebasdepage"/>
      </w:pPr>
      <w:r>
        <w:rPr>
          <w:rStyle w:val="Appelnotedebasdep"/>
        </w:rPr>
        <w:footnoteRef/>
      </w:r>
      <w:r>
        <w:t xml:space="preserve"> </w:t>
      </w:r>
      <w:r>
        <w:tab/>
      </w:r>
      <w:r w:rsidRPr="00C92F30">
        <w:t>Marcel Dorigny et B</w:t>
      </w:r>
      <w:r>
        <w:t>ernard Gainot, op. cit., p. 80.</w:t>
      </w:r>
    </w:p>
  </w:footnote>
  <w:footnote w:id="665">
    <w:p w:rsidR="004C50DC" w:rsidRDefault="004C50DC">
      <w:pPr>
        <w:pStyle w:val="Notedebasdepage"/>
      </w:pPr>
      <w:r>
        <w:rPr>
          <w:rStyle w:val="Appelnotedebasdep"/>
        </w:rPr>
        <w:footnoteRef/>
      </w:r>
      <w:r>
        <w:t xml:space="preserve"> </w:t>
      </w:r>
      <w:r>
        <w:tab/>
      </w:r>
      <w:r w:rsidRPr="00C92F30">
        <w:t xml:space="preserve">Certains esclaves pratiquaient la géophagie pour se donner la mort et du coup échapper aux conditions de l’esclavage. </w:t>
      </w:r>
    </w:p>
  </w:footnote>
  <w:footnote w:id="666">
    <w:p w:rsidR="004C50DC" w:rsidRPr="00C92F30" w:rsidRDefault="004C50DC" w:rsidP="004C50DC">
      <w:pPr>
        <w:pStyle w:val="Notedebasdepage"/>
      </w:pPr>
      <w:r w:rsidRPr="00107B9B">
        <w:rPr>
          <w:rStyle w:val="Appelnotedebasdep"/>
        </w:rPr>
        <w:footnoteRef/>
      </w:r>
      <w:r>
        <w:tab/>
      </w:r>
      <w:r w:rsidRPr="00C92F30">
        <w:t>Les esclaves sont généralement accusés d’être paresseux. Mais n’avaient-ils pas intérêt à l’être ? Il est certain qu’un individu en esclavage ne va pas me</w:t>
      </w:r>
      <w:r w:rsidRPr="00C92F30">
        <w:t>t</w:t>
      </w:r>
      <w:r w:rsidRPr="00C92F30">
        <w:t>tre beaucoup de lui-même pour se montrer compétent et très productif. Alors tous les coups pouvaient être permis pour saboter la productivité du maître.</w:t>
      </w:r>
    </w:p>
  </w:footnote>
  <w:footnote w:id="667">
    <w:p w:rsidR="004C50DC" w:rsidRDefault="004C50DC">
      <w:pPr>
        <w:pStyle w:val="Notedebasdepage"/>
      </w:pPr>
      <w:r>
        <w:rPr>
          <w:rStyle w:val="Appelnotedebasdep"/>
        </w:rPr>
        <w:footnoteRef/>
      </w:r>
      <w:r>
        <w:t xml:space="preserve"> </w:t>
      </w:r>
      <w:r>
        <w:tab/>
      </w:r>
      <w:r w:rsidRPr="00C92F30">
        <w:rPr>
          <w:lang w:val="fr-FR"/>
        </w:rPr>
        <w:t xml:space="preserve">Augustin Cochin, </w:t>
      </w:r>
      <w:r w:rsidRPr="00C92F30">
        <w:rPr>
          <w:i/>
          <w:lang w:val="fr-FR"/>
        </w:rPr>
        <w:t>L’abolition de l’esclavage,</w:t>
      </w:r>
      <w:r w:rsidRPr="00C92F30">
        <w:rPr>
          <w:lang w:val="fr-FR"/>
        </w:rPr>
        <w:t xml:space="preserve"> 2 vol., Paris, Jacques Leco</w:t>
      </w:r>
      <w:r w:rsidRPr="00C92F30">
        <w:rPr>
          <w:lang w:val="fr-FR"/>
        </w:rPr>
        <w:t>f</w:t>
      </w:r>
      <w:r w:rsidRPr="00C92F30">
        <w:rPr>
          <w:lang w:val="fr-FR"/>
        </w:rPr>
        <w:t xml:space="preserve">fre, 1861, cité par Paul Leroy-Beaulieu, </w:t>
      </w:r>
      <w:r w:rsidRPr="00C92F30">
        <w:rPr>
          <w:i/>
          <w:lang w:val="fr-FR"/>
        </w:rPr>
        <w:t>De la colonisation chez les peuples m</w:t>
      </w:r>
      <w:r w:rsidRPr="00C92F30">
        <w:rPr>
          <w:i/>
          <w:lang w:val="fr-FR"/>
        </w:rPr>
        <w:t>o</w:t>
      </w:r>
      <w:r w:rsidRPr="00C92F30">
        <w:rPr>
          <w:i/>
          <w:lang w:val="fr-FR"/>
        </w:rPr>
        <w:t>dernes</w:t>
      </w:r>
      <w:r w:rsidRPr="00C92F30">
        <w:rPr>
          <w:lang w:val="fr-FR"/>
        </w:rPr>
        <w:t xml:space="preserve">, Paris, Guillaumin et Cie, 1882, p. 170 ; Louis-Joseph Janvier, </w:t>
      </w:r>
      <w:r w:rsidRPr="00C92F30">
        <w:rPr>
          <w:i/>
          <w:lang w:val="fr-FR"/>
        </w:rPr>
        <w:t>La R</w:t>
      </w:r>
      <w:r w:rsidRPr="00C92F30">
        <w:rPr>
          <w:i/>
          <w:lang w:val="fr-FR"/>
        </w:rPr>
        <w:t>é</w:t>
      </w:r>
      <w:r w:rsidRPr="00C92F30">
        <w:rPr>
          <w:i/>
          <w:lang w:val="fr-FR"/>
        </w:rPr>
        <w:t>publ</w:t>
      </w:r>
      <w:r w:rsidRPr="00C92F30">
        <w:rPr>
          <w:i/>
          <w:lang w:val="fr-FR"/>
        </w:rPr>
        <w:t>i</w:t>
      </w:r>
      <w:r w:rsidRPr="00C92F30">
        <w:rPr>
          <w:i/>
          <w:lang w:val="fr-FR"/>
        </w:rPr>
        <w:t>que d'Haïti et ses visiteurs (1840-1882) : réponse à M. Victor Cochinat (de la petite presse) et à quelques autres écrivains</w:t>
      </w:r>
      <w:r w:rsidRPr="00C92F30">
        <w:rPr>
          <w:lang w:val="fr-FR"/>
        </w:rPr>
        <w:t>, Paris, Marpon et Flamm</w:t>
      </w:r>
      <w:r w:rsidRPr="00C92F30">
        <w:rPr>
          <w:lang w:val="fr-FR"/>
        </w:rPr>
        <w:t>a</w:t>
      </w:r>
      <w:r w:rsidRPr="00C92F30">
        <w:rPr>
          <w:lang w:val="fr-FR"/>
        </w:rPr>
        <w:t xml:space="preserve">rion, 1883, p. 286 ; Maurice Satineau, </w:t>
      </w:r>
      <w:r w:rsidRPr="00C92F30">
        <w:rPr>
          <w:i/>
          <w:lang w:val="fr-FR"/>
        </w:rPr>
        <w:t>Histoire de la Guadeloupe sous l’ancien régime</w:t>
      </w:r>
      <w:r w:rsidRPr="00C92F30">
        <w:rPr>
          <w:lang w:val="fr-FR"/>
        </w:rPr>
        <w:t>, 1635-1789, Paris, Payot, 1928, p. 118.</w:t>
      </w:r>
    </w:p>
  </w:footnote>
  <w:footnote w:id="668">
    <w:p w:rsidR="004C50DC" w:rsidRPr="00C92F30" w:rsidRDefault="004C50DC" w:rsidP="004C50DC">
      <w:pPr>
        <w:pStyle w:val="Notedebasdepage"/>
      </w:pPr>
      <w:r w:rsidRPr="00107B9B">
        <w:rPr>
          <w:rStyle w:val="Appelnotedebasdep"/>
        </w:rPr>
        <w:footnoteRef/>
      </w:r>
      <w:r>
        <w:tab/>
      </w:r>
      <w:r w:rsidRPr="00C92F30">
        <w:t xml:space="preserve">Michel Hector et Claude Moïse, </w:t>
      </w:r>
      <w:r w:rsidRPr="00C92F30">
        <w:rPr>
          <w:i/>
          <w:iCs/>
        </w:rPr>
        <w:t xml:space="preserve">Colonisation et esclavage en Haïti, </w:t>
      </w:r>
      <w:r w:rsidRPr="00C92F30">
        <w:t>op. cit., p. 80.</w:t>
      </w:r>
    </w:p>
  </w:footnote>
  <w:footnote w:id="669">
    <w:p w:rsidR="004C50DC" w:rsidRDefault="004C50DC">
      <w:pPr>
        <w:pStyle w:val="Notedebasdepage"/>
      </w:pPr>
      <w:r>
        <w:rPr>
          <w:rStyle w:val="Appelnotedebasdep"/>
        </w:rPr>
        <w:footnoteRef/>
      </w:r>
      <w:r>
        <w:t xml:space="preserve"> </w:t>
      </w:r>
      <w:r>
        <w:tab/>
      </w:r>
      <w:r w:rsidRPr="00C92F30">
        <w:rPr>
          <w:lang w:val="fr-FR"/>
        </w:rPr>
        <w:t>André Clavérie, « Les utopies créoles de l’habitation-plantation », dans Ma</w:t>
      </w:r>
      <w:r w:rsidRPr="00C92F30">
        <w:rPr>
          <w:lang w:val="fr-FR"/>
        </w:rPr>
        <w:t>u</w:t>
      </w:r>
      <w:r w:rsidRPr="00C92F30">
        <w:rPr>
          <w:lang w:val="fr-FR"/>
        </w:rPr>
        <w:t xml:space="preserve">rice Burac et Danielle Bégot, </w:t>
      </w:r>
      <w:r w:rsidRPr="00C92F30">
        <w:rPr>
          <w:i/>
          <w:lang w:val="fr-FR"/>
        </w:rPr>
        <w:t xml:space="preserve">L’habitation/plantation. Héritages et mutations. Caraïbe-Amérique, </w:t>
      </w:r>
      <w:r w:rsidRPr="00C92F30">
        <w:rPr>
          <w:lang w:val="fr-FR"/>
        </w:rPr>
        <w:t xml:space="preserve">Paris, Karthala, 2011, p. 254. </w:t>
      </w:r>
    </w:p>
  </w:footnote>
  <w:footnote w:id="670">
    <w:p w:rsidR="004C50DC" w:rsidRDefault="004C50DC">
      <w:pPr>
        <w:pStyle w:val="Notedebasdepage"/>
      </w:pPr>
      <w:r>
        <w:rPr>
          <w:rStyle w:val="Appelnotedebasdep"/>
        </w:rPr>
        <w:footnoteRef/>
      </w:r>
      <w:r>
        <w:t xml:space="preserve"> </w:t>
      </w:r>
      <w:r>
        <w:tab/>
      </w:r>
      <w:r w:rsidRPr="00C92F30">
        <w:t xml:space="preserve">Maurice Burac, « Introduction », dans Burac et Bégot, </w:t>
      </w:r>
      <w:r w:rsidRPr="00C92F30">
        <w:rPr>
          <w:i/>
        </w:rPr>
        <w:t>ibid.</w:t>
      </w:r>
      <w:r w:rsidRPr="00C92F30">
        <w:t>, p. 11.</w:t>
      </w:r>
    </w:p>
  </w:footnote>
  <w:footnote w:id="671">
    <w:p w:rsidR="004C50DC" w:rsidRPr="00C92F30" w:rsidRDefault="004C50DC" w:rsidP="004C50DC">
      <w:pPr>
        <w:pStyle w:val="Notedebasdepage"/>
      </w:pPr>
      <w:r w:rsidRPr="00107B9B">
        <w:rPr>
          <w:rStyle w:val="Appelnotedebasdep"/>
        </w:rPr>
        <w:footnoteRef/>
      </w:r>
      <w:r>
        <w:tab/>
      </w:r>
      <w:r w:rsidRPr="00C92F30">
        <w:t>Jacques de Cauna, Au temps des Isles à sucre. Histoire d’une plantation de Saint-Domingue au XVIII</w:t>
      </w:r>
      <w:r w:rsidRPr="00C92F30">
        <w:rPr>
          <w:vertAlign w:val="superscript"/>
        </w:rPr>
        <w:t>e</w:t>
      </w:r>
      <w:r w:rsidRPr="00C92F30">
        <w:t xml:space="preserve"> siècle, Paris, Karthala, 2003, p. 133.</w:t>
      </w:r>
    </w:p>
  </w:footnote>
  <w:footnote w:id="672">
    <w:p w:rsidR="004C50DC" w:rsidRDefault="004C50DC">
      <w:pPr>
        <w:pStyle w:val="Notedebasdepage"/>
      </w:pPr>
      <w:r>
        <w:rPr>
          <w:rStyle w:val="Appelnotedebasdep"/>
        </w:rPr>
        <w:footnoteRef/>
      </w:r>
      <w:r>
        <w:t xml:space="preserve"> </w:t>
      </w:r>
      <w:r>
        <w:tab/>
      </w:r>
      <w:r w:rsidRPr="00C92F30">
        <w:rPr>
          <w:lang w:val="en-US"/>
        </w:rPr>
        <w:t xml:space="preserve">Voir Richard Price et Sydney W. Mintz, </w:t>
      </w:r>
      <w:r w:rsidRPr="00C92F30">
        <w:rPr>
          <w:i/>
          <w:iCs/>
          <w:lang w:val="en-US"/>
        </w:rPr>
        <w:t>The birth of African-American cu</w:t>
      </w:r>
      <w:r w:rsidRPr="00C92F30">
        <w:rPr>
          <w:i/>
          <w:iCs/>
          <w:lang w:val="en-US"/>
        </w:rPr>
        <w:t>l</w:t>
      </w:r>
      <w:r w:rsidRPr="00C92F30">
        <w:rPr>
          <w:i/>
          <w:iCs/>
          <w:lang w:val="en-US"/>
        </w:rPr>
        <w:t>ture : an anthropological perspective</w:t>
      </w:r>
      <w:r w:rsidRPr="00C92F30">
        <w:rPr>
          <w:lang w:val="en-US"/>
        </w:rPr>
        <w:t xml:space="preserve">, Boston, Beacon Press, 1992. </w:t>
      </w:r>
      <w:r w:rsidRPr="00C92F30">
        <w:rPr>
          <w:lang w:val="fr-FR"/>
        </w:rPr>
        <w:t>Ces a</w:t>
      </w:r>
      <w:r w:rsidRPr="00C92F30">
        <w:rPr>
          <w:lang w:val="fr-FR"/>
        </w:rPr>
        <w:t>u</w:t>
      </w:r>
      <w:r w:rsidRPr="00C92F30">
        <w:rPr>
          <w:lang w:val="fr-FR"/>
        </w:rPr>
        <w:t xml:space="preserve">teurs proposent un regard nouveau sur l’origine de la culture afro-américaine en lien avec les expériences déshumanisantes du passé esclavagiste des Afro-Américains. </w:t>
      </w:r>
    </w:p>
  </w:footnote>
  <w:footnote w:id="673">
    <w:p w:rsidR="004C50DC" w:rsidRDefault="004C50DC">
      <w:pPr>
        <w:pStyle w:val="Notedebasdepage"/>
      </w:pPr>
      <w:r>
        <w:rPr>
          <w:rStyle w:val="Appelnotedebasdep"/>
        </w:rPr>
        <w:footnoteRef/>
      </w:r>
      <w:r>
        <w:t xml:space="preserve"> </w:t>
      </w:r>
      <w:r>
        <w:tab/>
      </w:r>
      <w:r w:rsidRPr="00C92F30">
        <w:rPr>
          <w:lang w:val="fr-FR"/>
        </w:rPr>
        <w:t>Laënnec Hurbon, dans « </w:t>
      </w:r>
      <w:r w:rsidRPr="00C92F30">
        <w:rPr>
          <w:iCs/>
          <w:lang w:val="fr-FR"/>
        </w:rPr>
        <w:t>La Révolution haïtienne. Une avancée postcoloni</w:t>
      </w:r>
      <w:r w:rsidRPr="00C92F30">
        <w:rPr>
          <w:iCs/>
          <w:lang w:val="fr-FR"/>
        </w:rPr>
        <w:t>a</w:t>
      </w:r>
      <w:r w:rsidRPr="00C92F30">
        <w:rPr>
          <w:iCs/>
          <w:lang w:val="fr-FR"/>
        </w:rPr>
        <w:t>le »</w:t>
      </w:r>
      <w:r w:rsidRPr="00C92F30">
        <w:rPr>
          <w:lang w:val="fr-FR"/>
        </w:rPr>
        <w:t xml:space="preserve">, </w:t>
      </w:r>
      <w:r w:rsidRPr="00C92F30">
        <w:rPr>
          <w:i/>
          <w:lang w:val="fr-FR"/>
        </w:rPr>
        <w:t>Rue Descartes</w:t>
      </w:r>
      <w:r w:rsidRPr="00C92F30">
        <w:rPr>
          <w:lang w:val="fr-FR"/>
        </w:rPr>
        <w:t>, vol. 4, n</w:t>
      </w:r>
      <w:r w:rsidRPr="00C92F30">
        <w:rPr>
          <w:vertAlign w:val="superscript"/>
          <w:lang w:val="fr-FR"/>
        </w:rPr>
        <w:t>o</w:t>
      </w:r>
      <w:r w:rsidRPr="00C92F30">
        <w:rPr>
          <w:lang w:val="fr-FR"/>
        </w:rPr>
        <w:t> 58, 2007, p. 56-66, critique la définition de l’esclave proposée par Orlando Patterson : un être mort socialement. Pour lui, l</w:t>
      </w:r>
      <w:r w:rsidRPr="00C92F30">
        <w:rPr>
          <w:lang w:val="fr-FR" w:eastAsia="fr-FR"/>
        </w:rPr>
        <w:t>a sortie réelle de l’esclavage devra supposer la sortie de l’amnésie culturelle. Les esclaves finissent par créer une nouvelle culture qui émerge comme la r</w:t>
      </w:r>
      <w:r w:rsidRPr="00C92F30">
        <w:rPr>
          <w:lang w:val="fr-FR" w:eastAsia="fr-FR"/>
        </w:rPr>
        <w:t>é</w:t>
      </w:r>
      <w:r w:rsidRPr="00C92F30">
        <w:rPr>
          <w:lang w:val="fr-FR" w:eastAsia="fr-FR"/>
        </w:rPr>
        <w:t>sultante d’un mariage/arrimage de signifiants captés du système religieux i</w:t>
      </w:r>
      <w:r w:rsidRPr="00C92F30">
        <w:rPr>
          <w:lang w:val="fr-FR" w:eastAsia="fr-FR"/>
        </w:rPr>
        <w:t>m</w:t>
      </w:r>
      <w:r w:rsidRPr="00C92F30">
        <w:rPr>
          <w:lang w:val="fr-FR" w:eastAsia="fr-FR"/>
        </w:rPr>
        <w:t>posé (le chri</w:t>
      </w:r>
      <w:r w:rsidRPr="00C92F30">
        <w:rPr>
          <w:lang w:val="fr-FR" w:eastAsia="fr-FR"/>
        </w:rPr>
        <w:t>s</w:t>
      </w:r>
      <w:r w:rsidRPr="00C92F30">
        <w:rPr>
          <w:lang w:val="fr-FR" w:eastAsia="fr-FR"/>
        </w:rPr>
        <w:t>tianisme) et de signifiants repris des croyances africaines.</w:t>
      </w:r>
    </w:p>
  </w:footnote>
  <w:footnote w:id="674">
    <w:p w:rsidR="004C50DC" w:rsidRDefault="004C50DC">
      <w:pPr>
        <w:pStyle w:val="Notedebasdepage"/>
      </w:pPr>
      <w:r>
        <w:rPr>
          <w:rStyle w:val="Appelnotedebasdep"/>
        </w:rPr>
        <w:footnoteRef/>
      </w:r>
      <w:r>
        <w:t xml:space="preserve"> </w:t>
      </w:r>
      <w:r>
        <w:tab/>
      </w:r>
      <w:r w:rsidRPr="00C92F30">
        <w:t>La cérémonie du Bois-Caïmanest une réunion spirituelle et politique tenue sur l’habitation Lenormand de Mézy, le 14 août 1791, sous l’obédience de Du</w:t>
      </w:r>
      <w:r w:rsidRPr="00C92F30">
        <w:t>t</w:t>
      </w:r>
      <w:r w:rsidRPr="00C92F30">
        <w:t>ty Boukman, généralement appelé Boukman. Elle précéda la révolte génér</w:t>
      </w:r>
      <w:r w:rsidRPr="00C92F30">
        <w:t>a</w:t>
      </w:r>
      <w:r w:rsidRPr="00C92F30">
        <w:t>le des esclaves du Nord dans la nuit du 21 au 22 août 1791, et est considérée comme l’événement fondateur de la Révolution haïtienne.</w:t>
      </w:r>
      <w:r w:rsidRPr="00C92F30">
        <w:rPr>
          <w:shd w:val="clear" w:color="auto" w:fill="FFFFFF"/>
        </w:rPr>
        <w:t xml:space="preserve"> </w:t>
      </w:r>
    </w:p>
  </w:footnote>
  <w:footnote w:id="675">
    <w:p w:rsidR="004C50DC" w:rsidRDefault="004C50DC">
      <w:pPr>
        <w:pStyle w:val="Notedebasdepage"/>
      </w:pPr>
      <w:r>
        <w:rPr>
          <w:rStyle w:val="Appelnotedebasdep"/>
        </w:rPr>
        <w:footnoteRef/>
      </w:r>
      <w:r>
        <w:t xml:space="preserve"> </w:t>
      </w:r>
      <w:r>
        <w:tab/>
      </w:r>
      <w:r w:rsidRPr="00C92F30">
        <w:t>Laënnec Hurbon, op. cit., p. 60.</w:t>
      </w:r>
    </w:p>
  </w:footnote>
  <w:footnote w:id="676">
    <w:p w:rsidR="004C50DC" w:rsidRDefault="004C50DC">
      <w:pPr>
        <w:pStyle w:val="Notedebasdepage"/>
      </w:pPr>
      <w:r>
        <w:rPr>
          <w:rStyle w:val="Appelnotedebasdep"/>
        </w:rPr>
        <w:footnoteRef/>
      </w:r>
      <w:r>
        <w:t xml:space="preserve"> </w:t>
      </w:r>
      <w:r>
        <w:tab/>
      </w:r>
      <w:r w:rsidRPr="00C92F30">
        <w:t>Édouard Glissant, Mémoires des esclavages. La fondation d’un centre nati</w:t>
      </w:r>
      <w:r w:rsidRPr="00C92F30">
        <w:t>o</w:t>
      </w:r>
      <w:r w:rsidRPr="00C92F30">
        <w:t>nal pour la mémoire des esclavages et de leurs abolitions, Paris, Gallimard, La Documentation française, 2007.</w:t>
      </w:r>
    </w:p>
  </w:footnote>
  <w:footnote w:id="677">
    <w:p w:rsidR="004C50DC" w:rsidRDefault="004C50DC">
      <w:pPr>
        <w:pStyle w:val="Notedebasdepage"/>
      </w:pPr>
      <w:r>
        <w:rPr>
          <w:rStyle w:val="Appelnotedebasdep"/>
        </w:rPr>
        <w:footnoteRef/>
      </w:r>
      <w:r>
        <w:t xml:space="preserve"> </w:t>
      </w:r>
      <w:r>
        <w:tab/>
      </w:r>
      <w:r w:rsidRPr="00C92F30">
        <w:t xml:space="preserve">Dominique de Villepin, « Avant-propos », dans Édouard Glissant, </w:t>
      </w:r>
      <w:r w:rsidRPr="00C92F30">
        <w:rPr>
          <w:i/>
        </w:rPr>
        <w:t>Mémoires des esclavages. La fondation d’un centre national…</w:t>
      </w:r>
      <w:r w:rsidRPr="00C92F30">
        <w:t>, op. cit., p</w:t>
      </w:r>
      <w:r>
        <w:t>p</w:t>
      </w:r>
      <w:r w:rsidRPr="00C92F30">
        <w:t>. 12-13.</w:t>
      </w:r>
    </w:p>
  </w:footnote>
  <w:footnote w:id="678">
    <w:p w:rsidR="004C50DC" w:rsidRDefault="004C50DC">
      <w:pPr>
        <w:pStyle w:val="Notedebasdepage"/>
      </w:pPr>
      <w:r>
        <w:rPr>
          <w:rStyle w:val="Appelnotedebasdep"/>
        </w:rPr>
        <w:footnoteRef/>
      </w:r>
      <w:r>
        <w:t xml:space="preserve"> </w:t>
      </w:r>
      <w:r>
        <w:tab/>
      </w:r>
      <w:r w:rsidRPr="00C92F30">
        <w:t xml:space="preserve">Laurier Turgeon, </w:t>
      </w:r>
      <w:r w:rsidRPr="00C92F30">
        <w:rPr>
          <w:i/>
        </w:rPr>
        <w:t>Patrimoines métissés. Contextes coloniaux et postcoloniaux</w:t>
      </w:r>
      <w:r w:rsidRPr="00C92F30">
        <w:t>, Paris-Québec, Maison des sciences de l’homme et Presses de l’Université L</w:t>
      </w:r>
      <w:r w:rsidRPr="00C92F30">
        <w:t>a</w:t>
      </w:r>
      <w:r w:rsidRPr="00C92F30">
        <w:t xml:space="preserve">val, 2003 ; voir en particulier l’introduction, « Décentrer le patrimoine ». </w:t>
      </w:r>
    </w:p>
  </w:footnote>
  <w:footnote w:id="679">
    <w:p w:rsidR="004C50DC" w:rsidRDefault="004C50DC">
      <w:pPr>
        <w:pStyle w:val="Notedebasdepage"/>
      </w:pPr>
      <w:r>
        <w:rPr>
          <w:rStyle w:val="Appelnotedebasdep"/>
        </w:rPr>
        <w:footnoteRef/>
      </w:r>
      <w:r>
        <w:t xml:space="preserve"> </w:t>
      </w:r>
      <w:r>
        <w:tab/>
      </w:r>
      <w:r w:rsidRPr="00C92F30">
        <w:rPr>
          <w:rStyle w:val="lev"/>
          <w:b w:val="0"/>
          <w:bCs/>
          <w:lang w:val="fr-FR"/>
        </w:rPr>
        <w:t>Jacques de</w:t>
      </w:r>
      <w:r w:rsidRPr="00C92F30">
        <w:rPr>
          <w:rStyle w:val="apple-converted-space"/>
          <w:lang w:val="fr-FR"/>
        </w:rPr>
        <w:t> </w:t>
      </w:r>
      <w:r w:rsidRPr="00C92F30">
        <w:rPr>
          <w:rStyle w:val="familyname"/>
          <w:lang w:val="fr-FR"/>
        </w:rPr>
        <w:t>Cauna</w:t>
      </w:r>
      <w:r w:rsidRPr="00C92F30">
        <w:rPr>
          <w:lang w:val="fr-FR"/>
        </w:rPr>
        <w:t>, « Patrimoine et mémoire de l’esclavage en Haïti : les vest</w:t>
      </w:r>
      <w:r w:rsidRPr="00C92F30">
        <w:rPr>
          <w:lang w:val="fr-FR"/>
        </w:rPr>
        <w:t>i</w:t>
      </w:r>
      <w:r w:rsidRPr="00C92F30">
        <w:rPr>
          <w:lang w:val="fr-FR"/>
        </w:rPr>
        <w:t>ges de la société d’habitation coloniale »,</w:t>
      </w:r>
      <w:r w:rsidRPr="00C92F30">
        <w:rPr>
          <w:rStyle w:val="apple-converted-space"/>
          <w:lang w:val="fr-FR"/>
        </w:rPr>
        <w:t xml:space="preserve"> op. cit., en ligne.</w:t>
      </w:r>
    </w:p>
  </w:footnote>
  <w:footnote w:id="680">
    <w:p w:rsidR="004C50DC" w:rsidRDefault="004C50DC">
      <w:pPr>
        <w:pStyle w:val="Notedebasdepage"/>
      </w:pPr>
      <w:r>
        <w:rPr>
          <w:rStyle w:val="Appelnotedebasdep"/>
        </w:rPr>
        <w:footnoteRef/>
      </w:r>
      <w:r>
        <w:t xml:space="preserve"> </w:t>
      </w:r>
      <w:r>
        <w:tab/>
      </w:r>
      <w:r w:rsidRPr="00C92F30">
        <w:t xml:space="preserve">Sur ce sujet, voir Florent Mazzoleni, « Des habitations de Saint-Domingue à la culture du fleuve Mississippi : une musique des échanges atlantiques », dans François Hubert, Jacques de Cauna et Christian Block, </w:t>
      </w:r>
      <w:r w:rsidRPr="00C92F30">
        <w:rPr>
          <w:i/>
        </w:rPr>
        <w:t>Bordeaux au XVIII</w:t>
      </w:r>
      <w:r w:rsidRPr="00C92F30">
        <w:rPr>
          <w:i/>
          <w:vertAlign w:val="superscript"/>
        </w:rPr>
        <w:t>e</w:t>
      </w:r>
      <w:r w:rsidRPr="00C92F30">
        <w:rPr>
          <w:i/>
        </w:rPr>
        <w:t xml:space="preserve"> siècle. Le commerce atlantique et l’esclavage</w:t>
      </w:r>
      <w:r w:rsidRPr="00C92F30">
        <w:t>, Bordeaux, Le Festin, 2010, p. 193.</w:t>
      </w:r>
    </w:p>
  </w:footnote>
  <w:footnote w:id="681">
    <w:p w:rsidR="004C50DC" w:rsidRDefault="004C50DC">
      <w:pPr>
        <w:pStyle w:val="Notedebasdepage"/>
      </w:pPr>
      <w:r>
        <w:rPr>
          <w:rStyle w:val="Appelnotedebasdep"/>
        </w:rPr>
        <w:footnoteRef/>
      </w:r>
      <w:r>
        <w:t xml:space="preserve"> </w:t>
      </w:r>
      <w:r>
        <w:tab/>
      </w:r>
      <w:r w:rsidRPr="00C92F30">
        <w:t>Ibid., p. 195.</w:t>
      </w:r>
    </w:p>
  </w:footnote>
  <w:footnote w:id="682">
    <w:p w:rsidR="004C50DC" w:rsidRDefault="004C50DC">
      <w:pPr>
        <w:pStyle w:val="Notedebasdepage"/>
      </w:pPr>
      <w:r>
        <w:rPr>
          <w:rStyle w:val="Appelnotedebasdep"/>
        </w:rPr>
        <w:footnoteRef/>
      </w:r>
      <w:r>
        <w:t xml:space="preserve"> </w:t>
      </w:r>
      <w:r>
        <w:tab/>
      </w:r>
      <w:r w:rsidRPr="00C92F30">
        <w:t xml:space="preserve">Le terme </w:t>
      </w:r>
      <w:r w:rsidRPr="00C92F30">
        <w:rPr>
          <w:i/>
        </w:rPr>
        <w:t xml:space="preserve">lakou </w:t>
      </w:r>
      <w:r w:rsidRPr="00C92F30">
        <w:t xml:space="preserve">est aussi utilisé par les pratiquants du vodou pour désigner leur lieu de cérémonie, d’attachement et de vénération des </w:t>
      </w:r>
      <w:r w:rsidRPr="00C92F30">
        <w:rPr>
          <w:i/>
        </w:rPr>
        <w:t>loas</w:t>
      </w:r>
      <w:r w:rsidRPr="00C92F30">
        <w:t>.</w:t>
      </w:r>
    </w:p>
  </w:footnote>
  <w:footnote w:id="683">
    <w:p w:rsidR="004C50DC" w:rsidRDefault="004C50DC">
      <w:pPr>
        <w:pStyle w:val="Notedebasdepage"/>
      </w:pPr>
      <w:r>
        <w:rPr>
          <w:rStyle w:val="Appelnotedebasdep"/>
        </w:rPr>
        <w:footnoteRef/>
      </w:r>
      <w:r>
        <w:t xml:space="preserve"> </w:t>
      </w:r>
      <w:r>
        <w:tab/>
      </w:r>
      <w:r w:rsidRPr="00C92F30">
        <w:t xml:space="preserve">Édouard Glissant, </w:t>
      </w:r>
      <w:r w:rsidRPr="00C92F30">
        <w:rPr>
          <w:i/>
        </w:rPr>
        <w:t>Le Discours antillais</w:t>
      </w:r>
      <w:r w:rsidRPr="00C92F30">
        <w:t>, Paris, Seuil, 1981, p. 69.</w:t>
      </w:r>
    </w:p>
  </w:footnote>
  <w:footnote w:id="684">
    <w:p w:rsidR="004C50DC" w:rsidRDefault="004C50DC">
      <w:pPr>
        <w:pStyle w:val="Notedebasdepage"/>
      </w:pPr>
      <w:r>
        <w:rPr>
          <w:rStyle w:val="Appelnotedebasdep"/>
        </w:rPr>
        <w:footnoteRef/>
      </w:r>
      <w:r>
        <w:t xml:space="preserve"> </w:t>
      </w:r>
      <w:r>
        <w:tab/>
      </w:r>
      <w:r w:rsidRPr="00C92F30">
        <w:rPr>
          <w:lang w:val="fr-FR"/>
        </w:rPr>
        <w:t>Christine Chivallon, « Affronter des questions toujours là. Autour des regi</w:t>
      </w:r>
      <w:r w:rsidRPr="00C92F30">
        <w:rPr>
          <w:lang w:val="fr-FR"/>
        </w:rPr>
        <w:t>s</w:t>
      </w:r>
      <w:r w:rsidRPr="00C92F30">
        <w:rPr>
          <w:lang w:val="fr-FR"/>
        </w:rPr>
        <w:t xml:space="preserve">tres d’une mémoire antillaise de l’esclavage », </w:t>
      </w:r>
      <w:r w:rsidRPr="00C92F30">
        <w:rPr>
          <w:i/>
          <w:lang w:val="fr-FR"/>
        </w:rPr>
        <w:t>Ethnologie française</w:t>
      </w:r>
      <w:r w:rsidRPr="00C92F30">
        <w:rPr>
          <w:lang w:val="fr-FR"/>
        </w:rPr>
        <w:t>, vol. XXXII, n</w:t>
      </w:r>
      <w:r w:rsidRPr="00C92F30">
        <w:rPr>
          <w:vertAlign w:val="superscript"/>
          <w:lang w:val="fr-FR"/>
        </w:rPr>
        <w:t>o</w:t>
      </w:r>
      <w:r w:rsidRPr="00C92F30">
        <w:rPr>
          <w:lang w:val="fr-FR"/>
        </w:rPr>
        <w:t xml:space="preserve"> 4, 2002, p. 601-612 ; repris dans Christine Chivallon, </w:t>
      </w:r>
      <w:r w:rsidRPr="00C92F30">
        <w:rPr>
          <w:i/>
          <w:lang w:val="fr-FR"/>
        </w:rPr>
        <w:t>La dia</w:t>
      </w:r>
      <w:r w:rsidRPr="00C92F30">
        <w:rPr>
          <w:i/>
          <w:lang w:val="fr-FR"/>
        </w:rPr>
        <w:t>s</w:t>
      </w:r>
      <w:r w:rsidRPr="00C92F30">
        <w:rPr>
          <w:i/>
          <w:lang w:val="fr-FR"/>
        </w:rPr>
        <w:t>pora noire des Amériques. Expériences et théories à partir de la Caraïbe</w:t>
      </w:r>
      <w:r w:rsidRPr="00C92F30">
        <w:rPr>
          <w:lang w:val="fr-FR"/>
        </w:rPr>
        <w:t>, P</w:t>
      </w:r>
      <w:r w:rsidRPr="00C92F30">
        <w:rPr>
          <w:lang w:val="fr-FR"/>
        </w:rPr>
        <w:t>a</w:t>
      </w:r>
      <w:r w:rsidRPr="00C92F30">
        <w:rPr>
          <w:lang w:val="fr-FR"/>
        </w:rPr>
        <w:t>ris, CNRS, 2004, p. 230.</w:t>
      </w:r>
    </w:p>
  </w:footnote>
  <w:footnote w:id="685">
    <w:p w:rsidR="004C50DC" w:rsidRDefault="004C50DC">
      <w:pPr>
        <w:pStyle w:val="Notedebasdepage"/>
      </w:pPr>
      <w:r>
        <w:rPr>
          <w:rStyle w:val="Appelnotedebasdep"/>
        </w:rPr>
        <w:footnoteRef/>
      </w:r>
      <w:r>
        <w:t xml:space="preserve"> </w:t>
      </w:r>
      <w:r>
        <w:tab/>
      </w:r>
      <w:r w:rsidRPr="00C92F30">
        <w:rPr>
          <w:lang w:val="fr-FR"/>
        </w:rPr>
        <w:t xml:space="preserve">Jhon Picard Byron, </w:t>
      </w:r>
      <w:r w:rsidRPr="00C92F30">
        <w:rPr>
          <w:bCs/>
          <w:i/>
          <w:iCs/>
          <w:lang w:val="fr-FR"/>
        </w:rPr>
        <w:t>Séquelles de l’esclavage, identité culturelle et constru</w:t>
      </w:r>
      <w:r w:rsidRPr="00C92F30">
        <w:rPr>
          <w:bCs/>
          <w:i/>
          <w:iCs/>
          <w:lang w:val="fr-FR"/>
        </w:rPr>
        <w:t>c</w:t>
      </w:r>
      <w:r w:rsidRPr="00C92F30">
        <w:rPr>
          <w:bCs/>
          <w:i/>
          <w:iCs/>
          <w:lang w:val="fr-FR"/>
        </w:rPr>
        <w:t>tion de la citoyenneté en Haïti dans l’œuvre de Jean Price-Mars</w:t>
      </w:r>
      <w:r w:rsidRPr="00C92F30">
        <w:rPr>
          <w:bCs/>
          <w:iCs/>
          <w:lang w:val="fr-FR"/>
        </w:rPr>
        <w:t xml:space="preserve">, mémoire de maîtrise, </w:t>
      </w:r>
      <w:r w:rsidRPr="00C92F30">
        <w:rPr>
          <w:lang w:val="fr-FR"/>
        </w:rPr>
        <w:t xml:space="preserve">Université d’État d’Haïti (École normale supérieure/Maîtrise « Histoire, mémoire et patrimoine »)  et Université Laval (CÉLAT), 2011. </w:t>
      </w:r>
    </w:p>
  </w:footnote>
  <w:footnote w:id="686">
    <w:p w:rsidR="004C50DC" w:rsidRDefault="004C50DC">
      <w:pPr>
        <w:pStyle w:val="Notedebasdepage"/>
      </w:pPr>
      <w:r>
        <w:rPr>
          <w:rStyle w:val="Appelnotedebasdep"/>
        </w:rPr>
        <w:footnoteRef/>
      </w:r>
      <w:r>
        <w:t xml:space="preserve"> </w:t>
      </w:r>
      <w:r>
        <w:tab/>
      </w:r>
      <w:r w:rsidRPr="00C92F30">
        <w:t xml:space="preserve">Bertrand Badie, </w:t>
      </w:r>
      <w:r w:rsidRPr="00A83212">
        <w:rPr>
          <w:i/>
        </w:rPr>
        <w:t>L’État importé. Essai sur l’occidentalisation de l’ordre pol</w:t>
      </w:r>
      <w:r w:rsidRPr="00A83212">
        <w:rPr>
          <w:i/>
        </w:rPr>
        <w:t>i</w:t>
      </w:r>
      <w:r w:rsidRPr="00A83212">
        <w:rPr>
          <w:i/>
        </w:rPr>
        <w:t>tique</w:t>
      </w:r>
      <w:r w:rsidRPr="00C92F30">
        <w:t xml:space="preserve">, Paris, Fayard, 1992, </w:t>
      </w:r>
      <w:r>
        <w:t>p</w:t>
      </w:r>
      <w:r w:rsidRPr="00C92F30">
        <w:t>p. 10-12.</w:t>
      </w:r>
    </w:p>
  </w:footnote>
  <w:footnote w:id="687">
    <w:p w:rsidR="004C50DC" w:rsidRDefault="004C50DC">
      <w:pPr>
        <w:pStyle w:val="Notedebasdepage"/>
      </w:pPr>
      <w:r>
        <w:rPr>
          <w:rStyle w:val="Appelnotedebasdep"/>
        </w:rPr>
        <w:footnoteRef/>
      </w:r>
      <w:r>
        <w:t xml:space="preserve"> </w:t>
      </w:r>
      <w:r>
        <w:tab/>
      </w:r>
      <w:r w:rsidRPr="00C92F30">
        <w:rPr>
          <w:lang w:val="fr-FR"/>
        </w:rPr>
        <w:t xml:space="preserve">Terme utilisé par Gérard Barthélémy pour présenter la classe des paysans et des citoyens marginalisés issus de la masse populaire en Haïti qui constitue la force de travail, mais qui est souvent oubliée dans le décompte national, voire exploitée ou combattue ; Gérard Barthélemy, </w:t>
      </w:r>
      <w:r w:rsidRPr="00C92F30">
        <w:rPr>
          <w:i/>
          <w:lang w:val="fr-FR"/>
        </w:rPr>
        <w:t>Le pays en dehors. Essai sur l’univers rural haïtien</w:t>
      </w:r>
      <w:r w:rsidRPr="00C92F30">
        <w:rPr>
          <w:lang w:val="fr-FR"/>
        </w:rPr>
        <w:t>, Port-au-Prince, Henri Deschamps, 1989.</w:t>
      </w:r>
    </w:p>
  </w:footnote>
  <w:footnote w:id="688">
    <w:p w:rsidR="004C50DC" w:rsidRPr="00C92F30" w:rsidRDefault="004C50DC" w:rsidP="004C50DC">
      <w:pPr>
        <w:pStyle w:val="Notedebasdepage"/>
        <w:rPr>
          <w:lang w:val="en-US"/>
        </w:rPr>
      </w:pPr>
      <w:r w:rsidRPr="00A83212">
        <w:rPr>
          <w:rStyle w:val="Appelnotedebasdep"/>
        </w:rPr>
        <w:footnoteRef/>
      </w:r>
      <w:r>
        <w:rPr>
          <w:lang w:val="en-US"/>
        </w:rPr>
        <w:tab/>
      </w:r>
      <w:r w:rsidRPr="00C92F30">
        <w:rPr>
          <w:lang w:val="en-US"/>
        </w:rPr>
        <w:t>« </w:t>
      </w:r>
      <w:r w:rsidRPr="00C92F30">
        <w:rPr>
          <w:rStyle w:val="corps"/>
          <w:lang w:val="en-US"/>
        </w:rPr>
        <w:t>The past does not exist independently from the present </w:t>
      </w:r>
      <w:r w:rsidRPr="00C92F30">
        <w:rPr>
          <w:bCs/>
          <w:lang w:val="en-US"/>
        </w:rPr>
        <w:t xml:space="preserve">»; </w:t>
      </w:r>
      <w:r w:rsidRPr="00C92F30">
        <w:rPr>
          <w:rStyle w:val="googqs-tidbit"/>
          <w:lang w:val="en-US"/>
        </w:rPr>
        <w:t>Michel-Rolph Troui</w:t>
      </w:r>
      <w:r w:rsidRPr="00C92F30">
        <w:rPr>
          <w:rStyle w:val="googqs-tidbit"/>
          <w:lang w:val="en-US"/>
        </w:rPr>
        <w:t>l</w:t>
      </w:r>
      <w:r w:rsidRPr="00C92F30">
        <w:rPr>
          <w:rStyle w:val="googqs-tidbit"/>
          <w:lang w:val="en-US"/>
        </w:rPr>
        <w:t xml:space="preserve">lot, </w:t>
      </w:r>
      <w:r w:rsidRPr="00C92F30">
        <w:rPr>
          <w:rStyle w:val="googqs-tidbit"/>
          <w:i/>
          <w:iCs/>
          <w:lang w:val="en-US"/>
        </w:rPr>
        <w:t xml:space="preserve">Silencing the Past, </w:t>
      </w:r>
      <w:r w:rsidRPr="00C92F30">
        <w:rPr>
          <w:rStyle w:val="googqs-tidbit"/>
          <w:lang w:val="en-US"/>
        </w:rPr>
        <w:t>op. cit., p. 15.</w:t>
      </w:r>
    </w:p>
  </w:footnote>
  <w:footnote w:id="689">
    <w:p w:rsidR="004C50DC" w:rsidRDefault="004C50DC">
      <w:pPr>
        <w:pStyle w:val="Notedebasdepage"/>
      </w:pPr>
      <w:r>
        <w:rPr>
          <w:rStyle w:val="Appelnotedebasdep"/>
        </w:rPr>
        <w:footnoteRef/>
      </w:r>
      <w:r>
        <w:t xml:space="preserve"> </w:t>
      </w:r>
      <w:r>
        <w:tab/>
      </w:r>
      <w:r w:rsidRPr="00C92F30">
        <w:rPr>
          <w:lang w:val="fr-FR"/>
        </w:rPr>
        <w:t xml:space="preserve">Par exemple, le gouverneur </w:t>
      </w:r>
      <w:r w:rsidRPr="00C92F30">
        <w:rPr>
          <w:lang w:val="fr-FR" w:eastAsia="en-CA"/>
        </w:rPr>
        <w:t xml:space="preserve">Étienne de Chastenoye a fait construire dans le Nord-Est le Fort-Dauphin dont la première pierre a été posée le 8 août 1730. Ce fort servait de vigie face aux Espagnols. Il voulait protéger la colonie de Saint-Domingue contre la menace des Espagnols occupant la partie orientale de l’île d’Haïti. L’appellation Fort-Dauphin a été aussi utilisée pour identifier l’ancienne ville  </w:t>
      </w:r>
      <w:r w:rsidRPr="00C92F30">
        <w:rPr>
          <w:bCs/>
          <w:i/>
          <w:iCs/>
          <w:lang w:val="fr-FR" w:eastAsia="en-CA"/>
        </w:rPr>
        <w:t>Bayaha</w:t>
      </w:r>
      <w:r w:rsidRPr="00C92F30">
        <w:rPr>
          <w:lang w:val="fr-FR" w:eastAsia="en-CA"/>
        </w:rPr>
        <w:t xml:space="preserve"> fondée en1578 par les Espagnols. Dans un texte p</w:t>
      </w:r>
      <w:r w:rsidRPr="00C92F30">
        <w:rPr>
          <w:lang w:val="fr-FR" w:eastAsia="en-CA"/>
        </w:rPr>
        <w:t>u</w:t>
      </w:r>
      <w:r w:rsidRPr="00C92F30">
        <w:rPr>
          <w:lang w:val="fr-FR" w:eastAsia="en-CA"/>
        </w:rPr>
        <w:t xml:space="preserve">blié en 1820, il est rapporté que l’Indépendance d’Haïti aurait été proclamée le 29 novembre1803 à Fort-Dauphin par les généraux Jean-Jacques Dessalines, Henri Christopheet Clervaux ; voir </w:t>
      </w:r>
      <w:r w:rsidRPr="00C92F30">
        <w:rPr>
          <w:rFonts w:eastAsia="Calibri"/>
          <w:i/>
          <w:lang w:val="fr-FR" w:eastAsia="fr-FR"/>
        </w:rPr>
        <w:t>Débarquement de la flotte française à Saint-Domingue faisant suite aux révolutions de cette île</w:t>
      </w:r>
      <w:r w:rsidRPr="00C92F30">
        <w:rPr>
          <w:rFonts w:eastAsia="Calibri"/>
          <w:lang w:val="fr-FR" w:eastAsia="fr-FR"/>
        </w:rPr>
        <w:t xml:space="preserve">, Paris, 1820, p. 50-53, cité par </w:t>
      </w:r>
      <w:r w:rsidRPr="00C92F30">
        <w:rPr>
          <w:lang w:val="fr-FR" w:eastAsia="en-CA"/>
        </w:rPr>
        <w:t xml:space="preserve">Leslie </w:t>
      </w:r>
      <w:r w:rsidRPr="00C92F30">
        <w:rPr>
          <w:lang w:val="fr-FR"/>
        </w:rPr>
        <w:t>Jean-Robert</w:t>
      </w:r>
      <w:r w:rsidRPr="00C92F30">
        <w:rPr>
          <w:lang w:val="fr-FR" w:eastAsia="en-CA"/>
        </w:rPr>
        <w:t>Péan, « </w:t>
      </w:r>
      <w:r w:rsidRPr="00C92F30">
        <w:rPr>
          <w:bCs/>
          <w:lang w:val="fr-FR"/>
        </w:rPr>
        <w:t>Haïti-Histoire. De Vertières à ce jour en passant par le Pont Ro</w:t>
      </w:r>
      <w:r w:rsidRPr="00C92F30">
        <w:rPr>
          <w:bCs/>
          <w:lang w:val="fr-FR"/>
        </w:rPr>
        <w:t>u</w:t>
      </w:r>
      <w:r w:rsidRPr="00C92F30">
        <w:rPr>
          <w:bCs/>
          <w:lang w:val="fr-FR"/>
        </w:rPr>
        <w:t xml:space="preserve">ge », 1 de 4, </w:t>
      </w:r>
      <w:r w:rsidRPr="00C92F30">
        <w:rPr>
          <w:rFonts w:eastAsia="Calibri"/>
          <w:lang w:val="fr-FR" w:eastAsia="fr-FR"/>
        </w:rPr>
        <w:t xml:space="preserve">mardi 12 novembre 2013, en ligne, </w:t>
      </w:r>
      <w:hyperlink r:id="rId103" w:history="1">
        <w:r w:rsidRPr="00C92F30">
          <w:rPr>
            <w:rStyle w:val="Lienhypertexte"/>
            <w:rFonts w:eastAsia="Calibri"/>
            <w:lang w:val="fr-FR" w:eastAsia="fr-FR"/>
          </w:rPr>
          <w:t>http://www.alterpresse.org/spip.php?article15461#nb5</w:t>
        </w:r>
      </w:hyperlink>
      <w:r w:rsidRPr="00C92F30">
        <w:rPr>
          <w:rFonts w:eastAsia="Calibri"/>
          <w:lang w:val="fr-FR" w:eastAsia="fr-FR"/>
        </w:rPr>
        <w:t>, consulté le 25 octobre 2015. Selon Péan,</w:t>
      </w:r>
      <w:r w:rsidRPr="00C92F30">
        <w:rPr>
          <w:lang w:val="fr-FR"/>
        </w:rPr>
        <w:t xml:space="preserve">« ce document a été repris dans l’ouvrage de </w:t>
      </w:r>
      <w:r w:rsidRPr="00C92F30">
        <w:rPr>
          <w:rFonts w:eastAsia="Calibri"/>
          <w:lang w:val="fr-FR" w:eastAsia="fr-FR"/>
        </w:rPr>
        <w:t>Gaspard Thé</w:t>
      </w:r>
      <w:r w:rsidRPr="00C92F30">
        <w:rPr>
          <w:rFonts w:eastAsia="Calibri"/>
          <w:lang w:val="fr-FR" w:eastAsia="fr-FR"/>
        </w:rPr>
        <w:t>o</w:t>
      </w:r>
      <w:r w:rsidRPr="00C92F30">
        <w:rPr>
          <w:rFonts w:eastAsia="Calibri"/>
          <w:lang w:val="fr-FR" w:eastAsia="fr-FR"/>
        </w:rPr>
        <w:t xml:space="preserve">dore Mollien </w:t>
      </w:r>
      <w:r w:rsidRPr="00C92F30">
        <w:rPr>
          <w:lang w:val="fr-FR" w:eastAsia="en-CA"/>
        </w:rPr>
        <w:t>(</w:t>
      </w:r>
      <w:r w:rsidRPr="00C92F30">
        <w:rPr>
          <w:rFonts w:eastAsia="Calibri"/>
          <w:i/>
          <w:lang w:val="fr-FR" w:eastAsia="fr-FR"/>
        </w:rPr>
        <w:t>Haïti ou Saint-Domingue</w:t>
      </w:r>
      <w:r w:rsidRPr="00C92F30">
        <w:rPr>
          <w:rFonts w:eastAsia="Calibri"/>
          <w:lang w:val="fr-FR" w:eastAsia="fr-FR"/>
        </w:rPr>
        <w:t xml:space="preserve">…) </w:t>
      </w:r>
      <w:r w:rsidRPr="00C92F30">
        <w:rPr>
          <w:lang w:val="fr-FR"/>
        </w:rPr>
        <w:t>écrit en 1832 qui précède de qui</w:t>
      </w:r>
      <w:r w:rsidRPr="00C92F30">
        <w:rPr>
          <w:lang w:val="fr-FR"/>
        </w:rPr>
        <w:t>n</w:t>
      </w:r>
      <w:r w:rsidRPr="00C92F30">
        <w:rPr>
          <w:lang w:val="fr-FR"/>
        </w:rPr>
        <w:t>ze ans l’</w:t>
      </w:r>
      <w:r w:rsidRPr="00C92F30">
        <w:rPr>
          <w:i/>
          <w:lang w:val="fr-FR"/>
        </w:rPr>
        <w:t>Histoire d’Haïti</w:t>
      </w:r>
      <w:r w:rsidRPr="00C92F30">
        <w:rPr>
          <w:lang w:val="fr-FR"/>
        </w:rPr>
        <w:t>de Thomas Madiou publié en 1847 ». Toutefois, Thomas M</w:t>
      </w:r>
      <w:r w:rsidRPr="00C92F30">
        <w:rPr>
          <w:lang w:val="fr-FR"/>
        </w:rPr>
        <w:t>a</w:t>
      </w:r>
      <w:r w:rsidRPr="00C92F30">
        <w:rPr>
          <w:lang w:val="fr-FR"/>
        </w:rPr>
        <w:t>diou</w:t>
      </w:r>
      <w:r w:rsidRPr="00C92F30">
        <w:rPr>
          <w:rStyle w:val="spipnoteref"/>
          <w:lang w:val="fr-FR"/>
        </w:rPr>
        <w:t xml:space="preserve">doutait de </w:t>
      </w:r>
      <w:r w:rsidRPr="00C92F30">
        <w:rPr>
          <w:lang w:val="fr-FR"/>
        </w:rPr>
        <w:t>l’authenticité de cette proclamation, affirmant qu’elle était apocr</w:t>
      </w:r>
      <w:r w:rsidRPr="00C92F30">
        <w:rPr>
          <w:lang w:val="fr-FR"/>
        </w:rPr>
        <w:t>y</w:t>
      </w:r>
      <w:r w:rsidRPr="00C92F30">
        <w:rPr>
          <w:lang w:val="fr-FR"/>
        </w:rPr>
        <w:t xml:space="preserve">phe. Il le prouvait en signalant que ce jour du 29 novembre 1803, Dessalines se trouvait au Cap-Haïtien et que donc il ne pouvait pas être au Fort-Dauphin ; </w:t>
      </w:r>
      <w:r w:rsidRPr="00C92F30">
        <w:rPr>
          <w:rFonts w:eastAsia="Calibri"/>
          <w:lang w:val="fr-FR" w:eastAsia="fr-FR"/>
        </w:rPr>
        <w:t>Th</w:t>
      </w:r>
      <w:r w:rsidRPr="00C92F30">
        <w:rPr>
          <w:rFonts w:eastAsia="Calibri"/>
          <w:lang w:val="fr-FR" w:eastAsia="fr-FR"/>
        </w:rPr>
        <w:t>o</w:t>
      </w:r>
      <w:r w:rsidRPr="00C92F30">
        <w:rPr>
          <w:rFonts w:eastAsia="Calibri"/>
          <w:lang w:val="fr-FR" w:eastAsia="fr-FR"/>
        </w:rPr>
        <w:t xml:space="preserve">mas Madiou, </w:t>
      </w:r>
      <w:r w:rsidRPr="00C92F30">
        <w:rPr>
          <w:rFonts w:eastAsia="Calibri"/>
          <w:i/>
          <w:lang w:val="fr-FR" w:eastAsia="fr-FR"/>
        </w:rPr>
        <w:t>Histoire d’Haïti, Tome III, 1803-1807</w:t>
      </w:r>
      <w:r w:rsidRPr="00C92F30">
        <w:rPr>
          <w:rFonts w:eastAsia="Calibri"/>
          <w:lang w:val="fr-FR" w:eastAsia="fr-FR"/>
        </w:rPr>
        <w:t>, Port-au-Prince, Henri De</w:t>
      </w:r>
      <w:r w:rsidRPr="00C92F30">
        <w:rPr>
          <w:rFonts w:eastAsia="Calibri"/>
          <w:lang w:val="fr-FR" w:eastAsia="fr-FR"/>
        </w:rPr>
        <w:t>s</w:t>
      </w:r>
      <w:r w:rsidRPr="00C92F30">
        <w:rPr>
          <w:rFonts w:eastAsia="Calibri"/>
          <w:lang w:val="fr-FR" w:eastAsia="fr-FR"/>
        </w:rPr>
        <w:t xml:space="preserve">champs, 1989, </w:t>
      </w:r>
      <w:r>
        <w:rPr>
          <w:rFonts w:eastAsia="Calibri"/>
          <w:lang w:val="fr-FR" w:eastAsia="fr-FR"/>
        </w:rPr>
        <w:t>p</w:t>
      </w:r>
      <w:r w:rsidRPr="00C92F30">
        <w:rPr>
          <w:rFonts w:eastAsia="Calibri"/>
          <w:lang w:val="fr-FR" w:eastAsia="fr-FR"/>
        </w:rPr>
        <w:t>p. 125-127).</w:t>
      </w:r>
    </w:p>
    <w:p w:rsidR="004C50DC" w:rsidRDefault="004C50DC">
      <w:pPr>
        <w:pStyle w:val="Notedebasdepage"/>
      </w:pPr>
      <w:r>
        <w:tab/>
      </w:r>
      <w:r>
        <w:tab/>
      </w:r>
      <w:r w:rsidRPr="00C92F30">
        <w:rPr>
          <w:lang w:val="fr-FR" w:eastAsia="en-CA"/>
        </w:rPr>
        <w:t xml:space="preserve">Sous le règne de Henri Christophe alors roi du Nord, le Fort Dauphin (Fort-Royal) fut rebaptisé le 26 mars 1811 ; la ville sera rebaptisée Fort-Liberté en 1820 et elle est désormaisle chef-lieu du Département du Nord-Est. </w:t>
      </w:r>
    </w:p>
  </w:footnote>
  <w:footnote w:id="690">
    <w:p w:rsidR="004C50DC" w:rsidRDefault="004C50DC">
      <w:pPr>
        <w:pStyle w:val="Notedebasdepage"/>
      </w:pPr>
      <w:r>
        <w:rPr>
          <w:rStyle w:val="Appelnotedebasdep"/>
        </w:rPr>
        <w:footnoteRef/>
      </w:r>
      <w:r>
        <w:t xml:space="preserve"> </w:t>
      </w:r>
      <w:r>
        <w:tab/>
      </w:r>
      <w:r w:rsidRPr="00C92F30">
        <w:t xml:space="preserve">Voir « Le Picolet, verrou de la défense du Cap », </w:t>
      </w:r>
      <w:r w:rsidRPr="00C92F30">
        <w:rPr>
          <w:i/>
        </w:rPr>
        <w:t>Bulletin de l’ISPAN</w:t>
      </w:r>
      <w:r w:rsidRPr="00C92F30">
        <w:t>, n</w:t>
      </w:r>
      <w:r w:rsidRPr="00C92F30">
        <w:rPr>
          <w:vertAlign w:val="superscript"/>
        </w:rPr>
        <w:t>o </w:t>
      </w:r>
      <w:r w:rsidRPr="00C92F30">
        <w:t>23, 1</w:t>
      </w:r>
      <w:r w:rsidRPr="00C92F30">
        <w:rPr>
          <w:vertAlign w:val="superscript"/>
        </w:rPr>
        <w:t xml:space="preserve">er </w:t>
      </w:r>
      <w:r w:rsidRPr="00C92F30">
        <w:t xml:space="preserve">avril 2011, p. 1- 6 ; voir aussi ISPAN, </w:t>
      </w:r>
      <w:r w:rsidRPr="00C92F30">
        <w:rPr>
          <w:i/>
        </w:rPr>
        <w:t>200 monuments et sites d’Haïti à haute valeur culturelle, historique ou architecturale</w:t>
      </w:r>
      <w:r w:rsidRPr="00C92F30">
        <w:t>, Port-au-Prince, Henri De</w:t>
      </w:r>
      <w:r w:rsidRPr="00C92F30">
        <w:t>s</w:t>
      </w:r>
      <w:r w:rsidRPr="00C92F30">
        <w:t>champs, 2014, p. 8.</w:t>
      </w:r>
    </w:p>
  </w:footnote>
  <w:footnote w:id="691">
    <w:p w:rsidR="004C50DC" w:rsidRDefault="004C50DC">
      <w:pPr>
        <w:pStyle w:val="Notedebasdepage"/>
      </w:pPr>
      <w:r>
        <w:rPr>
          <w:rStyle w:val="Appelnotedebasdep"/>
        </w:rPr>
        <w:footnoteRef/>
      </w:r>
      <w:r>
        <w:t xml:space="preserve"> </w:t>
      </w:r>
      <w:r>
        <w:tab/>
      </w:r>
      <w:r w:rsidRPr="00C92F30">
        <w:t>Jacques de Cauna, « Patrimoine et mémoire de l’esclavage en Haïti : les vest</w:t>
      </w:r>
      <w:r w:rsidRPr="00C92F30">
        <w:t>i</w:t>
      </w:r>
      <w:r w:rsidRPr="00C92F30">
        <w:t xml:space="preserve">ges de la société  d’habitation coloniale », </w:t>
      </w:r>
      <w:r w:rsidRPr="00C92F30">
        <w:rPr>
          <w:i/>
        </w:rPr>
        <w:t>In Situ</w:t>
      </w:r>
      <w:r w:rsidRPr="00C92F30">
        <w:t>, n</w:t>
      </w:r>
      <w:r w:rsidRPr="00C92F30">
        <w:rPr>
          <w:vertAlign w:val="superscript"/>
        </w:rPr>
        <w:t>o</w:t>
      </w:r>
      <w:r w:rsidRPr="00C92F30">
        <w:t> 20, 2013, en ligne : http://insitu.revues.org/10107 ; DOI : 10.4000/in situ.10107,  consulté le 8 f</w:t>
      </w:r>
      <w:r w:rsidRPr="00C92F30">
        <w:t>é</w:t>
      </w:r>
      <w:r w:rsidRPr="00C92F30">
        <w:t>vrier 2014.</w:t>
      </w:r>
    </w:p>
  </w:footnote>
  <w:footnote w:id="692">
    <w:p w:rsidR="004C50DC" w:rsidRDefault="004C50DC">
      <w:pPr>
        <w:pStyle w:val="Notedebasdepage"/>
      </w:pPr>
      <w:r>
        <w:rPr>
          <w:rStyle w:val="Appelnotedebasdep"/>
        </w:rPr>
        <w:footnoteRef/>
      </w:r>
      <w:r>
        <w:t xml:space="preserve"> </w:t>
      </w:r>
      <w:r>
        <w:tab/>
      </w:r>
      <w:r w:rsidRPr="00C92F30">
        <w:t>Voir la figure 22, Carte des fortifications construites entre les XVII</w:t>
      </w:r>
      <w:r w:rsidRPr="00C92F30">
        <w:rPr>
          <w:vertAlign w:val="superscript"/>
        </w:rPr>
        <w:t>e</w:t>
      </w:r>
      <w:r w:rsidRPr="00C92F30">
        <w:t>et XVIII</w:t>
      </w:r>
      <w:r w:rsidRPr="00C92F30">
        <w:rPr>
          <w:vertAlign w:val="superscript"/>
        </w:rPr>
        <w:t>e</w:t>
      </w:r>
      <w:r w:rsidRPr="00C92F30">
        <w:t xml:space="preserve"> siècles.</w:t>
      </w:r>
    </w:p>
  </w:footnote>
  <w:footnote w:id="693">
    <w:p w:rsidR="004C50DC" w:rsidRDefault="004C50DC">
      <w:pPr>
        <w:pStyle w:val="Notedebasdepage"/>
      </w:pPr>
      <w:r>
        <w:rPr>
          <w:rStyle w:val="Appelnotedebasdep"/>
        </w:rPr>
        <w:footnoteRef/>
      </w:r>
      <w:r>
        <w:t xml:space="preserve"> </w:t>
      </w:r>
      <w:r>
        <w:tab/>
      </w:r>
      <w:r w:rsidRPr="00C92F30">
        <w:t>Jacques de Cauna, « Patrimoine et mémoire de l’esclavage en Haïti… », op. cit.</w:t>
      </w:r>
    </w:p>
  </w:footnote>
  <w:footnote w:id="694">
    <w:p w:rsidR="004C50DC" w:rsidRDefault="004C50DC">
      <w:pPr>
        <w:pStyle w:val="Notedebasdepage"/>
      </w:pPr>
      <w:r>
        <w:rPr>
          <w:rStyle w:val="Appelnotedebasdep"/>
        </w:rPr>
        <w:footnoteRef/>
      </w:r>
      <w:r>
        <w:t xml:space="preserve"> </w:t>
      </w:r>
      <w:r>
        <w:tab/>
      </w:r>
      <w:r w:rsidRPr="00C92F30">
        <w:rPr>
          <w:lang w:val="en-US"/>
        </w:rPr>
        <w:t xml:space="preserve">David Patrick Geggus, </w:t>
      </w:r>
      <w:r w:rsidRPr="00C92F30">
        <w:rPr>
          <w:i/>
          <w:lang w:val="en-US"/>
        </w:rPr>
        <w:t>Slavery, War and Revolution : The British Occup</w:t>
      </w:r>
      <w:r w:rsidRPr="00C92F30">
        <w:rPr>
          <w:i/>
          <w:lang w:val="en-US"/>
        </w:rPr>
        <w:t>a</w:t>
      </w:r>
      <w:r w:rsidRPr="00C92F30">
        <w:rPr>
          <w:i/>
          <w:lang w:val="en-US"/>
        </w:rPr>
        <w:t>tion of Saint-Domingue (1793-1798),</w:t>
      </w:r>
      <w:r w:rsidRPr="00C92F30">
        <w:rPr>
          <w:lang w:val="en-US"/>
        </w:rPr>
        <w:t xml:space="preserve"> New York, Clarendon Press, 1982.</w:t>
      </w:r>
    </w:p>
  </w:footnote>
  <w:footnote w:id="695">
    <w:p w:rsidR="004C50DC" w:rsidRDefault="004C50DC">
      <w:pPr>
        <w:pStyle w:val="Notedebasdepage"/>
      </w:pPr>
      <w:r>
        <w:rPr>
          <w:rStyle w:val="Appelnotedebasdep"/>
        </w:rPr>
        <w:footnoteRef/>
      </w:r>
      <w:r>
        <w:t xml:space="preserve"> </w:t>
      </w:r>
      <w:r>
        <w:tab/>
      </w:r>
      <w:r w:rsidRPr="00C92F30">
        <w:rPr>
          <w:lang w:val="fr-FR"/>
        </w:rPr>
        <w:t xml:space="preserve">« Chronique des monuments et sites historiques d’Haïti », </w:t>
      </w:r>
      <w:r w:rsidRPr="00C92F30">
        <w:rPr>
          <w:i/>
          <w:lang w:val="fr-FR"/>
        </w:rPr>
        <w:t>Bulletin de l’ISPAN</w:t>
      </w:r>
      <w:r w:rsidRPr="00C92F30">
        <w:rPr>
          <w:lang w:val="fr-FR"/>
        </w:rPr>
        <w:t>,  n</w:t>
      </w:r>
      <w:r w:rsidRPr="00C92F30">
        <w:rPr>
          <w:vertAlign w:val="superscript"/>
          <w:lang w:val="fr-FR"/>
        </w:rPr>
        <w:t>o</w:t>
      </w:r>
      <w:r w:rsidRPr="00C92F30">
        <w:rPr>
          <w:lang w:val="fr-FR"/>
        </w:rPr>
        <w:t> 2, 1</w:t>
      </w:r>
      <w:r w:rsidRPr="00C92F30">
        <w:rPr>
          <w:vertAlign w:val="superscript"/>
          <w:lang w:val="fr-FR"/>
        </w:rPr>
        <w:t>er</w:t>
      </w:r>
      <w:r w:rsidRPr="00C92F30">
        <w:rPr>
          <w:lang w:val="fr-FR"/>
        </w:rPr>
        <w:t xml:space="preserve"> juillet 2009, p. 4.</w:t>
      </w:r>
    </w:p>
  </w:footnote>
  <w:footnote w:id="696">
    <w:p w:rsidR="004C50DC" w:rsidRDefault="004C50DC">
      <w:pPr>
        <w:pStyle w:val="Notedebasdepage"/>
      </w:pPr>
      <w:r>
        <w:rPr>
          <w:rStyle w:val="Appelnotedebasdep"/>
        </w:rPr>
        <w:footnoteRef/>
      </w:r>
      <w:r>
        <w:t xml:space="preserve"> </w:t>
      </w:r>
      <w:r>
        <w:tab/>
      </w:r>
      <w:r w:rsidRPr="00C92F30">
        <w:rPr>
          <w:lang w:val="fr-FR"/>
        </w:rPr>
        <w:t>L’icône de fortification provient de</w:t>
      </w:r>
      <w:r>
        <w:rPr>
          <w:lang w:val="fr-FR"/>
        </w:rPr>
        <w:t xml:space="preserve"> </w:t>
      </w:r>
      <w:hyperlink r:id="rId104" w:history="1">
        <w:r w:rsidRPr="00C92F30">
          <w:rPr>
            <w:rStyle w:val="Lienhypertexte"/>
            <w:szCs w:val="18"/>
            <w:lang w:val="fr-FR"/>
          </w:rPr>
          <w:t>http://www.google.com/icone/fortification</w:t>
        </w:r>
      </w:hyperlink>
    </w:p>
  </w:footnote>
  <w:footnote w:id="697">
    <w:p w:rsidR="004C50DC" w:rsidRPr="00C92F30" w:rsidRDefault="004C50DC" w:rsidP="004C50DC">
      <w:pPr>
        <w:pStyle w:val="Notedebasdepage"/>
      </w:pPr>
      <w:r w:rsidRPr="00A83212">
        <w:rPr>
          <w:rStyle w:val="Appelnotedebasdep"/>
        </w:rPr>
        <w:footnoteRef/>
      </w:r>
      <w:r>
        <w:tab/>
      </w:r>
      <w:r w:rsidRPr="00C92F30">
        <w:t>« Les fortiﬁcations de Marchand-Dessalines (1</w:t>
      </w:r>
      <w:r w:rsidRPr="00C92F30">
        <w:rPr>
          <w:vertAlign w:val="superscript"/>
        </w:rPr>
        <w:t>re</w:t>
      </w:r>
      <w:r w:rsidRPr="00C92F30">
        <w:t xml:space="preserve"> partie) », </w:t>
      </w:r>
      <w:r w:rsidRPr="00C92F30">
        <w:rPr>
          <w:i/>
        </w:rPr>
        <w:t>Bulletin de l’ISPAN</w:t>
      </w:r>
      <w:r w:rsidRPr="00C92F30">
        <w:t>, n</w:t>
      </w:r>
      <w:r w:rsidRPr="00C92F30">
        <w:rPr>
          <w:vertAlign w:val="superscript"/>
        </w:rPr>
        <w:t>o</w:t>
      </w:r>
      <w:r w:rsidRPr="00C92F30">
        <w:t> 3, 1</w:t>
      </w:r>
      <w:r w:rsidRPr="00C92F30">
        <w:rPr>
          <w:vertAlign w:val="superscript"/>
        </w:rPr>
        <w:t>er</w:t>
      </w:r>
      <w:r w:rsidRPr="00C92F30">
        <w:t xml:space="preserve"> août 2009, </w:t>
      </w:r>
      <w:r>
        <w:t>p</w:t>
      </w:r>
      <w:r w:rsidRPr="00C92F30">
        <w:t xml:space="preserve">p. 1-3. </w:t>
      </w:r>
    </w:p>
  </w:footnote>
  <w:footnote w:id="698">
    <w:p w:rsidR="004C50DC" w:rsidRDefault="004C50DC">
      <w:pPr>
        <w:pStyle w:val="Notedebasdepage"/>
      </w:pPr>
      <w:r w:rsidRPr="00E909FC">
        <w:rPr>
          <w:rStyle w:val="Appelnotedebasdep"/>
        </w:rPr>
        <w:footnoteRef/>
      </w:r>
      <w:r w:rsidRPr="00E909FC">
        <w:rPr>
          <w:sz w:val="20"/>
        </w:rPr>
        <w:t xml:space="preserve"> </w:t>
      </w:r>
      <w:r>
        <w:tab/>
      </w:r>
      <w:r w:rsidRPr="00C92F30">
        <w:t xml:space="preserve">« Le fort Drouet redécouvert », </w:t>
      </w:r>
      <w:r w:rsidRPr="00C92F30">
        <w:rPr>
          <w:i/>
        </w:rPr>
        <w:t>Bulletin de l’ISPAN</w:t>
      </w:r>
      <w:r w:rsidRPr="00C92F30">
        <w:t>, n</w:t>
      </w:r>
      <w:r w:rsidRPr="00C92F30">
        <w:rPr>
          <w:vertAlign w:val="superscript"/>
        </w:rPr>
        <w:t>o</w:t>
      </w:r>
      <w:r w:rsidRPr="00C92F30">
        <w:t> 4, 1</w:t>
      </w:r>
      <w:r w:rsidRPr="00C92F30">
        <w:rPr>
          <w:vertAlign w:val="superscript"/>
        </w:rPr>
        <w:t>er</w:t>
      </w:r>
      <w:r w:rsidRPr="00C92F30">
        <w:t xml:space="preserve"> septembre 2009, p. 1-2 ; voir aussi ISPAN, </w:t>
      </w:r>
      <w:r w:rsidRPr="00C92F30">
        <w:rPr>
          <w:i/>
        </w:rPr>
        <w:t>200 monuments et sites d’Haïti à haute valeur culturelle, historique ou architecturale</w:t>
      </w:r>
      <w:r w:rsidRPr="00C92F30">
        <w:t>, Port-au-Prince, Henri Deschamps, 2014.</w:t>
      </w:r>
    </w:p>
  </w:footnote>
  <w:footnote w:id="699">
    <w:p w:rsidR="004C50DC" w:rsidRPr="00C92F30" w:rsidRDefault="004C50DC" w:rsidP="004C50DC">
      <w:pPr>
        <w:pStyle w:val="Notedebasdepage"/>
      </w:pPr>
      <w:r w:rsidRPr="00E909FC">
        <w:rPr>
          <w:rStyle w:val="Appelnotedebasdep"/>
        </w:rPr>
        <w:footnoteRef/>
      </w:r>
      <w:r>
        <w:tab/>
      </w:r>
      <w:r w:rsidRPr="00E909FC">
        <w:rPr>
          <w:i/>
        </w:rPr>
        <w:t>Ibid</w:t>
      </w:r>
      <w:r w:rsidRPr="00C92F30">
        <w:t>.</w:t>
      </w:r>
    </w:p>
  </w:footnote>
  <w:footnote w:id="700">
    <w:p w:rsidR="004C50DC" w:rsidRPr="00C92F30" w:rsidRDefault="004C50DC" w:rsidP="004C50DC">
      <w:pPr>
        <w:pStyle w:val="Notedebasdepage"/>
      </w:pPr>
      <w:r w:rsidRPr="00E909FC">
        <w:rPr>
          <w:rStyle w:val="Appelnotedebasdep"/>
        </w:rPr>
        <w:footnoteRef/>
      </w:r>
      <w:r>
        <w:tab/>
      </w:r>
      <w:r w:rsidRPr="00C92F30">
        <w:t>Pour la construction de ces forts, voir « Les fortiﬁcations de Marchand-Dessalines (1</w:t>
      </w:r>
      <w:r w:rsidRPr="00C92F30">
        <w:rPr>
          <w:vertAlign w:val="superscript"/>
        </w:rPr>
        <w:t>re</w:t>
      </w:r>
      <w:r w:rsidRPr="00C92F30">
        <w:t xml:space="preserve"> partie) », </w:t>
      </w:r>
      <w:r w:rsidRPr="00C92F30">
        <w:rPr>
          <w:i/>
        </w:rPr>
        <w:t>Bulletin de L’ISPAN</w:t>
      </w:r>
      <w:r w:rsidRPr="00C92F30">
        <w:t>, op. cit.</w:t>
      </w:r>
    </w:p>
  </w:footnote>
  <w:footnote w:id="701">
    <w:p w:rsidR="004C50DC" w:rsidRDefault="004C50DC">
      <w:pPr>
        <w:pStyle w:val="Notedebasdepage"/>
      </w:pPr>
      <w:r>
        <w:rPr>
          <w:rStyle w:val="Appelnotedebasdep"/>
        </w:rPr>
        <w:footnoteRef/>
      </w:r>
      <w:r>
        <w:t xml:space="preserve"> </w:t>
      </w:r>
      <w:r>
        <w:tab/>
      </w:r>
      <w:r w:rsidRPr="00E909FC">
        <w:rPr>
          <w:i/>
          <w:lang w:val="fr-FR"/>
        </w:rPr>
        <w:t>Ibid</w:t>
      </w:r>
      <w:r w:rsidRPr="00C92F30">
        <w:rPr>
          <w:lang w:val="fr-FR"/>
        </w:rPr>
        <w:t>.</w:t>
      </w:r>
    </w:p>
  </w:footnote>
  <w:footnote w:id="702">
    <w:p w:rsidR="004C50DC" w:rsidRDefault="004C50DC">
      <w:pPr>
        <w:pStyle w:val="Notedebasdepage"/>
      </w:pPr>
      <w:r>
        <w:rPr>
          <w:rStyle w:val="Appelnotedebasdep"/>
        </w:rPr>
        <w:footnoteRef/>
      </w:r>
      <w:r>
        <w:t xml:space="preserve"> </w:t>
      </w:r>
      <w:r>
        <w:tab/>
      </w:r>
      <w:r w:rsidRPr="00C92F30">
        <w:rPr>
          <w:lang w:val="fr-FR" w:eastAsia="en-CA"/>
        </w:rPr>
        <w:t>À l’instigation du général Alexandre Pétion, deux forts ont été élevés, l’un en son honneur et l’autre enl’honneur de l’empereur Jean-Jacques Dessalines à Kenscoff, surplombant la baie de Port-au-Prince. Le Fort Jacques fut achevé et pourvu en artillerie tandis que le chantier du fort Alexandre fermait peu de temps après l’assassinat de Jean-Jacques Dessalines en 1806.</w:t>
      </w:r>
    </w:p>
  </w:footnote>
  <w:footnote w:id="703">
    <w:p w:rsidR="004C50DC" w:rsidRDefault="004C50DC">
      <w:pPr>
        <w:pStyle w:val="Notedebasdepage"/>
      </w:pPr>
      <w:r>
        <w:rPr>
          <w:rStyle w:val="Appelnotedebasdep"/>
        </w:rPr>
        <w:footnoteRef/>
      </w:r>
      <w:r>
        <w:t xml:space="preserve"> </w:t>
      </w:r>
      <w:r>
        <w:tab/>
      </w:r>
      <w:r w:rsidRPr="00C92F30">
        <w:rPr>
          <w:lang w:val="fr-FR"/>
        </w:rPr>
        <w:t xml:space="preserve">La chute du régime dictatorial des Duvalier a laissé désaffectées certaines fortifications qui avaient servi autrefois de </w:t>
      </w:r>
      <w:r w:rsidRPr="00C92F30">
        <w:rPr>
          <w:lang w:val="fr-FR" w:eastAsia="en-CA"/>
        </w:rPr>
        <w:t>prison politique</w:t>
      </w:r>
      <w:r w:rsidRPr="00C92F30">
        <w:rPr>
          <w:lang w:val="fr-FR"/>
        </w:rPr>
        <w:t xml:space="preserve"> à leur milice app</w:t>
      </w:r>
      <w:r w:rsidRPr="00C92F30">
        <w:rPr>
          <w:lang w:val="fr-FR"/>
        </w:rPr>
        <w:t>e</w:t>
      </w:r>
      <w:r w:rsidRPr="00C92F30">
        <w:rPr>
          <w:lang w:val="fr-FR"/>
        </w:rPr>
        <w:t>lée « Volontaires de la Sécurité nationale (VSN) », les « tontons macoute ». Nous pouvons citer, entre autres, fort Dimanche, couramment dénommé « </w:t>
      </w:r>
      <w:r w:rsidRPr="00C92F30">
        <w:rPr>
          <w:lang w:val="fr-FR" w:eastAsia="en-CA"/>
        </w:rPr>
        <w:t>Fort la mort » (</w:t>
      </w:r>
      <w:r w:rsidRPr="00C92F30">
        <w:rPr>
          <w:i/>
          <w:lang w:val="fr-FR" w:eastAsia="en-CA"/>
        </w:rPr>
        <w:t>Fò lanmò</w:t>
      </w:r>
      <w:r w:rsidRPr="00C92F30">
        <w:rPr>
          <w:lang w:val="fr-FR" w:eastAsia="en-CA"/>
        </w:rPr>
        <w:t>),</w:t>
      </w:r>
      <w:r w:rsidRPr="00C92F30">
        <w:rPr>
          <w:lang w:val="fr-FR"/>
        </w:rPr>
        <w:t xml:space="preserve"> construit par les Français dans la baie de Port-au-Prince pour protéger la ville à la fin du XVIII</w:t>
      </w:r>
      <w:r w:rsidRPr="00C92F30">
        <w:rPr>
          <w:vertAlign w:val="superscript"/>
          <w:lang w:val="fr-FR"/>
        </w:rPr>
        <w:t xml:space="preserve">e </w:t>
      </w:r>
      <w:r w:rsidRPr="00C92F30">
        <w:rPr>
          <w:lang w:val="fr-FR"/>
        </w:rPr>
        <w:t xml:space="preserve">siècle. Ce fort a été restauré sur le gouvernement de Faustin Soulouque en 1850 et fut définitivement </w:t>
      </w:r>
      <w:r w:rsidRPr="00C92F30">
        <w:rPr>
          <w:lang w:val="fr-FR" w:eastAsia="en-CA"/>
        </w:rPr>
        <w:t>désaffe</w:t>
      </w:r>
      <w:r w:rsidRPr="00C92F30">
        <w:rPr>
          <w:lang w:val="fr-FR" w:eastAsia="en-CA"/>
        </w:rPr>
        <w:t>c</w:t>
      </w:r>
      <w:r w:rsidRPr="00C92F30">
        <w:rPr>
          <w:lang w:val="fr-FR" w:eastAsia="en-CA"/>
        </w:rPr>
        <w:t>té en 1991 au début du mandat présidentiel de Jean-Bertrand Aristide, en s</w:t>
      </w:r>
      <w:r w:rsidRPr="00C92F30">
        <w:rPr>
          <w:lang w:val="fr-FR" w:eastAsia="en-CA"/>
        </w:rPr>
        <w:t>i</w:t>
      </w:r>
      <w:r w:rsidRPr="00C92F30">
        <w:rPr>
          <w:lang w:val="fr-FR" w:eastAsia="en-CA"/>
        </w:rPr>
        <w:t xml:space="preserve">gne de rupture avec le passé dictatorial et avec la mémoire douloureuse que ce lieu évoque pour des milliers d’Haïtiens. </w:t>
      </w:r>
    </w:p>
  </w:footnote>
  <w:footnote w:id="704">
    <w:p w:rsidR="004C50DC" w:rsidRDefault="004C50DC">
      <w:pPr>
        <w:pStyle w:val="Notedebasdepage"/>
      </w:pPr>
      <w:r>
        <w:rPr>
          <w:rStyle w:val="Appelnotedebasdep"/>
        </w:rPr>
        <w:footnoteRef/>
      </w:r>
      <w:r>
        <w:t xml:space="preserve"> </w:t>
      </w:r>
      <w:r>
        <w:tab/>
      </w:r>
      <w:r w:rsidRPr="00C92F30">
        <w:t xml:space="preserve">Mission des Nations Unies pour la Stabilisation d’Haïti. </w:t>
      </w:r>
    </w:p>
  </w:footnote>
  <w:footnote w:id="705">
    <w:p w:rsidR="004C50DC" w:rsidRDefault="004C50DC">
      <w:pPr>
        <w:pStyle w:val="Notedebasdepage"/>
      </w:pPr>
      <w:r>
        <w:rPr>
          <w:rStyle w:val="Appelnotedebasdep"/>
        </w:rPr>
        <w:footnoteRef/>
      </w:r>
      <w:r>
        <w:t xml:space="preserve"> </w:t>
      </w:r>
      <w:r>
        <w:tab/>
      </w:r>
      <w:r w:rsidRPr="00C92F30">
        <w:rPr>
          <w:lang w:val="fr-FR"/>
        </w:rPr>
        <w:t>Le président Jean-Bertrand Aristide, à son retour d’exil en 1994, avait déma</w:t>
      </w:r>
      <w:r w:rsidRPr="00C92F30">
        <w:rPr>
          <w:lang w:val="fr-FR"/>
        </w:rPr>
        <w:t>n</w:t>
      </w:r>
      <w:r w:rsidRPr="00C92F30">
        <w:rPr>
          <w:lang w:val="fr-FR"/>
        </w:rPr>
        <w:t>telé les Forces armées d’Haïti, responsables du coup d’État qui avait occ</w:t>
      </w:r>
      <w:r w:rsidRPr="00C92F30">
        <w:rPr>
          <w:lang w:val="fr-FR"/>
        </w:rPr>
        <w:t>a</w:t>
      </w:r>
      <w:r w:rsidRPr="00C92F30">
        <w:rPr>
          <w:lang w:val="fr-FR"/>
        </w:rPr>
        <w:t>sionné son renversement le 30 septembre 1991.</w:t>
      </w:r>
    </w:p>
  </w:footnote>
  <w:footnote w:id="706">
    <w:p w:rsidR="004C50DC" w:rsidRDefault="004C50DC">
      <w:pPr>
        <w:pStyle w:val="Notedebasdepage"/>
      </w:pPr>
      <w:r>
        <w:rPr>
          <w:rStyle w:val="Appelnotedebasdep"/>
        </w:rPr>
        <w:footnoteRef/>
      </w:r>
      <w:r>
        <w:t xml:space="preserve"> </w:t>
      </w:r>
      <w:r>
        <w:tab/>
      </w:r>
      <w:r w:rsidRPr="00C92F30">
        <w:rPr>
          <w:lang w:val="fr-FR"/>
        </w:rPr>
        <w:t xml:space="preserve">Parmi celles-ci et à juste titre, nous citons la citadelle Henri à Milot, et le fort Jacques à Kenscoff.  </w:t>
      </w:r>
    </w:p>
  </w:footnote>
  <w:footnote w:id="707">
    <w:p w:rsidR="004C50DC" w:rsidRDefault="004C50DC">
      <w:pPr>
        <w:pStyle w:val="Notedebasdepage"/>
      </w:pPr>
      <w:r>
        <w:rPr>
          <w:rStyle w:val="Appelnotedebasdep"/>
        </w:rPr>
        <w:footnoteRef/>
      </w:r>
      <w:r>
        <w:t xml:space="preserve"> </w:t>
      </w:r>
      <w:r>
        <w:tab/>
      </w:r>
      <w:r w:rsidRPr="00C92F30">
        <w:t>Exposition « Bordeaux, le commerce Atlantique et l’esclavage », Musée d’Aquitaine, Bordeaux, 2013.</w:t>
      </w:r>
    </w:p>
  </w:footnote>
  <w:footnote w:id="708">
    <w:p w:rsidR="004C50DC" w:rsidRPr="00C92F30" w:rsidRDefault="004C50DC" w:rsidP="004C50DC">
      <w:pPr>
        <w:pStyle w:val="Notedebasdepage"/>
      </w:pPr>
      <w:r w:rsidRPr="00F97A1F">
        <w:rPr>
          <w:rStyle w:val="Appelnotedebasdep"/>
        </w:rPr>
        <w:footnoteRef/>
      </w:r>
      <w:r w:rsidRPr="00F97A1F">
        <w:rPr>
          <w:sz w:val="20"/>
        </w:rPr>
        <w:tab/>
      </w:r>
      <w:r w:rsidRPr="00C92F30">
        <w:t xml:space="preserve">Jean Fouchard, </w:t>
      </w:r>
      <w:r w:rsidRPr="00C92F30">
        <w:rPr>
          <w:i/>
        </w:rPr>
        <w:t>Les marrons du syllabaire</w:t>
      </w:r>
      <w:r w:rsidRPr="00C92F30">
        <w:t>, Port-au-Prince, Henri Deschamps, 1988, p. 37.</w:t>
      </w:r>
    </w:p>
  </w:footnote>
  <w:footnote w:id="709">
    <w:p w:rsidR="004C50DC" w:rsidRPr="00C92F30" w:rsidRDefault="004C50DC" w:rsidP="004C50DC">
      <w:pPr>
        <w:pStyle w:val="Notedebasdepage"/>
      </w:pPr>
      <w:r w:rsidRPr="00F97A1F">
        <w:rPr>
          <w:rStyle w:val="Appelnotedebasdep"/>
        </w:rPr>
        <w:footnoteRef/>
      </w:r>
      <w:r w:rsidRPr="00F97A1F">
        <w:rPr>
          <w:sz w:val="20"/>
        </w:rPr>
        <w:tab/>
      </w:r>
      <w:r w:rsidRPr="00C92F30">
        <w:t>Au XVIII</w:t>
      </w:r>
      <w:r w:rsidRPr="00C92F30">
        <w:rPr>
          <w:vertAlign w:val="superscript"/>
        </w:rPr>
        <w:t>e</w:t>
      </w:r>
      <w:r w:rsidRPr="00C92F30">
        <w:t xml:space="preserve"> siècle, une sage-femme eut à déclarer lors de son procès : « Voyez si j’ai bien mérité mon sort : les soixante-dix nœuds dont cette ceinture est garnie désignent la quantité d’enfants tués de mes propres mains, soit par le po</w:t>
      </w:r>
      <w:r w:rsidRPr="00C92F30">
        <w:t>i</w:t>
      </w:r>
      <w:r w:rsidRPr="00C92F30">
        <w:t>son, soit par une coutume exécrable qui me faisait un devoir d’enlever ces jeunes êtres d’un esclavage honteux… » ; exposition « Bordeaux, le comme</w:t>
      </w:r>
      <w:r w:rsidRPr="00C92F30">
        <w:t>r</w:t>
      </w:r>
      <w:r w:rsidRPr="00C92F30">
        <w:t>ce Atlantique et l’esclavage », Musée d’Aquitaine, 2013.</w:t>
      </w:r>
    </w:p>
  </w:footnote>
  <w:footnote w:id="710">
    <w:p w:rsidR="004C50DC" w:rsidRPr="00C92F30" w:rsidRDefault="004C50DC" w:rsidP="004C50DC">
      <w:pPr>
        <w:pStyle w:val="Notedebasdepage"/>
      </w:pPr>
      <w:r w:rsidRPr="00F97A1F">
        <w:rPr>
          <w:rStyle w:val="Appelnotedebasdep"/>
        </w:rPr>
        <w:footnoteRef/>
      </w:r>
      <w:r w:rsidRPr="00F97A1F">
        <w:rPr>
          <w:sz w:val="20"/>
        </w:rPr>
        <w:t xml:space="preserve"> </w:t>
      </w:r>
      <w:r>
        <w:tab/>
      </w:r>
      <w:r w:rsidRPr="00C92F30">
        <w:t xml:space="preserve">Thomas Madiou, </w:t>
      </w:r>
      <w:r w:rsidRPr="00C92F30">
        <w:rPr>
          <w:i/>
        </w:rPr>
        <w:t>L’Histoire d’Haïti</w:t>
      </w:r>
      <w:r w:rsidRPr="00C92F30">
        <w:t>, op. cit., p.  510.</w:t>
      </w:r>
    </w:p>
  </w:footnote>
  <w:footnote w:id="711">
    <w:p w:rsidR="004C50DC" w:rsidRPr="00C92F30" w:rsidRDefault="004C50DC" w:rsidP="004C50DC">
      <w:pPr>
        <w:pStyle w:val="Notedebasdepage"/>
      </w:pPr>
      <w:r w:rsidRPr="00F97A1F">
        <w:rPr>
          <w:rStyle w:val="Appelnotedebasdep"/>
        </w:rPr>
        <w:footnoteRef/>
      </w:r>
      <w:r w:rsidRPr="00F97A1F">
        <w:rPr>
          <w:sz w:val="20"/>
        </w:rPr>
        <w:tab/>
      </w:r>
      <w:r w:rsidRPr="00E909FC">
        <w:rPr>
          <w:i/>
        </w:rPr>
        <w:t>Ibid</w:t>
      </w:r>
      <w:r w:rsidRPr="00C92F30">
        <w:t>.</w:t>
      </w:r>
    </w:p>
  </w:footnote>
  <w:footnote w:id="712">
    <w:p w:rsidR="004C50DC" w:rsidRDefault="004C50DC">
      <w:pPr>
        <w:pStyle w:val="Notedebasdepage"/>
      </w:pPr>
      <w:r w:rsidRPr="00F97A1F">
        <w:rPr>
          <w:rStyle w:val="Appelnotedebasdep"/>
        </w:rPr>
        <w:footnoteRef/>
      </w:r>
      <w:r w:rsidRPr="00F97A1F">
        <w:rPr>
          <w:sz w:val="20"/>
        </w:rPr>
        <w:t xml:space="preserve"> </w:t>
      </w:r>
      <w:r>
        <w:tab/>
      </w:r>
      <w:r w:rsidRPr="00C92F30">
        <w:rPr>
          <w:lang w:val="fr-FR"/>
        </w:rPr>
        <w:t>Les Bossales étaient, en effet, des esclaves nés en Afrique. Ils représe</w:t>
      </w:r>
      <w:r w:rsidRPr="00C92F30">
        <w:rPr>
          <w:lang w:val="fr-FR"/>
        </w:rPr>
        <w:t>n</w:t>
      </w:r>
      <w:r w:rsidRPr="00C92F30">
        <w:rPr>
          <w:lang w:val="fr-FR"/>
        </w:rPr>
        <w:t xml:space="preserve">taient les deux tiers de l’ensemble de la population servile de la colonie en 1789 ; voir Moreau de Saint-Méry, </w:t>
      </w:r>
      <w:r w:rsidRPr="00C92F30">
        <w:rPr>
          <w:i/>
          <w:lang w:val="fr-FR"/>
        </w:rPr>
        <w:t>Description de la partie française de l’Isle de Saint-Domingue</w:t>
      </w:r>
      <w:r w:rsidRPr="00C92F30">
        <w:rPr>
          <w:lang w:val="fr-FR"/>
        </w:rPr>
        <w:t>, op. cit. ; voir aussi Gérard Barthélemy, « Le rôle des Boss</w:t>
      </w:r>
      <w:r w:rsidRPr="00C92F30">
        <w:rPr>
          <w:lang w:val="fr-FR"/>
        </w:rPr>
        <w:t>a</w:t>
      </w:r>
      <w:r w:rsidRPr="00C92F30">
        <w:rPr>
          <w:lang w:val="fr-FR"/>
        </w:rPr>
        <w:t xml:space="preserve">les dans  l’émergence d’une culture de marronnage en Haïti », </w:t>
      </w:r>
      <w:r w:rsidRPr="00C92F30">
        <w:rPr>
          <w:i/>
          <w:lang w:val="fr-FR"/>
        </w:rPr>
        <w:t>Cahiers d’études africaines</w:t>
      </w:r>
      <w:r w:rsidRPr="00C92F30">
        <w:rPr>
          <w:lang w:val="fr-FR"/>
        </w:rPr>
        <w:t xml:space="preserve">, numéro thématique </w:t>
      </w:r>
      <w:r w:rsidRPr="00C92F30">
        <w:rPr>
          <w:i/>
          <w:lang w:val="fr-FR"/>
        </w:rPr>
        <w:t>La Caraïbe. Des îles au continent,</w:t>
      </w:r>
      <w:r w:rsidRPr="00C92F30">
        <w:rPr>
          <w:lang w:val="fr-FR"/>
        </w:rPr>
        <w:t xml:space="preserve"> vol. 37, n</w:t>
      </w:r>
      <w:r w:rsidRPr="00C92F30">
        <w:rPr>
          <w:vertAlign w:val="superscript"/>
          <w:lang w:val="fr-FR"/>
        </w:rPr>
        <w:t>o </w:t>
      </w:r>
      <w:r w:rsidRPr="00C92F30">
        <w:rPr>
          <w:lang w:val="fr-FR"/>
        </w:rPr>
        <w:t>148, 1997, p</w:t>
      </w:r>
      <w:r>
        <w:rPr>
          <w:lang w:val="fr-FR"/>
        </w:rPr>
        <w:t>p</w:t>
      </w:r>
      <w:r w:rsidRPr="00C92F30">
        <w:rPr>
          <w:lang w:val="fr-FR"/>
        </w:rPr>
        <w:t xml:space="preserve">. 839-862. </w:t>
      </w:r>
    </w:p>
  </w:footnote>
  <w:footnote w:id="713">
    <w:p w:rsidR="004C50DC" w:rsidRDefault="004C50DC">
      <w:pPr>
        <w:pStyle w:val="Notedebasdepage"/>
      </w:pPr>
      <w:r w:rsidRPr="00F97A1F">
        <w:rPr>
          <w:rStyle w:val="Appelnotedebasdep"/>
        </w:rPr>
        <w:footnoteRef/>
      </w:r>
      <w:r w:rsidRPr="00F97A1F">
        <w:rPr>
          <w:sz w:val="20"/>
        </w:rPr>
        <w:t xml:space="preserve"> </w:t>
      </w:r>
      <w:r>
        <w:tab/>
      </w:r>
      <w:r w:rsidRPr="00F97A1F">
        <w:rPr>
          <w:i/>
          <w:lang w:val="fr-FR"/>
        </w:rPr>
        <w:t>Ibid</w:t>
      </w:r>
      <w:r w:rsidRPr="00C92F30">
        <w:rPr>
          <w:lang w:val="fr-FR"/>
        </w:rPr>
        <w:t xml:space="preserve">., p. 855. </w:t>
      </w:r>
    </w:p>
  </w:footnote>
  <w:footnote w:id="714">
    <w:p w:rsidR="004C50DC" w:rsidRDefault="004C50DC">
      <w:pPr>
        <w:pStyle w:val="Notedebasdepage"/>
      </w:pPr>
      <w:r w:rsidRPr="00F97A1F">
        <w:rPr>
          <w:rStyle w:val="Appelnotedebasdep"/>
        </w:rPr>
        <w:footnoteRef/>
      </w:r>
      <w:r w:rsidRPr="00F97A1F">
        <w:rPr>
          <w:sz w:val="20"/>
        </w:rPr>
        <w:t xml:space="preserve"> </w:t>
      </w:r>
      <w:r>
        <w:tab/>
      </w:r>
      <w:r w:rsidRPr="00F97A1F">
        <w:rPr>
          <w:i/>
        </w:rPr>
        <w:t>Ibid</w:t>
      </w:r>
      <w:r w:rsidRPr="00C92F30">
        <w:t>.</w:t>
      </w:r>
    </w:p>
  </w:footnote>
  <w:footnote w:id="715">
    <w:p w:rsidR="004C50DC" w:rsidRPr="00C92F30" w:rsidRDefault="004C50DC" w:rsidP="004C50DC">
      <w:pPr>
        <w:pStyle w:val="Notedebasdepage"/>
      </w:pPr>
      <w:r w:rsidRPr="00F97A1F">
        <w:rPr>
          <w:rStyle w:val="Appelnotedebasdep"/>
        </w:rPr>
        <w:footnoteRef/>
      </w:r>
      <w:r>
        <w:tab/>
      </w:r>
      <w:r w:rsidRPr="00C92F30">
        <w:t>Richard</w:t>
      </w:r>
      <w:r w:rsidRPr="00C92F30">
        <w:rPr>
          <w:rFonts w:eastAsia="Calibri"/>
          <w:lang w:eastAsia="en-CA"/>
        </w:rPr>
        <w:t xml:space="preserve"> Price</w:t>
      </w:r>
      <w:r w:rsidRPr="00C92F30">
        <w:t>, « </w:t>
      </w:r>
      <w:r w:rsidRPr="00C92F30">
        <w:rPr>
          <w:rFonts w:eastAsia="Calibri"/>
          <w:lang w:eastAsia="en-CA"/>
        </w:rPr>
        <w:t xml:space="preserve">Les sociétés d’esclaves marrons », dans Sidney Mintz (dir.), </w:t>
      </w:r>
      <w:r w:rsidRPr="00C92F30">
        <w:rPr>
          <w:rFonts w:eastAsia="Calibri"/>
          <w:i/>
          <w:lang w:eastAsia="en-CA"/>
        </w:rPr>
        <w:t>Esclave, facteur de production. L’économie politique de l’esclavage</w:t>
      </w:r>
      <w:r w:rsidRPr="00C92F30">
        <w:rPr>
          <w:rFonts w:eastAsia="Calibri"/>
          <w:lang w:eastAsia="en-CA"/>
        </w:rPr>
        <w:t>, Paris, Dunod, 1981, p</w:t>
      </w:r>
      <w:r>
        <w:rPr>
          <w:rFonts w:eastAsia="Calibri"/>
          <w:lang w:eastAsia="en-CA"/>
        </w:rPr>
        <w:t>p</w:t>
      </w:r>
      <w:r w:rsidRPr="00C92F30">
        <w:rPr>
          <w:rFonts w:eastAsia="Calibri"/>
          <w:lang w:eastAsia="en-CA"/>
        </w:rPr>
        <w:t xml:space="preserve">. </w:t>
      </w:r>
      <w:r w:rsidRPr="00C92F30">
        <w:rPr>
          <w:lang w:eastAsia="en-CA"/>
        </w:rPr>
        <w:t>87-118.</w:t>
      </w:r>
    </w:p>
  </w:footnote>
  <w:footnote w:id="716">
    <w:p w:rsidR="004C50DC" w:rsidRPr="00C92F30" w:rsidRDefault="004C50DC" w:rsidP="004C50DC">
      <w:pPr>
        <w:pStyle w:val="Notedebasdepage"/>
        <w:rPr>
          <w:lang w:val="en-US"/>
        </w:rPr>
      </w:pPr>
      <w:r w:rsidRPr="00F97A1F">
        <w:rPr>
          <w:rStyle w:val="Appelnotedebasdep"/>
        </w:rPr>
        <w:footnoteRef/>
      </w:r>
      <w:r>
        <w:rPr>
          <w:lang w:val="en-US"/>
        </w:rPr>
        <w:tab/>
      </w:r>
      <w:r w:rsidRPr="00C92F30">
        <w:rPr>
          <w:lang w:val="en-US"/>
        </w:rPr>
        <w:t xml:space="preserve">Gérard Barthélemy, op. cit, </w:t>
      </w:r>
      <w:r w:rsidRPr="00C92F30">
        <w:rPr>
          <w:lang w:val="en-US" w:eastAsia="en-CA"/>
        </w:rPr>
        <w:t>p. 856.</w:t>
      </w:r>
    </w:p>
  </w:footnote>
  <w:footnote w:id="717">
    <w:p w:rsidR="004C50DC" w:rsidRPr="00C92F30" w:rsidRDefault="004C50DC" w:rsidP="004C50DC">
      <w:pPr>
        <w:pStyle w:val="Notedebasdepage"/>
        <w:rPr>
          <w:lang w:val="en-US"/>
        </w:rPr>
      </w:pPr>
      <w:r w:rsidRPr="00F97A1F">
        <w:rPr>
          <w:rStyle w:val="Appelnotedebasdep"/>
        </w:rPr>
        <w:footnoteRef/>
      </w:r>
      <w:r>
        <w:rPr>
          <w:lang w:val="en-US"/>
        </w:rPr>
        <w:tab/>
      </w:r>
      <w:r w:rsidRPr="00C92F30">
        <w:rPr>
          <w:lang w:val="en-US"/>
        </w:rPr>
        <w:t xml:space="preserve">Thomas Madiou, </w:t>
      </w:r>
      <w:r w:rsidRPr="00C92F30">
        <w:rPr>
          <w:i/>
          <w:lang w:val="en-US"/>
        </w:rPr>
        <w:t>Histoire d’Haïti</w:t>
      </w:r>
      <w:r w:rsidRPr="00C92F30">
        <w:rPr>
          <w:lang w:val="en-US"/>
        </w:rPr>
        <w:t>, Tome I, op. cit., p. 72.</w:t>
      </w:r>
    </w:p>
  </w:footnote>
  <w:footnote w:id="718">
    <w:p w:rsidR="004C50DC" w:rsidRPr="00C92F30" w:rsidRDefault="004C50DC" w:rsidP="004C50DC">
      <w:pPr>
        <w:pStyle w:val="Notedebasdepage"/>
      </w:pPr>
      <w:r w:rsidRPr="00F97A1F">
        <w:rPr>
          <w:rStyle w:val="Appelnotedebasdep"/>
        </w:rPr>
        <w:footnoteRef/>
      </w:r>
      <w:r>
        <w:tab/>
      </w:r>
      <w:r w:rsidRPr="00F97A1F">
        <w:rPr>
          <w:i/>
        </w:rPr>
        <w:t>Ibid</w:t>
      </w:r>
      <w:r w:rsidRPr="00C92F30">
        <w:t>., p</w:t>
      </w:r>
      <w:r>
        <w:t>p</w:t>
      </w:r>
      <w:r w:rsidRPr="00C92F30">
        <w:rPr>
          <w:i/>
        </w:rPr>
        <w:t xml:space="preserve">. </w:t>
      </w:r>
      <w:r w:rsidRPr="00C92F30">
        <w:t>72-73</w:t>
      </w:r>
      <w:r w:rsidRPr="00C92F30">
        <w:rPr>
          <w:i/>
        </w:rPr>
        <w:t>.</w:t>
      </w:r>
    </w:p>
  </w:footnote>
  <w:footnote w:id="719">
    <w:p w:rsidR="004C50DC" w:rsidRPr="00C92F30" w:rsidRDefault="004C50DC" w:rsidP="004C50DC">
      <w:pPr>
        <w:pStyle w:val="Notedebasdepage"/>
      </w:pPr>
      <w:r w:rsidRPr="00F97A1F">
        <w:rPr>
          <w:rStyle w:val="Appelnotedebasdep"/>
        </w:rPr>
        <w:footnoteRef/>
      </w:r>
      <w:r>
        <w:rPr>
          <w:bCs/>
        </w:rPr>
        <w:tab/>
      </w:r>
      <w:r w:rsidRPr="00C92F30">
        <w:rPr>
          <w:bCs/>
        </w:rPr>
        <w:t xml:space="preserve">François Roc, </w:t>
      </w:r>
      <w:r w:rsidRPr="00C92F30">
        <w:t xml:space="preserve">Dictionnaire de la révolution haïtienne (1789-1804), Montréal, Guildives, </w:t>
      </w:r>
      <w:r w:rsidRPr="00C92F30">
        <w:rPr>
          <w:bCs/>
        </w:rPr>
        <w:t>2006, p. 52.</w:t>
      </w:r>
    </w:p>
  </w:footnote>
  <w:footnote w:id="720">
    <w:p w:rsidR="004C50DC" w:rsidRPr="00C92F30" w:rsidRDefault="004C50DC" w:rsidP="004C50DC">
      <w:pPr>
        <w:pStyle w:val="Notedebasdepage"/>
      </w:pPr>
      <w:r w:rsidRPr="00F97A1F">
        <w:rPr>
          <w:rStyle w:val="Appelnotedebasdep"/>
        </w:rPr>
        <w:footnoteRef/>
      </w:r>
      <w:r>
        <w:rPr>
          <w:bCs/>
        </w:rPr>
        <w:tab/>
      </w:r>
      <w:r w:rsidRPr="00C92F30">
        <w:rPr>
          <w:bCs/>
        </w:rPr>
        <w:t xml:space="preserve">Alain Yacou, </w:t>
      </w:r>
      <w:r w:rsidRPr="00C92F30">
        <w:t>« Plantation et contre-plantation, foyers de “l’insurgence” nègre à Cuba dans la première moitié du XIX</w:t>
      </w:r>
      <w:r w:rsidRPr="00C92F30">
        <w:rPr>
          <w:vertAlign w:val="superscript"/>
        </w:rPr>
        <w:t>e</w:t>
      </w:r>
      <w:r w:rsidRPr="00C92F30">
        <w:t xml:space="preserve"> siècle », dans Maurice Burac et D</w:t>
      </w:r>
      <w:r w:rsidRPr="00C92F30">
        <w:t>a</w:t>
      </w:r>
      <w:r w:rsidRPr="00C92F30">
        <w:t>nie</w:t>
      </w:r>
      <w:r w:rsidRPr="00C92F30">
        <w:t>l</w:t>
      </w:r>
      <w:r w:rsidRPr="00C92F30">
        <w:t xml:space="preserve">le Bégot, </w:t>
      </w:r>
      <w:r w:rsidRPr="00C92F30">
        <w:rPr>
          <w:i/>
        </w:rPr>
        <w:t xml:space="preserve">L’habitation/plantation. Héritages et mutations. Caraïbe-Amérique, </w:t>
      </w:r>
      <w:r w:rsidRPr="00C92F30">
        <w:t>Paris, Karthala, 2011</w:t>
      </w:r>
      <w:r w:rsidRPr="00C92F30">
        <w:rPr>
          <w:bCs/>
        </w:rPr>
        <w:t>, p  45.</w:t>
      </w:r>
    </w:p>
  </w:footnote>
  <w:footnote w:id="721">
    <w:p w:rsidR="004C50DC" w:rsidRPr="00C92F30" w:rsidRDefault="004C50DC" w:rsidP="004C50DC">
      <w:pPr>
        <w:pStyle w:val="Notedebasdepage"/>
      </w:pPr>
      <w:r w:rsidRPr="00F97A1F">
        <w:rPr>
          <w:rStyle w:val="Appelnotedebasdep"/>
        </w:rPr>
        <w:footnoteRef/>
      </w:r>
      <w:r>
        <w:tab/>
      </w:r>
      <w:r w:rsidRPr="00C92F30">
        <w:t>François Roc, op.cit., p. 52.</w:t>
      </w:r>
    </w:p>
  </w:footnote>
  <w:footnote w:id="722">
    <w:p w:rsidR="004C50DC" w:rsidRPr="00C92F30" w:rsidRDefault="004C50DC" w:rsidP="004C50DC">
      <w:pPr>
        <w:pStyle w:val="Notedebasdepage"/>
      </w:pPr>
      <w:r w:rsidRPr="00F97A1F">
        <w:rPr>
          <w:rStyle w:val="Appelnotedebasdep"/>
        </w:rPr>
        <w:footnoteRef/>
      </w:r>
      <w:r>
        <w:tab/>
      </w:r>
      <w:r w:rsidRPr="00F97A1F">
        <w:rPr>
          <w:i/>
        </w:rPr>
        <w:t>Ibid</w:t>
      </w:r>
      <w:r w:rsidRPr="00C92F30">
        <w:t>.</w:t>
      </w:r>
    </w:p>
  </w:footnote>
  <w:footnote w:id="723">
    <w:p w:rsidR="004C50DC" w:rsidRPr="00C92F30" w:rsidRDefault="004C50DC" w:rsidP="004C50DC">
      <w:pPr>
        <w:pStyle w:val="Notedebasdepage"/>
      </w:pPr>
      <w:r w:rsidRPr="00C92F30">
        <w:rPr>
          <w:rStyle w:val="Appelnotedebasdep"/>
          <w:sz w:val="24"/>
        </w:rPr>
        <w:footnoteRef/>
      </w:r>
      <w:r>
        <w:tab/>
      </w:r>
      <w:r w:rsidRPr="00C92F30">
        <w:t xml:space="preserve">Michel-Philippe Lerebours, </w:t>
      </w:r>
      <w:r w:rsidRPr="00C92F30">
        <w:rPr>
          <w:i/>
        </w:rPr>
        <w:t>L’habitation sucrière dominguoise</w:t>
      </w:r>
      <w:r w:rsidRPr="00C92F30">
        <w:t>…, op. cit., p. 14.</w:t>
      </w:r>
    </w:p>
  </w:footnote>
  <w:footnote w:id="724">
    <w:p w:rsidR="004C50DC" w:rsidRDefault="004C50DC">
      <w:pPr>
        <w:pStyle w:val="Notedebasdepage"/>
      </w:pPr>
      <w:r>
        <w:rPr>
          <w:rStyle w:val="Appelnotedebasdep"/>
        </w:rPr>
        <w:footnoteRef/>
      </w:r>
      <w:r>
        <w:t xml:space="preserve"> </w:t>
      </w:r>
      <w:r>
        <w:tab/>
      </w:r>
      <w:r w:rsidRPr="00C92F30">
        <w:rPr>
          <w:lang w:val="fr-FR"/>
        </w:rPr>
        <w:t>Franklin Midy (op. cit., p. 124) rapporte que Saint-Domingue était la c</w:t>
      </w:r>
      <w:r w:rsidRPr="00C92F30">
        <w:rPr>
          <w:lang w:val="fr-FR"/>
        </w:rPr>
        <w:t>o</w:t>
      </w:r>
      <w:r w:rsidRPr="00C92F30">
        <w:rPr>
          <w:lang w:val="fr-FR"/>
        </w:rPr>
        <w:t xml:space="preserve">lonie la plus peuplée de toutes les colonies insulaires,voire « plus </w:t>
      </w:r>
      <w:r w:rsidRPr="00C92F30">
        <w:rPr>
          <w:noProof/>
          <w:lang w:val="fr-FR"/>
        </w:rPr>
        <w:t>que les colonies françaises réunies des îles du vent, plus que les colonies anglaises réunies des Antilles, plus que les colonies espagnoles réunies de la Caraïbe d’Amérique ».</w:t>
      </w:r>
    </w:p>
  </w:footnote>
  <w:footnote w:id="725">
    <w:p w:rsidR="004C50DC" w:rsidRDefault="004C50DC">
      <w:pPr>
        <w:pStyle w:val="Notedebasdepage"/>
      </w:pPr>
      <w:r>
        <w:rPr>
          <w:rStyle w:val="Appelnotedebasdep"/>
        </w:rPr>
        <w:footnoteRef/>
      </w:r>
      <w:r>
        <w:t xml:space="preserve"> </w:t>
      </w:r>
      <w:r>
        <w:tab/>
      </w:r>
      <w:r w:rsidRPr="00C92F30">
        <w:t>Le terme « puissants possédants » est utilisé pour désigner les élites politiques et économiques souvent comparées aux maîtres du pays par des citoyens ha</w:t>
      </w:r>
      <w:r w:rsidRPr="00C92F30">
        <w:t>ï</w:t>
      </w:r>
      <w:r w:rsidRPr="00C92F30">
        <w:t>tiens, notamment par des paysans et par des habitants des quartiers défavor</w:t>
      </w:r>
      <w:r w:rsidRPr="00C92F30">
        <w:t>i</w:t>
      </w:r>
      <w:r w:rsidRPr="00C92F30">
        <w:t xml:space="preserve">sés.   </w:t>
      </w:r>
    </w:p>
  </w:footnote>
  <w:footnote w:id="726">
    <w:p w:rsidR="004C50DC" w:rsidRPr="00C92F30" w:rsidRDefault="004C50DC" w:rsidP="004C50DC">
      <w:pPr>
        <w:pStyle w:val="Notedebasdepage"/>
      </w:pPr>
      <w:r w:rsidRPr="00C92F30">
        <w:rPr>
          <w:rStyle w:val="Appelnotedebasdep"/>
          <w:sz w:val="24"/>
        </w:rPr>
        <w:footnoteRef/>
      </w:r>
      <w:r>
        <w:tab/>
      </w:r>
      <w:r w:rsidRPr="00C92F30">
        <w:t xml:space="preserve">Charles Najman, </w:t>
      </w:r>
      <w:r w:rsidRPr="00C92F30">
        <w:rPr>
          <w:i/>
        </w:rPr>
        <w:t>Haïti, Dieu seul me voit</w:t>
      </w:r>
      <w:r w:rsidRPr="00C92F30">
        <w:t xml:space="preserve">, Paris, Balland, 1995, cité par Marc Menant, </w:t>
      </w:r>
      <w:r w:rsidRPr="00C92F30">
        <w:rPr>
          <w:i/>
        </w:rPr>
        <w:t>Le petit roman de Haïti</w:t>
      </w:r>
      <w:r w:rsidRPr="00C92F30">
        <w:t>, Monaco, Éditions du Rocher, 2010, p. 84-87.</w:t>
      </w:r>
    </w:p>
  </w:footnote>
  <w:footnote w:id="727">
    <w:p w:rsidR="004C50DC" w:rsidRDefault="004C50DC">
      <w:pPr>
        <w:pStyle w:val="Notedebasdepage"/>
      </w:pPr>
      <w:r>
        <w:rPr>
          <w:rStyle w:val="Appelnotedebasdep"/>
        </w:rPr>
        <w:footnoteRef/>
      </w:r>
      <w:r>
        <w:t xml:space="preserve"> </w:t>
      </w:r>
      <w:r>
        <w:tab/>
      </w:r>
      <w:r w:rsidRPr="00C92F30">
        <w:t xml:space="preserve">Voir Marc Menant, ibid., </w:t>
      </w:r>
      <w:r>
        <w:t>p</w:t>
      </w:r>
      <w:r w:rsidRPr="00C92F30">
        <w:t>p. 84-87.</w:t>
      </w:r>
    </w:p>
  </w:footnote>
  <w:footnote w:id="728">
    <w:p w:rsidR="004C50DC" w:rsidRDefault="004C50DC">
      <w:pPr>
        <w:pStyle w:val="Notedebasdepage"/>
      </w:pPr>
      <w:r>
        <w:rPr>
          <w:rStyle w:val="Appelnotedebasdep"/>
        </w:rPr>
        <w:footnoteRef/>
      </w:r>
      <w:r>
        <w:t xml:space="preserve"> </w:t>
      </w:r>
      <w:r>
        <w:tab/>
      </w:r>
      <w:r w:rsidRPr="00C92F30">
        <w:rPr>
          <w:bCs/>
          <w:lang w:val="fr-FR"/>
        </w:rPr>
        <w:t xml:space="preserve">Carolyn E. Fick, </w:t>
      </w:r>
      <w:r w:rsidRPr="00C92F30">
        <w:rPr>
          <w:bCs/>
          <w:i/>
          <w:lang w:val="fr-FR"/>
        </w:rPr>
        <w:t>Haïti, Naissance d’une nation. La Révolution de Saint-Domingue vue d’en bas</w:t>
      </w:r>
      <w:r w:rsidRPr="00C92F30">
        <w:rPr>
          <w:bCs/>
          <w:lang w:val="fr-FR"/>
        </w:rPr>
        <w:t xml:space="preserve">, Montréal, CIDIHCA, 2014, p. 433.   </w:t>
      </w:r>
    </w:p>
  </w:footnote>
  <w:footnote w:id="729">
    <w:p w:rsidR="004C50DC" w:rsidRPr="00C92F30" w:rsidRDefault="004C50DC" w:rsidP="004C50DC">
      <w:pPr>
        <w:pStyle w:val="Notedebasdepage"/>
      </w:pPr>
      <w:r w:rsidRPr="00C92F30">
        <w:rPr>
          <w:rStyle w:val="Appelnotedebasdep"/>
          <w:sz w:val="24"/>
        </w:rPr>
        <w:footnoteRef/>
      </w:r>
      <w:r>
        <w:rPr>
          <w:bCs/>
        </w:rPr>
        <w:tab/>
      </w:r>
      <w:r w:rsidRPr="00C92F30">
        <w:rPr>
          <w:bCs/>
        </w:rPr>
        <w:t xml:space="preserve">Albert Memmi, </w:t>
      </w:r>
      <w:r w:rsidRPr="00C92F30">
        <w:t>Portrait du colonisé, précédé du portrait du colonisateur, P</w:t>
      </w:r>
      <w:r w:rsidRPr="00C92F30">
        <w:t>a</w:t>
      </w:r>
      <w:r w:rsidRPr="00C92F30">
        <w:t>ris, Gallimard</w:t>
      </w:r>
      <w:r w:rsidRPr="00C92F30">
        <w:rPr>
          <w:bCs/>
        </w:rPr>
        <w:t>, 1985, p. 106.</w:t>
      </w:r>
    </w:p>
  </w:footnote>
  <w:footnote w:id="730">
    <w:p w:rsidR="004C50DC" w:rsidRPr="00C92F30" w:rsidRDefault="004C50DC" w:rsidP="004C50DC">
      <w:pPr>
        <w:pStyle w:val="Notedebasdepage"/>
      </w:pPr>
      <w:r w:rsidRPr="00F97A1F">
        <w:rPr>
          <w:rStyle w:val="Appelnotedebasdep"/>
        </w:rPr>
        <w:footnoteRef/>
      </w:r>
      <w:r>
        <w:tab/>
      </w:r>
      <w:r w:rsidRPr="00C92F30">
        <w:t>Dimitri Bechacq, « Les parcours du marronnage dans l’histoire haïtienne… », op. cit., p. 214.</w:t>
      </w:r>
    </w:p>
  </w:footnote>
  <w:footnote w:id="731">
    <w:p w:rsidR="004C50DC" w:rsidRDefault="004C50DC">
      <w:pPr>
        <w:pStyle w:val="Notedebasdepage"/>
      </w:pPr>
      <w:r>
        <w:rPr>
          <w:rStyle w:val="Appelnotedebasdep"/>
        </w:rPr>
        <w:footnoteRef/>
      </w:r>
      <w:r>
        <w:t xml:space="preserve"> </w:t>
      </w:r>
      <w:r>
        <w:tab/>
      </w:r>
      <w:r w:rsidRPr="00C92F30">
        <w:t xml:space="preserve">Laënnec Hurbon, « Préface », dans </w:t>
      </w:r>
      <w:r w:rsidRPr="00C92F30">
        <w:rPr>
          <w:lang w:val="fr-FR"/>
        </w:rPr>
        <w:t xml:space="preserve">Michel-Philippe Lerebours, </w:t>
      </w:r>
      <w:r w:rsidRPr="00C92F30">
        <w:rPr>
          <w:i/>
          <w:iCs/>
          <w:lang w:val="fr-FR"/>
        </w:rPr>
        <w:t>Esclav</w:t>
      </w:r>
      <w:r w:rsidRPr="00C92F30">
        <w:rPr>
          <w:i/>
          <w:iCs/>
          <w:lang w:val="fr-FR"/>
        </w:rPr>
        <w:t>a</w:t>
      </w:r>
      <w:r w:rsidRPr="00C92F30">
        <w:rPr>
          <w:i/>
          <w:iCs/>
          <w:lang w:val="fr-FR"/>
        </w:rPr>
        <w:t>ge. Mémoire et patrimoine. Vestiges d’habitations sucrières de la région de Port-au-Prince</w:t>
      </w:r>
      <w:r w:rsidRPr="00C92F30">
        <w:rPr>
          <w:lang w:val="fr-FR"/>
        </w:rPr>
        <w:t>, Port-au-Prince, Presses nationales d’Haïti, 2006, p. 10.</w:t>
      </w:r>
    </w:p>
  </w:footnote>
  <w:footnote w:id="732">
    <w:p w:rsidR="004C50DC" w:rsidRPr="00C92F30" w:rsidRDefault="004C50DC" w:rsidP="004C50DC">
      <w:pPr>
        <w:pStyle w:val="Notedebasdepage"/>
      </w:pPr>
      <w:r w:rsidRPr="00F97A1F">
        <w:rPr>
          <w:rStyle w:val="Appelnotedebasdep"/>
        </w:rPr>
        <w:footnoteRef/>
      </w:r>
      <w:r>
        <w:tab/>
      </w:r>
      <w:r w:rsidRPr="00C92F30">
        <w:t>Jean Fouchard, op. cit., p. 53.</w:t>
      </w:r>
    </w:p>
  </w:footnote>
  <w:footnote w:id="733">
    <w:p w:rsidR="004C50DC" w:rsidRPr="00C92F30" w:rsidRDefault="004C50DC" w:rsidP="004C50DC">
      <w:pPr>
        <w:pStyle w:val="Notedebasdepage"/>
      </w:pPr>
      <w:r w:rsidRPr="00F97A1F">
        <w:rPr>
          <w:rStyle w:val="Appelnotedebasdep"/>
        </w:rPr>
        <w:footnoteRef/>
      </w:r>
      <w:r>
        <w:tab/>
      </w:r>
      <w:r w:rsidRPr="00C92F30">
        <w:t>Nelly Schmidt, « Commémoration, histoire et historiographie : à propos du 150</w:t>
      </w:r>
      <w:r w:rsidRPr="00C92F30">
        <w:rPr>
          <w:vertAlign w:val="superscript"/>
        </w:rPr>
        <w:t>e</w:t>
      </w:r>
      <w:r w:rsidRPr="00C92F30">
        <w:rPr>
          <w:rStyle w:val="apple-converted-space"/>
        </w:rPr>
        <w:t> </w:t>
      </w:r>
      <w:r w:rsidRPr="00C92F30">
        <w:t>anniversaire de l’abolition de l’esclavage dans les colonies frança</w:t>
      </w:r>
      <w:r w:rsidRPr="00C92F30">
        <w:t>i</w:t>
      </w:r>
      <w:r w:rsidRPr="00C92F30">
        <w:t xml:space="preserve">ses », </w:t>
      </w:r>
      <w:r w:rsidRPr="00C92F30">
        <w:rPr>
          <w:rStyle w:val="Accentuation"/>
        </w:rPr>
        <w:t>Ethnologie française</w:t>
      </w:r>
      <w:r w:rsidRPr="00C92F30">
        <w:rPr>
          <w:rStyle w:val="apple-converted-space"/>
        </w:rPr>
        <w:t xml:space="preserve"> vol. </w:t>
      </w:r>
      <w:r w:rsidRPr="00C92F30">
        <w:t>29, n</w:t>
      </w:r>
      <w:r w:rsidRPr="00C92F30">
        <w:rPr>
          <w:vertAlign w:val="superscript"/>
        </w:rPr>
        <w:t>o</w:t>
      </w:r>
      <w:r w:rsidRPr="00C92F30">
        <w:t> 3,1999, p. 457 ; voir également Christine</w:t>
      </w:r>
      <w:r w:rsidRPr="00C92F30">
        <w:rPr>
          <w:rStyle w:val="uppeccase"/>
        </w:rPr>
        <w:t>Ch</w:t>
      </w:r>
      <w:r w:rsidRPr="00C92F30">
        <w:rPr>
          <w:rStyle w:val="uppeccase"/>
        </w:rPr>
        <w:t>i</w:t>
      </w:r>
      <w:r w:rsidRPr="00C92F30">
        <w:rPr>
          <w:rStyle w:val="uppeccase"/>
        </w:rPr>
        <w:t>vallon</w:t>
      </w:r>
      <w:r w:rsidRPr="00C92F30">
        <w:t xml:space="preserve">, « Rendre visible l’esclavage », </w:t>
      </w:r>
      <w:r w:rsidRPr="00C92F30">
        <w:rPr>
          <w:rStyle w:val="Accentuation"/>
        </w:rPr>
        <w:t xml:space="preserve">L’Homme </w:t>
      </w:r>
      <w:r w:rsidRPr="00C92F30">
        <w:rPr>
          <w:rStyle w:val="apple-converted-space"/>
        </w:rPr>
        <w:t>n</w:t>
      </w:r>
      <w:r w:rsidRPr="00C92F30">
        <w:rPr>
          <w:rStyle w:val="apple-converted-space"/>
          <w:vertAlign w:val="superscript"/>
        </w:rPr>
        <w:t>o</w:t>
      </w:r>
      <w:r w:rsidRPr="00C92F30">
        <w:rPr>
          <w:rStyle w:val="apple-converted-space"/>
        </w:rPr>
        <w:t> 180,</w:t>
      </w:r>
      <w:r w:rsidRPr="00C92F30">
        <w:t xml:space="preserve"> 2006, p. 7, en ligne : </w:t>
      </w:r>
      <w:hyperlink r:id="rId105" w:history="1">
        <w:r w:rsidRPr="00C92F30">
          <w:rPr>
            <w:rStyle w:val="Lienhypertexte"/>
            <w:color w:val="auto"/>
          </w:rPr>
          <w:t>www.cairn.info/revue-l-homme-2006-4-page-7.htm. 2004</w:t>
        </w:r>
      </w:hyperlink>
      <w:r w:rsidRPr="00C92F30">
        <w:t>, consu</w:t>
      </w:r>
      <w:r w:rsidRPr="00C92F30">
        <w:t>l</w:t>
      </w:r>
      <w:r w:rsidRPr="00C92F30">
        <w:t>té le 12 mars 2013.</w:t>
      </w:r>
    </w:p>
  </w:footnote>
  <w:footnote w:id="734">
    <w:p w:rsidR="004C50DC" w:rsidRDefault="004C50DC">
      <w:pPr>
        <w:pStyle w:val="Notedebasdepage"/>
      </w:pPr>
      <w:r>
        <w:rPr>
          <w:rStyle w:val="Appelnotedebasdep"/>
        </w:rPr>
        <w:footnoteRef/>
      </w:r>
      <w:r>
        <w:t xml:space="preserve"> </w:t>
      </w:r>
      <w:r>
        <w:tab/>
      </w:r>
      <w:r w:rsidRPr="00C92F30">
        <w:rPr>
          <w:lang w:val="fr-FR"/>
        </w:rPr>
        <w:t xml:space="preserve">Jean Loicq, « La toponymie ou science des noms de lieux. Son application au patrimoine celtique de l’Ardenne », </w:t>
      </w:r>
      <w:r w:rsidRPr="00C92F30">
        <w:rPr>
          <w:i/>
          <w:lang w:val="fr-FR"/>
        </w:rPr>
        <w:t xml:space="preserve">Folia Electronica Classica </w:t>
      </w:r>
      <w:r w:rsidRPr="00C92F30">
        <w:rPr>
          <w:lang w:val="fr-FR"/>
        </w:rPr>
        <w:t>(Louvain-la-Neuve), n</w:t>
      </w:r>
      <w:r w:rsidRPr="00C92F30">
        <w:rPr>
          <w:vertAlign w:val="superscript"/>
          <w:lang w:val="fr-FR"/>
        </w:rPr>
        <w:t>o</w:t>
      </w:r>
      <w:r w:rsidRPr="00C92F30">
        <w:rPr>
          <w:lang w:val="fr-FR"/>
        </w:rPr>
        <w:t> </w:t>
      </w:r>
      <w:r>
        <w:rPr>
          <w:lang w:val="fr-FR"/>
        </w:rPr>
        <w:t>5, janvier-juin 2003, en ligne,</w:t>
      </w:r>
      <w:r>
        <w:rPr>
          <w:lang w:val="fr-FR"/>
        </w:rPr>
        <w:br/>
      </w:r>
      <w:r w:rsidRPr="00C92F30">
        <w:rPr>
          <w:lang w:val="fr-FR"/>
        </w:rPr>
        <w:t>http://bcs.fltr.ucl.ac.be/fe/05/toponymie.html</w:t>
      </w:r>
    </w:p>
  </w:footnote>
  <w:footnote w:id="735">
    <w:p w:rsidR="004C50DC" w:rsidRDefault="004C50DC">
      <w:pPr>
        <w:pStyle w:val="Notedebasdepage"/>
      </w:pPr>
      <w:r>
        <w:rPr>
          <w:rStyle w:val="Appelnotedebasdep"/>
        </w:rPr>
        <w:footnoteRef/>
      </w:r>
      <w:r>
        <w:t xml:space="preserve"> </w:t>
      </w:r>
      <w:r>
        <w:tab/>
      </w:r>
      <w:r w:rsidRPr="00C92F30">
        <w:rPr>
          <w:lang w:val="fr-FR"/>
        </w:rPr>
        <w:t xml:space="preserve">Jean Menateau, « La toponymie, témoin fragile des mémoires régionales », </w:t>
      </w:r>
      <w:r w:rsidRPr="00C92F30">
        <w:rPr>
          <w:i/>
          <w:iCs/>
        </w:rPr>
        <w:t>Le Monde</w:t>
      </w:r>
      <w:r w:rsidRPr="00C92F30">
        <w:rPr>
          <w:lang w:val="fr-FR"/>
        </w:rPr>
        <w:t>, 9 octobre 1999.</w:t>
      </w:r>
    </w:p>
  </w:footnote>
  <w:footnote w:id="736">
    <w:p w:rsidR="004C50DC" w:rsidRDefault="004C50DC">
      <w:pPr>
        <w:pStyle w:val="Notedebasdepage"/>
      </w:pPr>
      <w:r>
        <w:rPr>
          <w:rStyle w:val="Appelnotedebasdep"/>
        </w:rPr>
        <w:footnoteRef/>
      </w:r>
      <w:r>
        <w:t xml:space="preserve"> </w:t>
      </w:r>
      <w:r>
        <w:tab/>
      </w:r>
      <w:r w:rsidRPr="00C92F30">
        <w:rPr>
          <w:lang w:val="fr-FR"/>
        </w:rPr>
        <w:t>Michèle Oriol, « Toponymes français et créoles. La mémoire vivante de Saint-Domingue en Haïti », communication au colloque Expériences et mémoire. Partager en français la diversité du monde, Bucarest, septembre 2006.</w:t>
      </w:r>
    </w:p>
  </w:footnote>
  <w:footnote w:id="737">
    <w:p w:rsidR="004C50DC" w:rsidRDefault="004C50DC">
      <w:pPr>
        <w:pStyle w:val="Notedebasdepage"/>
      </w:pPr>
      <w:r>
        <w:rPr>
          <w:rStyle w:val="Appelnotedebasdep"/>
        </w:rPr>
        <w:footnoteRef/>
      </w:r>
      <w:r>
        <w:t xml:space="preserve"> </w:t>
      </w:r>
      <w:r>
        <w:tab/>
      </w:r>
      <w:r w:rsidRPr="00D342BE">
        <w:rPr>
          <w:i/>
          <w:lang w:val="fr-FR"/>
        </w:rPr>
        <w:t>Ibid</w:t>
      </w:r>
      <w:r w:rsidRPr="00C92F30">
        <w:rPr>
          <w:lang w:val="fr-FR"/>
        </w:rPr>
        <w:t>.</w:t>
      </w:r>
    </w:p>
  </w:footnote>
  <w:footnote w:id="738">
    <w:p w:rsidR="004C50DC" w:rsidRDefault="004C50DC">
      <w:pPr>
        <w:pStyle w:val="Notedebasdepage"/>
      </w:pPr>
      <w:r>
        <w:rPr>
          <w:rStyle w:val="Appelnotedebasdep"/>
        </w:rPr>
        <w:footnoteRef/>
      </w:r>
      <w:r>
        <w:t xml:space="preserve"> </w:t>
      </w:r>
      <w:r>
        <w:tab/>
      </w:r>
      <w:r w:rsidRPr="00D342BE">
        <w:rPr>
          <w:i/>
          <w:lang w:val="fr-FR"/>
        </w:rPr>
        <w:t>Ibid</w:t>
      </w:r>
      <w:r w:rsidRPr="00C92F30">
        <w:rPr>
          <w:lang w:val="fr-FR"/>
        </w:rPr>
        <w:t>.</w:t>
      </w:r>
    </w:p>
  </w:footnote>
  <w:footnote w:id="739">
    <w:p w:rsidR="004C50DC" w:rsidRPr="00C92F30" w:rsidRDefault="004C50DC" w:rsidP="004C50DC">
      <w:pPr>
        <w:pStyle w:val="Notedebasdepage"/>
      </w:pPr>
      <w:r w:rsidRPr="00C92F30">
        <w:rPr>
          <w:rStyle w:val="Appelnotedebasdep"/>
          <w:sz w:val="24"/>
        </w:rPr>
        <w:footnoteRef/>
      </w:r>
      <w:r>
        <w:tab/>
      </w:r>
      <w:r w:rsidRPr="00C92F30">
        <w:t xml:space="preserve">Souvent la citadelle est identifiée sous le nom de « citadelle Laferrière », qui était un ingénieur d’origine écossaise appelé par le roi Henri Christophe en 1807 pour être à son service. Cette appellation touche la susceptibilité de nombreux Haïtiens qui croient qu’il s’agit d’une façon de faire oublier la contribution du roi Henri Christophe à l’histoire de l’humanité. </w:t>
      </w:r>
    </w:p>
  </w:footnote>
  <w:footnote w:id="740">
    <w:p w:rsidR="004C50DC" w:rsidRDefault="004C50DC">
      <w:pPr>
        <w:pStyle w:val="Notedebasdepage"/>
      </w:pPr>
      <w:r>
        <w:rPr>
          <w:rStyle w:val="Appelnotedebasdep"/>
        </w:rPr>
        <w:footnoteRef/>
      </w:r>
      <w:r>
        <w:t xml:space="preserve"> </w:t>
      </w:r>
      <w:r>
        <w:tab/>
      </w:r>
      <w:r w:rsidRPr="00C92F30">
        <w:rPr>
          <w:lang w:val="fr-FR"/>
        </w:rPr>
        <w:t xml:space="preserve">« Citadelle, Sans-Souci, Ramiers. Les menaces », </w:t>
      </w:r>
      <w:r w:rsidRPr="00C92F30">
        <w:rPr>
          <w:i/>
          <w:lang w:val="fr-FR"/>
        </w:rPr>
        <w:t>Bulletin de l’ISPAN</w:t>
      </w:r>
      <w:r w:rsidRPr="00C92F30">
        <w:rPr>
          <w:lang w:val="fr-FR"/>
        </w:rPr>
        <w:t>, n</w:t>
      </w:r>
      <w:r w:rsidRPr="00C92F30">
        <w:rPr>
          <w:vertAlign w:val="superscript"/>
          <w:lang w:val="fr-FR"/>
        </w:rPr>
        <w:t>o</w:t>
      </w:r>
      <w:r w:rsidRPr="00C92F30">
        <w:rPr>
          <w:lang w:val="fr-FR"/>
        </w:rPr>
        <w:t> 11, 1</w:t>
      </w:r>
      <w:r w:rsidRPr="00C92F30">
        <w:rPr>
          <w:vertAlign w:val="superscript"/>
          <w:lang w:val="fr-FR"/>
        </w:rPr>
        <w:t>er</w:t>
      </w:r>
      <w:r w:rsidRPr="00C92F30">
        <w:rPr>
          <w:lang w:val="fr-FR"/>
        </w:rPr>
        <w:t xml:space="preserve"> avril 2010, p. 3. </w:t>
      </w:r>
    </w:p>
  </w:footnote>
  <w:footnote w:id="741">
    <w:p w:rsidR="004C50DC" w:rsidRDefault="004C50DC">
      <w:pPr>
        <w:pStyle w:val="Notedebasdepage"/>
      </w:pPr>
      <w:r>
        <w:rPr>
          <w:rStyle w:val="Appelnotedebasdep"/>
        </w:rPr>
        <w:footnoteRef/>
      </w:r>
      <w:r>
        <w:t xml:space="preserve"> </w:t>
      </w:r>
      <w:r>
        <w:tab/>
      </w:r>
      <w:r w:rsidRPr="00C92F30">
        <w:rPr>
          <w:lang w:val="fr-FR"/>
        </w:rPr>
        <w:t xml:space="preserve">« La Citadelle Henry : un monument qui le mît debout », </w:t>
      </w:r>
      <w:r w:rsidRPr="00C92F30">
        <w:rPr>
          <w:i/>
          <w:lang w:val="fr-FR"/>
        </w:rPr>
        <w:t>Bulletin de l’ISPAN</w:t>
      </w:r>
      <w:r w:rsidRPr="00C92F30">
        <w:rPr>
          <w:lang w:val="fr-FR"/>
        </w:rPr>
        <w:t>, n</w:t>
      </w:r>
      <w:r w:rsidRPr="00C92F30">
        <w:rPr>
          <w:vertAlign w:val="superscript"/>
          <w:lang w:val="fr-FR"/>
        </w:rPr>
        <w:t>o</w:t>
      </w:r>
      <w:r w:rsidRPr="00C92F30">
        <w:rPr>
          <w:lang w:val="fr-FR"/>
        </w:rPr>
        <w:t> 28, 1</w:t>
      </w:r>
      <w:r w:rsidRPr="00C92F30">
        <w:rPr>
          <w:vertAlign w:val="superscript"/>
          <w:lang w:val="fr-FR"/>
        </w:rPr>
        <w:t>er</w:t>
      </w:r>
      <w:r w:rsidRPr="00C92F30">
        <w:rPr>
          <w:lang w:val="fr-FR"/>
        </w:rPr>
        <w:t xml:space="preserve"> septembre 2011, p. 2.</w:t>
      </w:r>
    </w:p>
  </w:footnote>
  <w:footnote w:id="742">
    <w:p w:rsidR="004C50DC" w:rsidRDefault="004C50DC">
      <w:pPr>
        <w:pStyle w:val="Notedebasdepage"/>
      </w:pPr>
      <w:r>
        <w:rPr>
          <w:rStyle w:val="Appelnotedebasdep"/>
        </w:rPr>
        <w:footnoteRef/>
      </w:r>
      <w:r>
        <w:t xml:space="preserve"> </w:t>
      </w:r>
      <w:r>
        <w:tab/>
      </w:r>
      <w:r w:rsidRPr="00C92F30">
        <w:t>« La Citadelle Henry : un monument qui le mît debout », op. cit., p. 2.</w:t>
      </w:r>
    </w:p>
  </w:footnote>
  <w:footnote w:id="743">
    <w:p w:rsidR="004C50DC" w:rsidRDefault="004C50DC">
      <w:pPr>
        <w:pStyle w:val="Notedebasdepage"/>
      </w:pPr>
      <w:r>
        <w:rPr>
          <w:rStyle w:val="Appelnotedebasdep"/>
        </w:rPr>
        <w:footnoteRef/>
      </w:r>
      <w:r>
        <w:t xml:space="preserve"> </w:t>
      </w:r>
      <w:r>
        <w:tab/>
      </w:r>
      <w:r w:rsidRPr="00C92F30">
        <w:rPr>
          <w:lang w:val="fr-FR"/>
        </w:rPr>
        <w:t>Ibid., p. 5 ; en 1979, l’UNESCO a mené une campagne internationale pour la protection, la préservation, la restauration et la mise en valeur du Palais de Sans-Souci, de la Citadelle Henry et du site fortifié de Ramiers ; voir aussi G</w:t>
      </w:r>
      <w:r w:rsidRPr="00C92F30">
        <w:rPr>
          <w:lang w:val="fr-FR"/>
        </w:rPr>
        <w:t>i</w:t>
      </w:r>
      <w:r w:rsidRPr="00C92F30">
        <w:rPr>
          <w:lang w:val="fr-FR"/>
        </w:rPr>
        <w:t>selle Hyvert, « Conservation et restauration de la citadelle Laferrière, du p</w:t>
      </w:r>
      <w:r w:rsidRPr="00C92F30">
        <w:rPr>
          <w:lang w:val="fr-FR"/>
        </w:rPr>
        <w:t>a</w:t>
      </w:r>
      <w:r w:rsidRPr="00C92F30">
        <w:rPr>
          <w:lang w:val="fr-FR"/>
        </w:rPr>
        <w:t xml:space="preserve">lais de Sans Souci et du Site des Ramiers », dans </w:t>
      </w:r>
      <w:r w:rsidRPr="00C92F30">
        <w:rPr>
          <w:i/>
          <w:lang w:val="fr-FR"/>
        </w:rPr>
        <w:t>Haïti. Aide aux États me</w:t>
      </w:r>
      <w:r w:rsidRPr="00C92F30">
        <w:rPr>
          <w:i/>
          <w:lang w:val="fr-FR"/>
        </w:rPr>
        <w:t>m</w:t>
      </w:r>
      <w:r w:rsidRPr="00C92F30">
        <w:rPr>
          <w:i/>
          <w:lang w:val="fr-FR"/>
        </w:rPr>
        <w:t>bres pour la préservation du patrimoine culturel et naturel et le développ</w:t>
      </w:r>
      <w:r w:rsidRPr="00C92F30">
        <w:rPr>
          <w:i/>
          <w:lang w:val="fr-FR"/>
        </w:rPr>
        <w:t>e</w:t>
      </w:r>
      <w:r w:rsidRPr="00C92F30">
        <w:rPr>
          <w:i/>
          <w:lang w:val="fr-FR"/>
        </w:rPr>
        <w:t>ment des musées</w:t>
      </w:r>
      <w:r w:rsidRPr="00C92F30">
        <w:rPr>
          <w:lang w:val="fr-FR"/>
        </w:rPr>
        <w:t>,Rapport établi à l’intention du Gouvernement d’Haïti par l’Organisation des Nations Unies pour l’Éducation, la Science et la Culture, Rapport technique PP/1977-78/4.121.8, n</w:t>
      </w:r>
      <w:r w:rsidRPr="00C92F30">
        <w:rPr>
          <w:vertAlign w:val="superscript"/>
          <w:lang w:val="fr-FR"/>
        </w:rPr>
        <w:t>o</w:t>
      </w:r>
      <w:r w:rsidRPr="00C92F30">
        <w:rPr>
          <w:lang w:val="fr-FR"/>
        </w:rPr>
        <w:t xml:space="preserve"> de sérieFMR/CC/CH/79/170, Paris, UNESCO, 1979. </w:t>
      </w:r>
    </w:p>
  </w:footnote>
  <w:footnote w:id="744">
    <w:p w:rsidR="004C50DC" w:rsidRDefault="004C50DC">
      <w:pPr>
        <w:pStyle w:val="Notedebasdepage"/>
      </w:pPr>
      <w:r>
        <w:rPr>
          <w:rStyle w:val="Appelnotedebasdep"/>
        </w:rPr>
        <w:footnoteRef/>
      </w:r>
      <w:r>
        <w:t xml:space="preserve"> </w:t>
      </w:r>
      <w:r>
        <w:tab/>
      </w:r>
      <w:r w:rsidRPr="00D342BE">
        <w:t xml:space="preserve">« Citadelle, Sans-Souci, Ramiers. Les menaces», </w:t>
      </w:r>
      <w:r w:rsidRPr="00D342BE">
        <w:rPr>
          <w:i/>
        </w:rPr>
        <w:t>Bulletin de l’ISPAN, op. cit</w:t>
      </w:r>
      <w:r w:rsidRPr="00D342BE">
        <w:t>., p. 5.</w:t>
      </w:r>
    </w:p>
  </w:footnote>
  <w:footnote w:id="745">
    <w:p w:rsidR="004C50DC" w:rsidRPr="00C92F30" w:rsidRDefault="004C50DC" w:rsidP="004C50DC">
      <w:pPr>
        <w:pStyle w:val="Notedebasdepage"/>
      </w:pPr>
      <w:r w:rsidRPr="00D342BE">
        <w:rPr>
          <w:rStyle w:val="Appelnotedebasdep"/>
        </w:rPr>
        <w:footnoteRef/>
      </w:r>
      <w:r>
        <w:tab/>
      </w:r>
      <w:r w:rsidRPr="00C92F30">
        <w:t xml:space="preserve">Rachelle Charlier-Doucet, « Les musées en Haïti », </w:t>
      </w:r>
      <w:r w:rsidRPr="00C92F30">
        <w:rPr>
          <w:i/>
        </w:rPr>
        <w:t>Conjonction</w:t>
      </w:r>
      <w:r w:rsidRPr="00C92F30">
        <w:t>, n</w:t>
      </w:r>
      <w:r w:rsidRPr="00C92F30">
        <w:rPr>
          <w:vertAlign w:val="superscript"/>
        </w:rPr>
        <w:t>o</w:t>
      </w:r>
      <w:r w:rsidRPr="00C92F30">
        <w:t> 206, 2001, p. 65.</w:t>
      </w:r>
    </w:p>
  </w:footnote>
  <w:footnote w:id="746">
    <w:p w:rsidR="004C50DC" w:rsidRDefault="004C50DC">
      <w:pPr>
        <w:pStyle w:val="Notedebasdepage"/>
      </w:pPr>
      <w:r>
        <w:rPr>
          <w:rStyle w:val="Appelnotedebasdep"/>
        </w:rPr>
        <w:footnoteRef/>
      </w:r>
      <w:r>
        <w:t xml:space="preserve"> </w:t>
      </w:r>
      <w:r>
        <w:tab/>
      </w:r>
      <w:r w:rsidRPr="00C92F30">
        <w:rPr>
          <w:lang w:val="fr-FR"/>
        </w:rPr>
        <w:t xml:space="preserve">Dominique Poulot, </w:t>
      </w:r>
      <w:r w:rsidRPr="00C92F30">
        <w:rPr>
          <w:i/>
          <w:lang w:val="fr-FR"/>
        </w:rPr>
        <w:t>Patrimoine et modernité</w:t>
      </w:r>
      <w:r w:rsidRPr="00C92F30">
        <w:rPr>
          <w:lang w:val="fr-FR"/>
        </w:rPr>
        <w:t>, Paris, L’Harmattan, 1998, p. 7.</w:t>
      </w:r>
    </w:p>
  </w:footnote>
  <w:footnote w:id="747">
    <w:p w:rsidR="004C50DC" w:rsidRDefault="004C50DC">
      <w:pPr>
        <w:pStyle w:val="Notedebasdepage"/>
      </w:pPr>
      <w:r>
        <w:rPr>
          <w:rStyle w:val="Appelnotedebasdep"/>
        </w:rPr>
        <w:footnoteRef/>
      </w:r>
      <w:r>
        <w:t xml:space="preserve"> </w:t>
      </w:r>
      <w:r>
        <w:tab/>
      </w:r>
      <w:r w:rsidRPr="00C92F30">
        <w:rPr>
          <w:lang w:val="fr-FR"/>
        </w:rPr>
        <w:t xml:space="preserve">« Citadelle, Sans-Souci, Ramiers. Les menaces», </w:t>
      </w:r>
      <w:r w:rsidRPr="00C92F30">
        <w:rPr>
          <w:i/>
          <w:lang w:val="fr-FR"/>
        </w:rPr>
        <w:t>Bulletin de l’ISPAN</w:t>
      </w:r>
      <w:r w:rsidRPr="00C92F30">
        <w:rPr>
          <w:lang w:val="fr-FR"/>
        </w:rPr>
        <w:t>, op. cit., p. 7.</w:t>
      </w:r>
    </w:p>
  </w:footnote>
  <w:footnote w:id="748">
    <w:p w:rsidR="004C50DC" w:rsidRDefault="004C50DC">
      <w:pPr>
        <w:pStyle w:val="Notedebasdepage"/>
      </w:pPr>
      <w:r>
        <w:rPr>
          <w:rStyle w:val="Appelnotedebasdep"/>
        </w:rPr>
        <w:footnoteRef/>
      </w:r>
      <w:r>
        <w:t xml:space="preserve"> </w:t>
      </w:r>
      <w:r>
        <w:tab/>
      </w:r>
      <w:r w:rsidRPr="00C92F30">
        <w:rPr>
          <w:lang w:val="en-US"/>
        </w:rPr>
        <w:t xml:space="preserve">Thomas Madiou, </w:t>
      </w:r>
      <w:r w:rsidRPr="00C92F30">
        <w:rPr>
          <w:i/>
          <w:lang w:val="en-US"/>
        </w:rPr>
        <w:t>Histoire d’Haïti (1799-1803)</w:t>
      </w:r>
      <w:r w:rsidRPr="00C92F30">
        <w:rPr>
          <w:lang w:val="en-US"/>
        </w:rPr>
        <w:t>, Tome II, op. cit., p. 259.</w:t>
      </w:r>
    </w:p>
  </w:footnote>
  <w:footnote w:id="749">
    <w:p w:rsidR="004C50DC" w:rsidRDefault="004C50DC">
      <w:pPr>
        <w:pStyle w:val="Notedebasdepage"/>
      </w:pPr>
      <w:r>
        <w:rPr>
          <w:rStyle w:val="Appelnotedebasdep"/>
        </w:rPr>
        <w:footnoteRef/>
      </w:r>
      <w:r>
        <w:t xml:space="preserve"> </w:t>
      </w:r>
      <w:r>
        <w:tab/>
      </w:r>
      <w:r w:rsidRPr="00C92F30">
        <w:rPr>
          <w:lang w:val="fr-FR"/>
        </w:rPr>
        <w:t xml:space="preserve">« La Crête-à-Pierrot, site de hauts faits d’armes », </w:t>
      </w:r>
      <w:r w:rsidRPr="00C92F30">
        <w:rPr>
          <w:i/>
          <w:lang w:val="fr-FR"/>
        </w:rPr>
        <w:t>Bulletin de l’ISPAN</w:t>
      </w:r>
      <w:r w:rsidRPr="00C92F30">
        <w:rPr>
          <w:lang w:val="fr-FR"/>
        </w:rPr>
        <w:t>, n</w:t>
      </w:r>
      <w:r w:rsidRPr="00C92F30">
        <w:rPr>
          <w:vertAlign w:val="superscript"/>
          <w:lang w:val="fr-FR"/>
        </w:rPr>
        <w:t>o</w:t>
      </w:r>
      <w:r w:rsidRPr="00C92F30">
        <w:rPr>
          <w:lang w:val="fr-FR"/>
        </w:rPr>
        <w:t> 22, 1</w:t>
      </w:r>
      <w:r w:rsidRPr="00C92F30">
        <w:rPr>
          <w:vertAlign w:val="superscript"/>
          <w:lang w:val="fr-FR"/>
        </w:rPr>
        <w:t>er</w:t>
      </w:r>
      <w:r w:rsidRPr="00C92F30">
        <w:rPr>
          <w:lang w:val="fr-FR"/>
        </w:rPr>
        <w:t xml:space="preserve"> mars 2011, p</w:t>
      </w:r>
      <w:r>
        <w:rPr>
          <w:lang w:val="fr-FR"/>
        </w:rPr>
        <w:t>p</w:t>
      </w:r>
      <w:r w:rsidRPr="00C92F30">
        <w:rPr>
          <w:lang w:val="fr-FR"/>
        </w:rPr>
        <w:t>. 1-2.</w:t>
      </w:r>
    </w:p>
  </w:footnote>
  <w:footnote w:id="750">
    <w:p w:rsidR="004C50DC" w:rsidRDefault="004C50DC">
      <w:pPr>
        <w:pStyle w:val="Notedebasdepage"/>
      </w:pPr>
      <w:r>
        <w:rPr>
          <w:rStyle w:val="Appelnotedebasdep"/>
        </w:rPr>
        <w:footnoteRef/>
      </w:r>
      <w:r>
        <w:t xml:space="preserve"> </w:t>
      </w:r>
      <w:r>
        <w:tab/>
      </w:r>
      <w:r w:rsidRPr="00C92F30">
        <w:rPr>
          <w:lang w:val="fr-FR"/>
        </w:rPr>
        <w:t xml:space="preserve">À ce sujet, voir Henri Mézière, </w:t>
      </w:r>
      <w:r w:rsidRPr="00C92F30">
        <w:rPr>
          <w:i/>
          <w:lang w:val="fr-FR"/>
        </w:rPr>
        <w:t>Le général Leclerc (1772-1802) et l’expédition de Saint-Domingue</w:t>
      </w:r>
      <w:r w:rsidRPr="00C92F30">
        <w:rPr>
          <w:lang w:val="fr-FR"/>
        </w:rPr>
        <w:t xml:space="preserve">, Paris, Tallandier, 1990, p. 198, et « L’expédition de Saint-Domingue. Les opérations terrestres (février-juin 1802) », </w:t>
      </w:r>
      <w:r w:rsidRPr="00C92F30">
        <w:rPr>
          <w:i/>
          <w:lang w:val="fr-FR"/>
        </w:rPr>
        <w:t>Revue du so</w:t>
      </w:r>
      <w:r w:rsidRPr="00C92F30">
        <w:rPr>
          <w:i/>
          <w:lang w:val="fr-FR"/>
        </w:rPr>
        <w:t>u</w:t>
      </w:r>
      <w:r w:rsidRPr="00C92F30">
        <w:rPr>
          <w:i/>
          <w:lang w:val="fr-FR"/>
        </w:rPr>
        <w:t>venir napoléonien</w:t>
      </w:r>
      <w:r w:rsidRPr="00C92F30">
        <w:rPr>
          <w:lang w:val="fr-FR"/>
        </w:rPr>
        <w:t>, n</w:t>
      </w:r>
      <w:r w:rsidRPr="00C92F30">
        <w:rPr>
          <w:vertAlign w:val="superscript"/>
          <w:lang w:val="fr-FR"/>
        </w:rPr>
        <w:t>o</w:t>
      </w:r>
      <w:r w:rsidRPr="00C92F30">
        <w:rPr>
          <w:lang w:val="fr-FR"/>
        </w:rPr>
        <w:t xml:space="preserve"> 440, avril-mai 2002, p. 29-36, en ligne, </w:t>
      </w:r>
      <w:hyperlink r:id="rId106" w:history="1">
        <w:r w:rsidRPr="00C92F30">
          <w:rPr>
            <w:rStyle w:val="Lienhypertexte"/>
            <w:lang w:val="fr-FR"/>
          </w:rPr>
          <w:t>http://www.napoleon.org/fr/salle_lecture/articles/files/stdomingue_fevrier1802.asp</w:t>
        </w:r>
      </w:hyperlink>
      <w:r w:rsidRPr="00C92F30">
        <w:rPr>
          <w:lang w:val="fr-FR"/>
        </w:rPr>
        <w:t>, consulté le 22 novembre 2014.</w:t>
      </w:r>
    </w:p>
  </w:footnote>
  <w:footnote w:id="751">
    <w:p w:rsidR="004C50DC" w:rsidRDefault="004C50DC">
      <w:pPr>
        <w:pStyle w:val="Notedebasdepage"/>
      </w:pPr>
      <w:r>
        <w:rPr>
          <w:rStyle w:val="Appelnotedebasdep"/>
        </w:rPr>
        <w:footnoteRef/>
      </w:r>
      <w:r>
        <w:t xml:space="preserve"> </w:t>
      </w:r>
      <w:r>
        <w:tab/>
      </w:r>
      <w:r w:rsidRPr="00D342BE">
        <w:t xml:space="preserve">Pierre Joseph Jean-Baptiste, </w:t>
      </w:r>
      <w:r w:rsidRPr="00D342BE">
        <w:rPr>
          <w:i/>
        </w:rPr>
        <w:t>La route d’un Empire</w:t>
      </w:r>
      <w:r w:rsidRPr="00D342BE">
        <w:t>, Bloomington, iUniverse, 2013, p. 131.</w:t>
      </w:r>
    </w:p>
  </w:footnote>
  <w:footnote w:id="752">
    <w:p w:rsidR="004C50DC" w:rsidRDefault="004C50DC">
      <w:pPr>
        <w:pStyle w:val="Notedebasdepage"/>
      </w:pPr>
      <w:r>
        <w:rPr>
          <w:rStyle w:val="Appelnotedebasdep"/>
        </w:rPr>
        <w:footnoteRef/>
      </w:r>
      <w:r>
        <w:t xml:space="preserve"> </w:t>
      </w:r>
      <w:r>
        <w:tab/>
      </w:r>
      <w:r w:rsidRPr="00C92F30">
        <w:rPr>
          <w:lang w:val="en-US"/>
        </w:rPr>
        <w:t xml:space="preserve">Thomas Madiou, </w:t>
      </w:r>
      <w:r w:rsidRPr="00C92F30">
        <w:rPr>
          <w:i/>
          <w:lang w:val="en-US"/>
        </w:rPr>
        <w:t>Histoire d’Haïti</w:t>
      </w:r>
      <w:r w:rsidRPr="00C92F30">
        <w:rPr>
          <w:lang w:val="en-US"/>
        </w:rPr>
        <w:t xml:space="preserve">, tome II, op. cit., p. 266. </w:t>
      </w:r>
    </w:p>
  </w:footnote>
  <w:footnote w:id="753">
    <w:p w:rsidR="004C50DC" w:rsidRDefault="004C50DC">
      <w:pPr>
        <w:pStyle w:val="Notedebasdepage"/>
      </w:pPr>
      <w:r>
        <w:rPr>
          <w:rStyle w:val="Appelnotedebasdep"/>
        </w:rPr>
        <w:footnoteRef/>
      </w:r>
      <w:r>
        <w:t xml:space="preserve"> </w:t>
      </w:r>
      <w:r>
        <w:tab/>
      </w:r>
      <w:r w:rsidRPr="00C92F30">
        <w:rPr>
          <w:lang w:val="fr-FR"/>
        </w:rPr>
        <w:t>Henri Mézière, « L’expédition de Saint-Domingue. Les opérations terre</w:t>
      </w:r>
      <w:r w:rsidRPr="00C92F30">
        <w:rPr>
          <w:lang w:val="fr-FR"/>
        </w:rPr>
        <w:t>s</w:t>
      </w:r>
      <w:r w:rsidRPr="00C92F30">
        <w:rPr>
          <w:lang w:val="fr-FR"/>
        </w:rPr>
        <w:t>tres (février-juin 1802) », op. cit., p</w:t>
      </w:r>
      <w:r>
        <w:rPr>
          <w:lang w:val="fr-FR"/>
        </w:rPr>
        <w:t>p</w:t>
      </w:r>
      <w:r w:rsidRPr="00C92F30">
        <w:rPr>
          <w:lang w:val="fr-FR"/>
        </w:rPr>
        <w:t xml:space="preserve">. 29-36. </w:t>
      </w:r>
    </w:p>
  </w:footnote>
  <w:footnote w:id="754">
    <w:p w:rsidR="004C50DC" w:rsidRDefault="004C50DC">
      <w:pPr>
        <w:pStyle w:val="Notedebasdepage"/>
      </w:pPr>
      <w:r>
        <w:rPr>
          <w:rStyle w:val="Appelnotedebasdep"/>
        </w:rPr>
        <w:footnoteRef/>
      </w:r>
      <w:r>
        <w:t xml:space="preserve"> </w:t>
      </w:r>
      <w:r>
        <w:tab/>
      </w:r>
      <w:r w:rsidRPr="00D342BE">
        <w:rPr>
          <w:i/>
        </w:rPr>
        <w:t>Ibid</w:t>
      </w:r>
      <w:r w:rsidRPr="00C92F30">
        <w:t>.</w:t>
      </w:r>
    </w:p>
  </w:footnote>
  <w:footnote w:id="755">
    <w:p w:rsidR="004C50DC" w:rsidRDefault="004C50DC">
      <w:pPr>
        <w:pStyle w:val="Notedebasdepage"/>
      </w:pPr>
      <w:r>
        <w:rPr>
          <w:rStyle w:val="Appelnotedebasdep"/>
        </w:rPr>
        <w:footnoteRef/>
      </w:r>
      <w:r>
        <w:t xml:space="preserve"> </w:t>
      </w:r>
      <w:r>
        <w:tab/>
      </w:r>
      <w:r w:rsidRPr="00C92F30">
        <w:rPr>
          <w:lang w:val="fr-FR"/>
        </w:rPr>
        <w:t xml:space="preserve">Voir le </w:t>
      </w:r>
      <w:r w:rsidRPr="00C92F30">
        <w:rPr>
          <w:i/>
          <w:lang w:val="fr-FR"/>
        </w:rPr>
        <w:t>Serment au drapeau</w:t>
      </w:r>
      <w:r w:rsidRPr="00C92F30">
        <w:rPr>
          <w:lang w:val="fr-FR"/>
        </w:rPr>
        <w:t>, annexe VIII.</w:t>
      </w:r>
    </w:p>
  </w:footnote>
  <w:footnote w:id="756">
    <w:p w:rsidR="004C50DC" w:rsidRPr="00C92F30" w:rsidRDefault="004C50DC" w:rsidP="004C50DC">
      <w:pPr>
        <w:pStyle w:val="Notedebasdepage"/>
      </w:pPr>
      <w:r w:rsidRPr="00D342BE">
        <w:rPr>
          <w:rStyle w:val="Appelnotedebasdep"/>
        </w:rPr>
        <w:footnoteRef/>
      </w:r>
      <w:r>
        <w:tab/>
      </w:r>
      <w:r w:rsidRPr="00C92F30">
        <w:t>Dans la religion vodou, un « point » est une force mystique que possède un i</w:t>
      </w:r>
      <w:r w:rsidRPr="00C92F30">
        <w:t>n</w:t>
      </w:r>
      <w:r w:rsidRPr="00C92F30">
        <w:t xml:space="preserve">dividu. </w:t>
      </w:r>
    </w:p>
  </w:footnote>
  <w:footnote w:id="757">
    <w:p w:rsidR="004C50DC" w:rsidRDefault="004C50DC">
      <w:pPr>
        <w:pStyle w:val="Notedebasdepage"/>
      </w:pPr>
      <w:r>
        <w:rPr>
          <w:rStyle w:val="Appelnotedebasdep"/>
        </w:rPr>
        <w:footnoteRef/>
      </w:r>
      <w:r>
        <w:t xml:space="preserve"> </w:t>
      </w:r>
      <w:r>
        <w:tab/>
      </w:r>
      <w:r w:rsidRPr="00C92F30">
        <w:rPr>
          <w:lang w:val="fr-FR"/>
        </w:rPr>
        <w:t xml:space="preserve">Thomas Madiou cité par Edgar La Selve, </w:t>
      </w:r>
      <w:r w:rsidRPr="00C92F30">
        <w:rPr>
          <w:i/>
          <w:lang w:val="fr-FR"/>
        </w:rPr>
        <w:t>Le pays des Nègres. Voyage à Ha</w:t>
      </w:r>
      <w:r w:rsidRPr="00C92F30">
        <w:rPr>
          <w:i/>
          <w:lang w:val="fr-FR"/>
        </w:rPr>
        <w:t>ï</w:t>
      </w:r>
      <w:r w:rsidRPr="00C92F30">
        <w:rPr>
          <w:i/>
          <w:lang w:val="fr-FR"/>
        </w:rPr>
        <w:t xml:space="preserve">ti, ancienne partie française de Saint-Domingue, </w:t>
      </w:r>
      <w:r w:rsidRPr="00C92F30">
        <w:rPr>
          <w:lang w:val="fr-FR"/>
        </w:rPr>
        <w:t>Paris, Hachette et C</w:t>
      </w:r>
      <w:r w:rsidRPr="00C92F30">
        <w:rPr>
          <w:vertAlign w:val="superscript"/>
          <w:lang w:val="fr-FR"/>
        </w:rPr>
        <w:t>ie</w:t>
      </w:r>
      <w:r w:rsidRPr="00C92F30">
        <w:rPr>
          <w:lang w:val="fr-FR"/>
        </w:rPr>
        <w:t>, 1881, p. 104.</w:t>
      </w:r>
    </w:p>
  </w:footnote>
  <w:footnote w:id="758">
    <w:p w:rsidR="004C50DC" w:rsidRDefault="004C50DC">
      <w:pPr>
        <w:pStyle w:val="Notedebasdepage"/>
      </w:pPr>
      <w:r>
        <w:rPr>
          <w:rStyle w:val="Appelnotedebasdep"/>
        </w:rPr>
        <w:footnoteRef/>
      </w:r>
      <w:r>
        <w:t xml:space="preserve"> </w:t>
      </w:r>
      <w:r>
        <w:tab/>
      </w:r>
      <w:r w:rsidRPr="00C92F30">
        <w:rPr>
          <w:lang w:val="fr-FR"/>
        </w:rPr>
        <w:t xml:space="preserve">« Les fortiﬁcations de Marchand-Dessalines (suite et fin) », </w:t>
      </w:r>
      <w:r w:rsidRPr="00C92F30">
        <w:rPr>
          <w:i/>
          <w:lang w:val="fr-FR"/>
        </w:rPr>
        <w:t>Bulletin de l’ISPAN</w:t>
      </w:r>
      <w:r w:rsidRPr="00C92F30">
        <w:rPr>
          <w:lang w:val="fr-FR"/>
        </w:rPr>
        <w:t>, n</w:t>
      </w:r>
      <w:r w:rsidRPr="00C92F30">
        <w:rPr>
          <w:vertAlign w:val="superscript"/>
          <w:lang w:val="fr-FR"/>
        </w:rPr>
        <w:t>o</w:t>
      </w:r>
      <w:r w:rsidRPr="00C92F30">
        <w:rPr>
          <w:lang w:val="fr-FR"/>
        </w:rPr>
        <w:t> 3, 1</w:t>
      </w:r>
      <w:r w:rsidRPr="00C92F30">
        <w:rPr>
          <w:vertAlign w:val="superscript"/>
          <w:lang w:val="fr-FR"/>
        </w:rPr>
        <w:t>er</w:t>
      </w:r>
      <w:r w:rsidRPr="00C92F30">
        <w:rPr>
          <w:lang w:val="fr-FR"/>
        </w:rPr>
        <w:t xml:space="preserve"> octobre 2009, p. 2.</w:t>
      </w:r>
    </w:p>
  </w:footnote>
  <w:footnote w:id="759">
    <w:p w:rsidR="004C50DC" w:rsidRDefault="004C50DC">
      <w:pPr>
        <w:pStyle w:val="Notedebasdepage"/>
      </w:pPr>
      <w:r>
        <w:rPr>
          <w:rStyle w:val="Appelnotedebasdep"/>
        </w:rPr>
        <w:footnoteRef/>
      </w:r>
      <w:r>
        <w:t xml:space="preserve"> </w:t>
      </w:r>
      <w:r>
        <w:tab/>
      </w:r>
      <w:r w:rsidRPr="00D342BE">
        <w:rPr>
          <w:i/>
          <w:lang w:val="fr-FR"/>
        </w:rPr>
        <w:t>Ibid</w:t>
      </w:r>
      <w:r w:rsidRPr="00C92F30">
        <w:rPr>
          <w:lang w:val="fr-FR"/>
        </w:rPr>
        <w:t>.</w:t>
      </w:r>
    </w:p>
  </w:footnote>
  <w:footnote w:id="760">
    <w:p w:rsidR="004C50DC" w:rsidRDefault="004C50DC">
      <w:pPr>
        <w:pStyle w:val="Notedebasdepage"/>
      </w:pPr>
      <w:r>
        <w:rPr>
          <w:rStyle w:val="Appelnotedebasdep"/>
        </w:rPr>
        <w:footnoteRef/>
      </w:r>
      <w:r>
        <w:t xml:space="preserve"> </w:t>
      </w:r>
      <w:r>
        <w:tab/>
      </w:r>
      <w:r w:rsidRPr="00C92F30">
        <w:rPr>
          <w:szCs w:val="18"/>
        </w:rPr>
        <w:t xml:space="preserve">Les figures 31 à 36 proviennent de </w:t>
      </w:r>
      <w:r w:rsidRPr="00C92F30">
        <w:rPr>
          <w:i/>
          <w:szCs w:val="18"/>
        </w:rPr>
        <w:t>Mapping haitian history</w:t>
      </w:r>
      <w:r w:rsidRPr="00C92F30">
        <w:rPr>
          <w:szCs w:val="18"/>
        </w:rPr>
        <w:t>, en l</w:t>
      </w:r>
      <w:r w:rsidRPr="00C92F30">
        <w:rPr>
          <w:szCs w:val="18"/>
        </w:rPr>
        <w:t>i</w:t>
      </w:r>
      <w:r w:rsidRPr="00C92F30">
        <w:rPr>
          <w:szCs w:val="18"/>
        </w:rPr>
        <w:t>gne,</w:t>
      </w:r>
      <w:r>
        <w:rPr>
          <w:szCs w:val="18"/>
        </w:rPr>
        <w:t xml:space="preserve"> </w:t>
      </w:r>
      <w:hyperlink r:id="rId107" w:history="1">
        <w:r w:rsidRPr="00C92F30">
          <w:rPr>
            <w:rStyle w:val="Lienhypertexte"/>
            <w:szCs w:val="18"/>
          </w:rPr>
          <w:t>http://www.mappinghaitianhistory.com/marchand-dessalines/</w:t>
        </w:r>
      </w:hyperlink>
      <w:r w:rsidRPr="00C92F30">
        <w:rPr>
          <w:szCs w:val="18"/>
        </w:rPr>
        <w:t>)</w:t>
      </w:r>
    </w:p>
  </w:footnote>
  <w:footnote w:id="761">
    <w:p w:rsidR="004C50DC" w:rsidRPr="00C92F30" w:rsidRDefault="004C50DC" w:rsidP="004C50DC">
      <w:pPr>
        <w:pStyle w:val="Notedebasdepage"/>
      </w:pPr>
      <w:r w:rsidRPr="00D342BE">
        <w:rPr>
          <w:rStyle w:val="Appelnotedebasdep"/>
        </w:rPr>
        <w:footnoteRef/>
      </w:r>
      <w:r>
        <w:tab/>
      </w:r>
      <w:r w:rsidRPr="00C92F30">
        <w:t>Souvent les Dessaliniens exigent la présence du chef de l’État dans les cér</w:t>
      </w:r>
      <w:r w:rsidRPr="00C92F30">
        <w:t>é</w:t>
      </w:r>
      <w:r w:rsidRPr="00C92F30">
        <w:t>monies de commémoration. Cette année encore, ils condamnent le président Joseph Michel Martelly pour avoir boudé leur invitation et brillé par son a</w:t>
      </w:r>
      <w:r w:rsidRPr="00C92F30">
        <w:t>b</w:t>
      </w:r>
      <w:r w:rsidRPr="00C92F30">
        <w:t>sence aux activités commémoratives.</w:t>
      </w:r>
    </w:p>
  </w:footnote>
  <w:footnote w:id="762">
    <w:p w:rsidR="004C50DC" w:rsidRDefault="004C50DC">
      <w:pPr>
        <w:pStyle w:val="Notedebasdepage"/>
      </w:pPr>
      <w:r>
        <w:rPr>
          <w:rStyle w:val="Appelnotedebasdep"/>
        </w:rPr>
        <w:footnoteRef/>
      </w:r>
      <w:r>
        <w:t xml:space="preserve"> </w:t>
      </w:r>
      <w:r>
        <w:tab/>
      </w:r>
      <w:r w:rsidRPr="00C92F30">
        <w:rPr>
          <w:lang w:val="fr-FR"/>
        </w:rPr>
        <w:t>La commission de commémoration du bicentenaire de l’Indépendance d’Haïti (1</w:t>
      </w:r>
      <w:r w:rsidRPr="00C92F30">
        <w:rPr>
          <w:vertAlign w:val="superscript"/>
          <w:lang w:val="fr-FR"/>
        </w:rPr>
        <w:t>er</w:t>
      </w:r>
      <w:r w:rsidRPr="00C92F30">
        <w:rPr>
          <w:lang w:val="fr-FR"/>
        </w:rPr>
        <w:t> janvier 1804) a été formée sous l’administration du président B</w:t>
      </w:r>
      <w:r w:rsidRPr="00C92F30">
        <w:rPr>
          <w:lang w:val="fr-FR"/>
        </w:rPr>
        <w:t>o</w:t>
      </w:r>
      <w:r w:rsidRPr="00C92F30">
        <w:rPr>
          <w:lang w:val="fr-FR"/>
        </w:rPr>
        <w:t>niface Alexandre et du Premier ministre Gérard Latortue, d’août 2004 à ja</w:t>
      </w:r>
      <w:r w:rsidRPr="00C92F30">
        <w:rPr>
          <w:lang w:val="fr-FR"/>
        </w:rPr>
        <w:t>n</w:t>
      </w:r>
      <w:r w:rsidRPr="00C92F30">
        <w:rPr>
          <w:lang w:val="fr-FR"/>
        </w:rPr>
        <w:t>vier 2005. Cette commission multidisciplinaire a été présidée par  le profe</w:t>
      </w:r>
      <w:r w:rsidRPr="00C92F30">
        <w:rPr>
          <w:lang w:val="fr-FR"/>
        </w:rPr>
        <w:t>s</w:t>
      </w:r>
      <w:r w:rsidRPr="00C92F30">
        <w:rPr>
          <w:lang w:val="fr-FR"/>
        </w:rPr>
        <w:t>seur et ex-président Leslie François Manigat. Faisaient partie aussi de la commission Claude Moïse, Georges Corvington, Fritz Daguillard, Michèle Duvivier Pie</w:t>
      </w:r>
      <w:r w:rsidRPr="00C92F30">
        <w:rPr>
          <w:lang w:val="fr-FR"/>
        </w:rPr>
        <w:t>r</w:t>
      </w:r>
      <w:r w:rsidRPr="00C92F30">
        <w:rPr>
          <w:lang w:val="fr-FR"/>
        </w:rPr>
        <w:t>re-Louis, Suzy Castor, Victor Benoît, Michel-Philippe Lerebours et Michel Hector.</w:t>
      </w:r>
    </w:p>
  </w:footnote>
  <w:footnote w:id="763">
    <w:p w:rsidR="004C50DC" w:rsidRPr="00C92F30" w:rsidRDefault="004C50DC" w:rsidP="004C50DC">
      <w:pPr>
        <w:pStyle w:val="Notedebasdepage"/>
      </w:pPr>
      <w:r w:rsidRPr="00D342BE">
        <w:rPr>
          <w:rStyle w:val="Appelnotedebasdep"/>
        </w:rPr>
        <w:footnoteRef/>
      </w:r>
      <w:r>
        <w:rPr>
          <w:bCs/>
        </w:rPr>
        <w:tab/>
      </w:r>
      <w:r w:rsidRPr="00C92F30">
        <w:rPr>
          <w:bCs/>
        </w:rPr>
        <w:t xml:space="preserve">Capitale </w:t>
      </w:r>
      <w:r w:rsidRPr="00C92F30">
        <w:t xml:space="preserve">du Pays Basque en </w:t>
      </w:r>
      <w:r w:rsidRPr="00C92F30">
        <w:rPr>
          <w:bCs/>
        </w:rPr>
        <w:t xml:space="preserve">France, </w:t>
      </w:r>
      <w:r w:rsidRPr="00C92F30">
        <w:t>Bayonne était une ville marchande qui avait développé une activité maritime et commerciale intense avec Saint-Domingue, particulièrement avec la région Sud de la colonie.</w:t>
      </w:r>
    </w:p>
  </w:footnote>
  <w:footnote w:id="764">
    <w:p w:rsidR="004C50DC" w:rsidRDefault="004C50DC">
      <w:pPr>
        <w:pStyle w:val="Notedebasdepage"/>
      </w:pPr>
      <w:r>
        <w:rPr>
          <w:rStyle w:val="Appelnotedebasdep"/>
        </w:rPr>
        <w:footnoteRef/>
      </w:r>
      <w:r>
        <w:t xml:space="preserve"> </w:t>
      </w:r>
      <w:r>
        <w:tab/>
      </w:r>
      <w:r w:rsidRPr="00C92F30">
        <w:rPr>
          <w:lang w:val="fr-FR"/>
        </w:rPr>
        <w:t xml:space="preserve">Moreau de Saint-Méry, </w:t>
      </w:r>
      <w:r w:rsidRPr="00C92F30">
        <w:rPr>
          <w:i/>
          <w:lang w:val="fr-FR"/>
        </w:rPr>
        <w:t>Description de la partie française de l’Isle de Saint-Domingue</w:t>
      </w:r>
      <w:r w:rsidRPr="00C92F30">
        <w:rPr>
          <w:lang w:val="fr-FR"/>
        </w:rPr>
        <w:t>, op. cit., p. 1493.</w:t>
      </w:r>
    </w:p>
  </w:footnote>
  <w:footnote w:id="765">
    <w:p w:rsidR="004C50DC" w:rsidRDefault="004C50DC">
      <w:pPr>
        <w:pStyle w:val="Notedebasdepage"/>
      </w:pPr>
      <w:r>
        <w:rPr>
          <w:rStyle w:val="Appelnotedebasdep"/>
        </w:rPr>
        <w:footnoteRef/>
      </w:r>
      <w:r>
        <w:t xml:space="preserve"> </w:t>
      </w:r>
      <w:r>
        <w:tab/>
      </w:r>
      <w:r w:rsidRPr="00C92F30">
        <w:rPr>
          <w:lang w:val="fr-FR"/>
        </w:rPr>
        <w:t xml:space="preserve">Claude Moïse (dir.), </w:t>
      </w:r>
      <w:r w:rsidRPr="00C92F30">
        <w:rPr>
          <w:i/>
          <w:lang w:val="fr-FR"/>
        </w:rPr>
        <w:t>Dictionnaire historique de la Révolution Haïtienne (1789-1804)</w:t>
      </w:r>
      <w:r w:rsidRPr="00C92F30">
        <w:rPr>
          <w:lang w:val="fr-FR"/>
        </w:rPr>
        <w:t>, Montréal, Cidihca, Images, 2003, p. 65.</w:t>
      </w:r>
    </w:p>
  </w:footnote>
  <w:footnote w:id="766">
    <w:p w:rsidR="004C50DC" w:rsidRDefault="004C50DC">
      <w:pPr>
        <w:pStyle w:val="Notedebasdepage"/>
      </w:pPr>
      <w:r>
        <w:rPr>
          <w:rStyle w:val="Appelnotedebasdep"/>
        </w:rPr>
        <w:footnoteRef/>
      </w:r>
      <w:r>
        <w:t xml:space="preserve"> </w:t>
      </w:r>
      <w:r>
        <w:tab/>
      </w:r>
      <w:r w:rsidRPr="00C92F30">
        <w:rPr>
          <w:lang w:val="en-US"/>
        </w:rPr>
        <w:t xml:space="preserve">Voir Thomas Madiou, op. cit., Tome I, p. 113. </w:t>
      </w:r>
    </w:p>
  </w:footnote>
  <w:footnote w:id="767">
    <w:p w:rsidR="004C50DC" w:rsidRDefault="004C50DC">
      <w:pPr>
        <w:pStyle w:val="Notedebasdepage"/>
      </w:pPr>
      <w:r>
        <w:rPr>
          <w:rStyle w:val="Appelnotedebasdep"/>
        </w:rPr>
        <w:footnoteRef/>
      </w:r>
      <w:r>
        <w:t xml:space="preserve"> </w:t>
      </w:r>
      <w:r>
        <w:tab/>
      </w:r>
      <w:r w:rsidRPr="00C92F30">
        <w:rPr>
          <w:lang w:val="fr-FR"/>
        </w:rPr>
        <w:t xml:space="preserve">Sémexant Rouzier, </w:t>
      </w:r>
      <w:r w:rsidRPr="00C92F30">
        <w:rPr>
          <w:i/>
          <w:lang w:val="fr-FR"/>
        </w:rPr>
        <w:t>Dictionnaire géographique et administratif universel d’Haïti,</w:t>
      </w:r>
      <w:r w:rsidRPr="00C92F30">
        <w:rPr>
          <w:lang w:val="fr-FR"/>
        </w:rPr>
        <w:t xml:space="preserve"> volume I, 1890, p. 201.</w:t>
      </w:r>
    </w:p>
  </w:footnote>
  <w:footnote w:id="768">
    <w:p w:rsidR="004C50DC" w:rsidRPr="00C92F30" w:rsidRDefault="004C50DC" w:rsidP="004C50DC">
      <w:pPr>
        <w:pStyle w:val="Notedebasdepage"/>
      </w:pPr>
      <w:r w:rsidRPr="00D342BE">
        <w:rPr>
          <w:rStyle w:val="Appelnotedebasdep"/>
        </w:rPr>
        <w:footnoteRef/>
      </w:r>
      <w:r>
        <w:tab/>
      </w:r>
      <w:r w:rsidRPr="00D342BE">
        <w:rPr>
          <w:i/>
        </w:rPr>
        <w:t>Ibid</w:t>
      </w:r>
      <w:r w:rsidRPr="00C92F30">
        <w:t>., p</w:t>
      </w:r>
      <w:r>
        <w:t>p</w:t>
      </w:r>
      <w:r w:rsidRPr="00C92F30">
        <w:t>. 201-202.</w:t>
      </w:r>
    </w:p>
  </w:footnote>
  <w:footnote w:id="769">
    <w:p w:rsidR="004C50DC" w:rsidRPr="00C92F30" w:rsidRDefault="004C50DC" w:rsidP="004C50DC">
      <w:pPr>
        <w:pStyle w:val="Notedebasdepage"/>
      </w:pPr>
      <w:r w:rsidRPr="00D342BE">
        <w:rPr>
          <w:rStyle w:val="Appelnotedebasdep"/>
        </w:rPr>
        <w:footnoteRef/>
      </w:r>
      <w:r>
        <w:tab/>
      </w:r>
      <w:r w:rsidRPr="00C92F30">
        <w:t>C’est ce même Boisrond Tonnerre, toujours au service de Dessalines, qui va par la suite rédiger et lire l’acte de l’Indépendance d’Haïti le 1</w:t>
      </w:r>
      <w:r w:rsidRPr="00C92F30">
        <w:rPr>
          <w:vertAlign w:val="superscript"/>
        </w:rPr>
        <w:t>er</w:t>
      </w:r>
      <w:r w:rsidRPr="00C92F30">
        <w:t xml:space="preserve"> janvier 1804.</w:t>
      </w:r>
    </w:p>
  </w:footnote>
  <w:footnote w:id="770">
    <w:p w:rsidR="004C50DC" w:rsidRDefault="004C50DC">
      <w:pPr>
        <w:pStyle w:val="Notedebasdepage"/>
      </w:pPr>
      <w:r>
        <w:rPr>
          <w:rStyle w:val="Appelnotedebasdep"/>
        </w:rPr>
        <w:footnoteRef/>
      </w:r>
      <w:r>
        <w:t xml:space="preserve"> </w:t>
      </w:r>
      <w:r>
        <w:tab/>
      </w:r>
      <w:r w:rsidRPr="00C92F30">
        <w:rPr>
          <w:lang w:val="fr-FR"/>
        </w:rPr>
        <w:t xml:space="preserve">Michel Hector, « Commémoration de la rencontre du Camp-Gérard. Camp-Gérard ou le couronnement de la marche vers l’unité pour l’indépendance », </w:t>
      </w:r>
      <w:r w:rsidRPr="00C92F30">
        <w:rPr>
          <w:i/>
          <w:lang w:val="fr-FR"/>
        </w:rPr>
        <w:t>Le Matin</w:t>
      </w:r>
      <w:r w:rsidRPr="00C92F30">
        <w:rPr>
          <w:lang w:val="fr-FR"/>
        </w:rPr>
        <w:t>,  mardi 18 juillet 2006.</w:t>
      </w:r>
    </w:p>
  </w:footnote>
  <w:footnote w:id="771">
    <w:p w:rsidR="004C50DC" w:rsidRDefault="004C50DC">
      <w:pPr>
        <w:pStyle w:val="Notedebasdepage"/>
      </w:pPr>
      <w:r>
        <w:rPr>
          <w:rStyle w:val="Appelnotedebasdep"/>
        </w:rPr>
        <w:footnoteRef/>
      </w:r>
      <w:r>
        <w:t xml:space="preserve"> </w:t>
      </w:r>
      <w:r>
        <w:tab/>
      </w:r>
      <w:r w:rsidRPr="00C92F30">
        <w:t>Ibid</w:t>
      </w:r>
      <w:r w:rsidRPr="00C92F30">
        <w:rPr>
          <w:shd w:val="clear" w:color="auto" w:fill="FFFFFF"/>
        </w:rPr>
        <w:t>.</w:t>
      </w:r>
    </w:p>
  </w:footnote>
  <w:footnote w:id="772">
    <w:p w:rsidR="004C50DC" w:rsidRDefault="004C50DC">
      <w:pPr>
        <w:pStyle w:val="Notedebasdepage"/>
      </w:pPr>
      <w:r>
        <w:rPr>
          <w:rStyle w:val="Appelnotedebasdep"/>
        </w:rPr>
        <w:footnoteRef/>
      </w:r>
      <w:r>
        <w:t xml:space="preserve"> </w:t>
      </w:r>
      <w:r>
        <w:tab/>
      </w:r>
      <w:r w:rsidRPr="00C92F30">
        <w:rPr>
          <w:lang w:val="fr-FR"/>
        </w:rPr>
        <w:t xml:space="preserve">Propos recueillis le 22 août 2009 lors de la réalisation de notre mémoire de maîtrise ; voir Jean Ronald Augustin, </w:t>
      </w:r>
      <w:r w:rsidRPr="00C92F30">
        <w:rPr>
          <w:i/>
          <w:lang w:val="fr-FR"/>
        </w:rPr>
        <w:t>L’habitation sucrière en Haïti. Enjeu historique et mémoire de l’esclavage. (Cas de Camp Gérard aux Cayes)</w:t>
      </w:r>
      <w:r w:rsidRPr="00C92F30">
        <w:rPr>
          <w:lang w:val="fr-FR"/>
        </w:rPr>
        <w:t>, m</w:t>
      </w:r>
      <w:r w:rsidRPr="00C92F30">
        <w:rPr>
          <w:lang w:val="fr-FR"/>
        </w:rPr>
        <w:t>é</w:t>
      </w:r>
      <w:r w:rsidRPr="00C92F30">
        <w:rPr>
          <w:lang w:val="fr-FR"/>
        </w:rPr>
        <w:t>moire présenté au programme des Études post-graduées de l’Université d’État d’Haïti p</w:t>
      </w:r>
      <w:r w:rsidRPr="00C92F30">
        <w:rPr>
          <w:bCs/>
          <w:lang w:val="fr-FR"/>
        </w:rPr>
        <w:t>our l’obtention du grade de Maître en Histoire, Mémoire et Patrimo</w:t>
      </w:r>
      <w:r w:rsidRPr="00C92F30">
        <w:rPr>
          <w:bCs/>
          <w:lang w:val="fr-FR"/>
        </w:rPr>
        <w:t>i</w:t>
      </w:r>
      <w:r w:rsidRPr="00C92F30">
        <w:rPr>
          <w:bCs/>
          <w:lang w:val="fr-FR"/>
        </w:rPr>
        <w:t xml:space="preserve">ne, </w:t>
      </w:r>
      <w:r w:rsidRPr="00C92F30">
        <w:rPr>
          <w:lang w:val="fr-FR"/>
        </w:rPr>
        <w:t xml:space="preserve">Maîtrise interdisciplinaire en sciences sociales et humaines (MISSH), </w:t>
      </w:r>
      <w:r w:rsidRPr="00C92F30">
        <w:rPr>
          <w:bCs/>
          <w:lang w:val="fr-FR"/>
        </w:rPr>
        <w:t xml:space="preserve">mars 2010. </w:t>
      </w:r>
    </w:p>
  </w:footnote>
  <w:footnote w:id="773">
    <w:p w:rsidR="004C50DC" w:rsidRDefault="004C50DC">
      <w:pPr>
        <w:pStyle w:val="Notedebasdepage"/>
      </w:pPr>
      <w:r>
        <w:rPr>
          <w:rStyle w:val="Appelnotedebasdep"/>
        </w:rPr>
        <w:footnoteRef/>
      </w:r>
      <w:r>
        <w:t xml:space="preserve"> </w:t>
      </w:r>
      <w:r>
        <w:tab/>
      </w:r>
      <w:r w:rsidRPr="00C92F30">
        <w:rPr>
          <w:lang w:val="fr-FR"/>
        </w:rPr>
        <w:t xml:space="preserve">Michel Hector, « Commémoration de la rencontre du Camp-Gérard… », op. cit. </w:t>
      </w:r>
    </w:p>
  </w:footnote>
  <w:footnote w:id="774">
    <w:p w:rsidR="004C50DC" w:rsidRDefault="004C50DC">
      <w:pPr>
        <w:pStyle w:val="Notedebasdepage"/>
      </w:pPr>
      <w:r>
        <w:rPr>
          <w:rStyle w:val="Appelnotedebasdep"/>
        </w:rPr>
        <w:footnoteRef/>
      </w:r>
      <w:r>
        <w:t xml:space="preserve"> </w:t>
      </w:r>
      <w:r>
        <w:tab/>
      </w:r>
      <w:r w:rsidRPr="00C92F30">
        <w:t>Voir Michel Philippe Lerebours, 1999, op. cit., p. 22.</w:t>
      </w:r>
    </w:p>
  </w:footnote>
  <w:footnote w:id="775">
    <w:p w:rsidR="004C50DC" w:rsidRDefault="004C50DC">
      <w:pPr>
        <w:pStyle w:val="Notedebasdepage"/>
      </w:pPr>
      <w:r>
        <w:rPr>
          <w:rStyle w:val="Appelnotedebasdep"/>
        </w:rPr>
        <w:footnoteRef/>
      </w:r>
      <w:r>
        <w:t xml:space="preserve"> </w:t>
      </w:r>
      <w:r>
        <w:tab/>
      </w:r>
      <w:r w:rsidRPr="00C92F30">
        <w:t>En</w:t>
      </w:r>
      <w:r>
        <w:t xml:space="preserve"> </w:t>
      </w:r>
      <w:r w:rsidRPr="00C92F30">
        <w:t>l</w:t>
      </w:r>
      <w:r w:rsidRPr="00C92F30">
        <w:t>i</w:t>
      </w:r>
      <w:r w:rsidRPr="00C92F30">
        <w:t>gne,</w:t>
      </w:r>
      <w:r>
        <w:t xml:space="preserve"> </w:t>
      </w:r>
      <w:r>
        <w:br/>
      </w:r>
      <w:hyperlink r:id="rId108" w:history="1">
        <w:r w:rsidRPr="00C92F30">
          <w:rPr>
            <w:rStyle w:val="Lienhypertexte"/>
          </w:rPr>
          <w:t>http://www4.culture.fr/patrimoines/patrimoine_monumental_et_archeologique/insitu/image.xsp?numero=3&amp;id_article=v8-64&amp;no_image=10</w:t>
        </w:r>
      </w:hyperlink>
      <w:r w:rsidRPr="00C92F30">
        <w:t>, consulté le 20 mai 2015.</w:t>
      </w:r>
    </w:p>
  </w:footnote>
  <w:footnote w:id="776">
    <w:p w:rsidR="004C50DC" w:rsidRDefault="004C50DC">
      <w:pPr>
        <w:pStyle w:val="Notedebasdepage"/>
      </w:pPr>
      <w:r>
        <w:rPr>
          <w:rStyle w:val="Appelnotedebasdep"/>
        </w:rPr>
        <w:footnoteRef/>
      </w:r>
      <w:r>
        <w:t xml:space="preserve"> </w:t>
      </w:r>
      <w:r>
        <w:tab/>
      </w:r>
      <w:r w:rsidRPr="00C92F30">
        <w:t>Cette photo que nous avons prise en mai 2015 fait ressortir l’état de dégrad</w:t>
      </w:r>
      <w:r w:rsidRPr="00C92F30">
        <w:t>a</w:t>
      </w:r>
      <w:r w:rsidRPr="00C92F30">
        <w:t>tion du site en partie par sa non-conservation. L’annexion par la fondation Ari</w:t>
      </w:r>
      <w:r w:rsidRPr="00C92F30">
        <w:t>s</w:t>
      </w:r>
      <w:r w:rsidRPr="00C92F30">
        <w:t xml:space="preserve">tide del’Université a conduit à la construction de murs pour délimiter le campus, qui sontaussi incompatible avecl’architecture de l’aqueduc. </w:t>
      </w:r>
    </w:p>
  </w:footnote>
  <w:footnote w:id="777">
    <w:p w:rsidR="004C50DC" w:rsidRDefault="004C50DC">
      <w:pPr>
        <w:pStyle w:val="Notedebasdepage"/>
      </w:pPr>
      <w:r>
        <w:rPr>
          <w:rStyle w:val="Appelnotedebasdep"/>
        </w:rPr>
        <w:footnoteRef/>
      </w:r>
      <w:r>
        <w:t xml:space="preserve"> </w:t>
      </w:r>
      <w:r>
        <w:tab/>
      </w:r>
      <w:r w:rsidRPr="00C92F30">
        <w:t>Michel Philippe Lerebours, 2006, op. cit., p. 133.</w:t>
      </w:r>
    </w:p>
  </w:footnote>
  <w:footnote w:id="778">
    <w:p w:rsidR="004C50DC" w:rsidRPr="00C92F30" w:rsidRDefault="004C50DC" w:rsidP="004C50DC">
      <w:pPr>
        <w:pStyle w:val="Notedebasdepage"/>
      </w:pPr>
      <w:r w:rsidRPr="00081EDD">
        <w:rPr>
          <w:rStyle w:val="Appelnotedebasdep"/>
        </w:rPr>
        <w:footnoteRef/>
      </w:r>
      <w:r>
        <w:tab/>
      </w:r>
      <w:r w:rsidRPr="00C92F30">
        <w:t xml:space="preserve">Joël Candau, </w:t>
      </w:r>
      <w:r w:rsidRPr="00C92F30">
        <w:rPr>
          <w:i/>
        </w:rPr>
        <w:t>Anthropologie de la mémoire</w:t>
      </w:r>
      <w:r w:rsidRPr="00C92F30">
        <w:t>, op. cit., p. 113.</w:t>
      </w:r>
    </w:p>
  </w:footnote>
  <w:footnote w:id="779">
    <w:p w:rsidR="004C50DC" w:rsidRPr="00C92F30" w:rsidRDefault="004C50DC" w:rsidP="004C50DC">
      <w:pPr>
        <w:pStyle w:val="Notedebasdepage"/>
      </w:pPr>
      <w:r w:rsidRPr="00081EDD">
        <w:rPr>
          <w:rStyle w:val="Appelnotedebasdep"/>
        </w:rPr>
        <w:footnoteRef/>
      </w:r>
      <w:r>
        <w:tab/>
      </w:r>
      <w:r w:rsidRPr="00C92F30">
        <w:t>Paul Ricœur, op. cit., 2000, p. 234.</w:t>
      </w:r>
    </w:p>
  </w:footnote>
  <w:footnote w:id="780">
    <w:p w:rsidR="004C50DC" w:rsidRDefault="004C50DC">
      <w:pPr>
        <w:pStyle w:val="Notedebasdepage"/>
      </w:pPr>
      <w:r>
        <w:rPr>
          <w:rStyle w:val="Appelnotedebasdep"/>
        </w:rPr>
        <w:footnoteRef/>
      </w:r>
      <w:r>
        <w:t xml:space="preserve"> </w:t>
      </w:r>
      <w:r>
        <w:tab/>
      </w:r>
      <w:r w:rsidRPr="00C92F30">
        <w:t xml:space="preserve">Voir Herbert S. Klein, </w:t>
      </w:r>
      <w:r w:rsidRPr="00C92F30">
        <w:rPr>
          <w:i/>
        </w:rPr>
        <w:t>The Atlantic Slave Trade</w:t>
      </w:r>
      <w:r w:rsidRPr="00C92F30">
        <w:t>, New York, Cambridge Un</w:t>
      </w:r>
      <w:r w:rsidRPr="00C92F30">
        <w:t>i</w:t>
      </w:r>
      <w:r w:rsidRPr="00C92F30">
        <w:t>versity Press, 2010, p</w:t>
      </w:r>
      <w:r>
        <w:t>p</w:t>
      </w:r>
      <w:r w:rsidRPr="00C92F30">
        <w:t>. 33-34.</w:t>
      </w:r>
    </w:p>
  </w:footnote>
  <w:footnote w:id="781">
    <w:p w:rsidR="004C50DC" w:rsidRDefault="004C50DC">
      <w:pPr>
        <w:pStyle w:val="Notedebasdepage"/>
      </w:pPr>
      <w:r>
        <w:rPr>
          <w:rStyle w:val="Appelnotedebasdep"/>
        </w:rPr>
        <w:footnoteRef/>
      </w:r>
      <w:r>
        <w:t xml:space="preserve"> </w:t>
      </w:r>
      <w:r>
        <w:tab/>
      </w:r>
      <w:r w:rsidRPr="00C92F30">
        <w:rPr>
          <w:lang w:val="fr-FR" w:eastAsia="ja-JP"/>
        </w:rPr>
        <w:t>Les historiens Beaubrun Ardouin, Thomas Madiou et Saint-Rémy des Cayes s’accordent à dire qu’il restait environ trois cent mille (300 000) habitants en Haïti après la guerre de l’Indépendance alors qu’il y en avait six cent mille (600 000) avant.</w:t>
      </w:r>
    </w:p>
  </w:footnote>
  <w:footnote w:id="782">
    <w:p w:rsidR="004C50DC" w:rsidRPr="00C92F30" w:rsidRDefault="004C50DC" w:rsidP="004C50DC">
      <w:pPr>
        <w:pStyle w:val="Notedebasdepage"/>
      </w:pPr>
      <w:r w:rsidRPr="00081EDD">
        <w:rPr>
          <w:rStyle w:val="Appelnotedebasdep"/>
        </w:rPr>
        <w:footnoteRef/>
      </w:r>
      <w:r>
        <w:tab/>
      </w:r>
      <w:r w:rsidRPr="00C92F30">
        <w:t xml:space="preserve">Vertus Saint-Louis, « Régime militaire et règlements de culture en 1801 », </w:t>
      </w:r>
      <w:r w:rsidRPr="00C92F30">
        <w:rPr>
          <w:i/>
        </w:rPr>
        <w:t>Chemins critiques</w:t>
      </w:r>
      <w:r w:rsidRPr="00C92F30">
        <w:t xml:space="preserve"> (revue haïtaino-caribéenne), Montréal, CIDIHCA, vol. 3, n</w:t>
      </w:r>
      <w:r w:rsidRPr="00C92F30">
        <w:rPr>
          <w:vertAlign w:val="superscript"/>
        </w:rPr>
        <w:t>os</w:t>
      </w:r>
      <w:r w:rsidRPr="00C92F30">
        <w:t xml:space="preserve"> 1-2, 1993, p. 211 ; voir aussi Rafael Lucas, « Figures de l’autorité dans l’histoire et la littérature haïtiennes », dans Pierre-Louis Naud (dir.), </w:t>
      </w:r>
      <w:r w:rsidRPr="00C92F30">
        <w:rPr>
          <w:i/>
        </w:rPr>
        <w:t>Haïti. Les recherches en sciences sociales et les mutations sociopolitiques et économ</w:t>
      </w:r>
      <w:r w:rsidRPr="00C92F30">
        <w:rPr>
          <w:i/>
        </w:rPr>
        <w:t>i</w:t>
      </w:r>
      <w:r w:rsidRPr="00C92F30">
        <w:rPr>
          <w:i/>
        </w:rPr>
        <w:t>ques</w:t>
      </w:r>
      <w:r w:rsidRPr="00C92F30">
        <w:t>, Paris, L’Harmattan, 2007, p. 95.</w:t>
      </w:r>
    </w:p>
  </w:footnote>
  <w:footnote w:id="783">
    <w:p w:rsidR="004C50DC" w:rsidRPr="00C92F30" w:rsidRDefault="004C50DC" w:rsidP="004C50DC">
      <w:pPr>
        <w:pStyle w:val="Notedebasdepage"/>
      </w:pPr>
      <w:r w:rsidRPr="00081EDD">
        <w:rPr>
          <w:rStyle w:val="Appelnotedebasdep"/>
        </w:rPr>
        <w:footnoteRef/>
      </w:r>
      <w:r>
        <w:tab/>
      </w:r>
      <w:r w:rsidRPr="00C92F30">
        <w:t>L’une des mesures qui a valu les plus vives critiques à Toussaint Louverture fut l’exécution de son neveu, Moïse Louverture ; ibid.</w:t>
      </w:r>
    </w:p>
  </w:footnote>
  <w:footnote w:id="784">
    <w:p w:rsidR="004C50DC" w:rsidRPr="00C92F30" w:rsidRDefault="004C50DC" w:rsidP="004C50DC">
      <w:pPr>
        <w:pStyle w:val="Notedebasdepage"/>
      </w:pPr>
      <w:r w:rsidRPr="00081EDD">
        <w:rPr>
          <w:rStyle w:val="Appelnotedebasdep"/>
        </w:rPr>
        <w:footnoteRef/>
      </w:r>
      <w:r>
        <w:tab/>
      </w:r>
      <w:r w:rsidRPr="00C92F30">
        <w:t xml:space="preserve">Rémy Bastien, </w:t>
      </w:r>
      <w:r w:rsidRPr="00C92F30">
        <w:rPr>
          <w:i/>
        </w:rPr>
        <w:t>Le paysan haïtien</w:t>
      </w:r>
      <w:r w:rsidRPr="00C92F30">
        <w:t>, Paris, Karthala, 1985, p. 22.</w:t>
      </w:r>
    </w:p>
  </w:footnote>
  <w:footnote w:id="785">
    <w:p w:rsidR="004C50DC" w:rsidRPr="00C92F30" w:rsidRDefault="004C50DC" w:rsidP="004C50DC">
      <w:pPr>
        <w:pStyle w:val="Notedebasdepage"/>
      </w:pPr>
      <w:r w:rsidRPr="00081EDD">
        <w:rPr>
          <w:rStyle w:val="Appelnotedebasdep"/>
        </w:rPr>
        <w:footnoteRef/>
      </w:r>
      <w:r>
        <w:tab/>
      </w:r>
      <w:r w:rsidRPr="00C92F30">
        <w:t xml:space="preserve">Laënnec Hurbon, préface de l’ouvrage de Gérard Barthélemy, </w:t>
      </w:r>
      <w:r w:rsidRPr="00C92F30">
        <w:rPr>
          <w:i/>
        </w:rPr>
        <w:t>Le pays en d</w:t>
      </w:r>
      <w:r w:rsidRPr="00C92F30">
        <w:rPr>
          <w:i/>
        </w:rPr>
        <w:t>e</w:t>
      </w:r>
      <w:r w:rsidRPr="00C92F30">
        <w:rPr>
          <w:i/>
        </w:rPr>
        <w:t>hors. Essai sur l’univers rural haïtien</w:t>
      </w:r>
      <w:r w:rsidRPr="00C92F30">
        <w:t>, Paris, L’Harmattan, 1990, p. 12.</w:t>
      </w:r>
    </w:p>
  </w:footnote>
  <w:footnote w:id="786">
    <w:p w:rsidR="004C50DC" w:rsidRPr="00C92F30" w:rsidRDefault="004C50DC" w:rsidP="004C50DC">
      <w:pPr>
        <w:pStyle w:val="Notedebasdepage"/>
      </w:pPr>
      <w:r w:rsidRPr="00081EDD">
        <w:rPr>
          <w:rStyle w:val="Appelnotedebasdep"/>
        </w:rPr>
        <w:footnoteRef/>
      </w:r>
      <w:r>
        <w:tab/>
      </w:r>
      <w:r w:rsidRPr="00C92F30">
        <w:t xml:space="preserve">Paul Moral, </w:t>
      </w:r>
      <w:r w:rsidRPr="00C92F30">
        <w:rPr>
          <w:i/>
        </w:rPr>
        <w:t>Le paysan haïtien (Étude sur la vie rurale en Haïti)</w:t>
      </w:r>
      <w:r w:rsidRPr="00C92F30">
        <w:t>, Paris, G.P. Maisonneuve et Larose, 1961, Port-au-Prince, Fardin, 1978, p. 29.</w:t>
      </w:r>
    </w:p>
  </w:footnote>
  <w:footnote w:id="787">
    <w:p w:rsidR="004C50DC" w:rsidRPr="00C92F30" w:rsidRDefault="004C50DC" w:rsidP="004C50DC">
      <w:pPr>
        <w:pStyle w:val="Notedebasdepage"/>
        <w:rPr>
          <w:lang w:val="en-CA"/>
        </w:rPr>
      </w:pPr>
      <w:r w:rsidRPr="00081EDD">
        <w:rPr>
          <w:rStyle w:val="Appelnotedebasdep"/>
        </w:rPr>
        <w:footnoteRef/>
      </w:r>
      <w:r>
        <w:rPr>
          <w:lang w:val="en-CA"/>
        </w:rPr>
        <w:tab/>
      </w:r>
      <w:r w:rsidRPr="00C92F30">
        <w:rPr>
          <w:lang w:val="en-CA"/>
        </w:rPr>
        <w:t>Ibid. p. 31.</w:t>
      </w:r>
    </w:p>
  </w:footnote>
  <w:footnote w:id="788">
    <w:p w:rsidR="004C50DC" w:rsidRPr="00C92F30" w:rsidRDefault="004C50DC" w:rsidP="004C50DC">
      <w:pPr>
        <w:pStyle w:val="Notedebasdepage"/>
        <w:rPr>
          <w:lang w:val="es-DO"/>
        </w:rPr>
      </w:pPr>
      <w:r w:rsidRPr="00081EDD">
        <w:rPr>
          <w:rStyle w:val="Appelnotedebasdep"/>
        </w:rPr>
        <w:footnoteRef/>
      </w:r>
      <w:r>
        <w:rPr>
          <w:lang w:val="es-DO"/>
        </w:rPr>
        <w:tab/>
      </w:r>
      <w:r w:rsidRPr="00C92F30">
        <w:rPr>
          <w:lang w:val="es-DO"/>
        </w:rPr>
        <w:t xml:space="preserve">Rémy Bastien, op. cit., p. 22. </w:t>
      </w:r>
    </w:p>
  </w:footnote>
  <w:footnote w:id="789">
    <w:p w:rsidR="004C50DC" w:rsidRPr="00C92F30" w:rsidRDefault="004C50DC" w:rsidP="004C50DC">
      <w:pPr>
        <w:pStyle w:val="Notedebasdepage"/>
        <w:rPr>
          <w:lang w:val="es-DO"/>
        </w:rPr>
      </w:pPr>
      <w:r w:rsidRPr="00081EDD">
        <w:rPr>
          <w:rStyle w:val="Appelnotedebasdep"/>
        </w:rPr>
        <w:footnoteRef/>
      </w:r>
      <w:r>
        <w:rPr>
          <w:lang w:val="es-DO"/>
        </w:rPr>
        <w:tab/>
      </w:r>
      <w:r w:rsidRPr="00081EDD">
        <w:rPr>
          <w:i/>
          <w:lang w:val="es-DO"/>
        </w:rPr>
        <w:t>Ibid</w:t>
      </w:r>
      <w:r w:rsidRPr="00C92F30">
        <w:rPr>
          <w:lang w:val="es-DO"/>
        </w:rPr>
        <w:t>.</w:t>
      </w:r>
    </w:p>
  </w:footnote>
  <w:footnote w:id="790">
    <w:p w:rsidR="004C50DC" w:rsidRDefault="004C50DC">
      <w:pPr>
        <w:pStyle w:val="Notedebasdepage"/>
      </w:pPr>
      <w:r>
        <w:rPr>
          <w:rStyle w:val="Appelnotedebasdep"/>
        </w:rPr>
        <w:footnoteRef/>
      </w:r>
      <w:r>
        <w:t xml:space="preserve"> </w:t>
      </w:r>
      <w:r>
        <w:tab/>
      </w:r>
      <w:r w:rsidRPr="00C92F30">
        <w:rPr>
          <w:rStyle w:val="lev"/>
          <w:b w:val="0"/>
          <w:bCs/>
          <w:bdr w:val="none" w:sz="0" w:space="0" w:color="auto" w:frame="1"/>
          <w:lang w:val="fr-FR"/>
        </w:rPr>
        <w:t xml:space="preserve">Yves-Michel Thomas, </w:t>
      </w:r>
      <w:r w:rsidRPr="00C92F30">
        <w:rPr>
          <w:lang w:val="fr-FR"/>
        </w:rPr>
        <w:t xml:space="preserve">« Reconstruction d’Haïti, (re-)construire l’État », en ligne, </w:t>
      </w:r>
      <w:hyperlink r:id="rId109" w:history="1">
        <w:r w:rsidRPr="00C92F30">
          <w:rPr>
            <w:rStyle w:val="Lienhypertexte"/>
            <w:lang w:val="fr-FR"/>
          </w:rPr>
          <w:t>http://histoireengagee.ca/reconstruction-d%E2%80%99haiti-re-construire-l%E2%80%99etat/</w:t>
        </w:r>
      </w:hyperlink>
      <w:r w:rsidRPr="00C92F30">
        <w:rPr>
          <w:lang w:val="fr-FR"/>
        </w:rPr>
        <w:t>, consulté le 21 octobre 2014.</w:t>
      </w:r>
    </w:p>
  </w:footnote>
  <w:footnote w:id="791">
    <w:p w:rsidR="004C50DC" w:rsidRDefault="004C50DC">
      <w:pPr>
        <w:pStyle w:val="Notedebasdepage"/>
      </w:pPr>
      <w:r>
        <w:rPr>
          <w:rStyle w:val="Appelnotedebasdep"/>
        </w:rPr>
        <w:footnoteRef/>
      </w:r>
      <w:r>
        <w:t xml:space="preserve"> </w:t>
      </w:r>
      <w:r>
        <w:tab/>
      </w:r>
      <w:r w:rsidRPr="00C92F30">
        <w:rPr>
          <w:lang w:val="fr-FR"/>
        </w:rPr>
        <w:t xml:space="preserve">Paul Moral, </w:t>
      </w:r>
      <w:r w:rsidRPr="00C92F30">
        <w:rPr>
          <w:i/>
          <w:lang w:val="fr-FR"/>
        </w:rPr>
        <w:t>Le paysan haïtien…, op. cit</w:t>
      </w:r>
      <w:r w:rsidRPr="00C92F30">
        <w:rPr>
          <w:lang w:val="fr-FR"/>
        </w:rPr>
        <w:t>., p. 347.</w:t>
      </w:r>
    </w:p>
  </w:footnote>
  <w:footnote w:id="792">
    <w:p w:rsidR="004C50DC" w:rsidRDefault="004C50DC">
      <w:pPr>
        <w:pStyle w:val="Notedebasdepage"/>
      </w:pPr>
      <w:r>
        <w:rPr>
          <w:rStyle w:val="Appelnotedebasdep"/>
        </w:rPr>
        <w:footnoteRef/>
      </w:r>
      <w:r>
        <w:t xml:space="preserve"> </w:t>
      </w:r>
      <w:r>
        <w:tab/>
      </w:r>
      <w:r w:rsidRPr="00C92F30">
        <w:t>Le Foyer Maurice Sixto est une institution qui vient en aide aux enfants en da</w:t>
      </w:r>
      <w:r w:rsidRPr="00C92F30">
        <w:t>n</w:t>
      </w:r>
      <w:r w:rsidRPr="00C92F30">
        <w:t>ger qui abandonnent leur famille, leur milieu rural, et sont confiés à des fami</w:t>
      </w:r>
      <w:r w:rsidRPr="00C92F30">
        <w:t>l</w:t>
      </w:r>
      <w:r w:rsidRPr="00C92F30">
        <w:t>les en milieux urbains d’Haïti. Installé dans la Commune de Carrefour, ce foyer d’accueil et d’accompagnement est au service des enfants depuis 1989 en mémo</w:t>
      </w:r>
      <w:r w:rsidRPr="00C92F30">
        <w:t>i</w:t>
      </w:r>
      <w:r w:rsidRPr="00C92F30">
        <w:t>re de l’humoriste haïtien Maurice Sixto qui dénonçait dans « Saintanise » la réal</w:t>
      </w:r>
      <w:r w:rsidRPr="00C92F30">
        <w:t>i</w:t>
      </w:r>
      <w:r w:rsidRPr="00C92F30">
        <w:t xml:space="preserve">té des enfants en domesticité en Haïti.  </w:t>
      </w:r>
    </w:p>
  </w:footnote>
  <w:footnote w:id="793">
    <w:p w:rsidR="004C50DC" w:rsidRDefault="004C50DC">
      <w:pPr>
        <w:pStyle w:val="Notedebasdepage"/>
      </w:pPr>
      <w:r>
        <w:rPr>
          <w:rStyle w:val="Appelnotedebasdep"/>
        </w:rPr>
        <w:footnoteRef/>
      </w:r>
      <w:r>
        <w:t xml:space="preserve"> </w:t>
      </w:r>
      <w:r>
        <w:tab/>
      </w:r>
      <w:r w:rsidRPr="00C92F30">
        <w:t xml:space="preserve">L’usage du fouet est aussi répandu pour corriger </w:t>
      </w:r>
      <w:r w:rsidRPr="00C92F30">
        <w:rPr>
          <w:bdr w:val="none" w:sz="0" w:space="0" w:color="auto" w:frame="1"/>
          <w:lang w:eastAsia="en-CA"/>
        </w:rPr>
        <w:t>les enfants légitimes des fami</w:t>
      </w:r>
      <w:r w:rsidRPr="00C92F30">
        <w:rPr>
          <w:bdr w:val="none" w:sz="0" w:space="0" w:color="auto" w:frame="1"/>
          <w:lang w:eastAsia="en-CA"/>
        </w:rPr>
        <w:t>l</w:t>
      </w:r>
      <w:r w:rsidRPr="00C92F30">
        <w:rPr>
          <w:bdr w:val="none" w:sz="0" w:space="0" w:color="auto" w:frame="1"/>
          <w:lang w:eastAsia="en-CA"/>
        </w:rPr>
        <w:t>les haïtiennes.</w:t>
      </w:r>
    </w:p>
  </w:footnote>
  <w:footnote w:id="794">
    <w:p w:rsidR="004C50DC" w:rsidRDefault="004C50DC">
      <w:pPr>
        <w:pStyle w:val="Notedebasdepage"/>
      </w:pPr>
      <w:r>
        <w:rPr>
          <w:rStyle w:val="Appelnotedebasdep"/>
        </w:rPr>
        <w:footnoteRef/>
      </w:r>
      <w:r>
        <w:t xml:space="preserve"> </w:t>
      </w:r>
      <w:r>
        <w:tab/>
      </w:r>
      <w:r w:rsidRPr="00C92F30">
        <w:rPr>
          <w:lang w:val="en-US"/>
        </w:rPr>
        <w:t xml:space="preserve">Thimothy Schwartz, </w:t>
      </w:r>
      <w:r w:rsidRPr="00C92F30">
        <w:rPr>
          <w:lang w:val="en-CA"/>
        </w:rPr>
        <w:t>« The War Between UNICEF and the Orphanages : Battleground Haïti », en ligne,</w:t>
      </w:r>
      <w:r>
        <w:rPr>
          <w:lang w:val="en-CA"/>
        </w:rPr>
        <w:br/>
      </w:r>
      <w:hyperlink r:id="rId110" w:history="1">
        <w:r w:rsidRPr="00C92F30">
          <w:rPr>
            <w:rStyle w:val="Lienhypertexte"/>
            <w:lang w:val="en-CA"/>
          </w:rPr>
          <w:t>http://open.salon.com/blog/timotuck/2014/11/06/big_lies_about_little_people</w:t>
        </w:r>
      </w:hyperlink>
      <w:r w:rsidRPr="00C92F30">
        <w:rPr>
          <w:lang w:val="en-CA"/>
        </w:rPr>
        <w:t>, consulté le 25 mars 2015.</w:t>
      </w:r>
    </w:p>
  </w:footnote>
  <w:footnote w:id="795">
    <w:p w:rsidR="004C50DC" w:rsidRDefault="004C50DC">
      <w:pPr>
        <w:pStyle w:val="Notedebasdepage"/>
      </w:pPr>
      <w:r>
        <w:rPr>
          <w:rStyle w:val="Appelnotedebasdep"/>
        </w:rPr>
        <w:footnoteRef/>
      </w:r>
      <w:r>
        <w:t xml:space="preserve"> </w:t>
      </w:r>
      <w:r>
        <w:tab/>
      </w:r>
      <w:r w:rsidRPr="00C92F30">
        <w:t xml:space="preserve">Selon Thimothy Schwartz, ces organismes </w:t>
      </w:r>
      <w:r w:rsidRPr="00C92F30">
        <w:rPr>
          <w:bdr w:val="none" w:sz="0" w:space="0" w:color="auto" w:frame="1"/>
          <w:lang w:eastAsia="en-CA"/>
        </w:rPr>
        <w:t>soutenaient à l’époque que des e</w:t>
      </w:r>
      <w:r w:rsidRPr="00C92F30">
        <w:rPr>
          <w:bdr w:val="none" w:sz="0" w:space="0" w:color="auto" w:frame="1"/>
          <w:lang w:eastAsia="en-CA"/>
        </w:rPr>
        <w:t>n</w:t>
      </w:r>
      <w:r w:rsidRPr="00C92F30">
        <w:rPr>
          <w:bdr w:val="none" w:sz="0" w:space="0" w:color="auto" w:frame="1"/>
          <w:lang w:eastAsia="en-CA"/>
        </w:rPr>
        <w:t xml:space="preserve">fants étaient vendus pour 50 $, ce qui ne reflétait pas la situation et l’exercice de la domesticité en Haïti ; voir </w:t>
      </w:r>
      <w:r w:rsidRPr="00C92F30">
        <w:t>Thimothy Schwartz, ibid.</w:t>
      </w:r>
    </w:p>
  </w:footnote>
  <w:footnote w:id="796">
    <w:p w:rsidR="004C50DC" w:rsidRDefault="004C50DC">
      <w:pPr>
        <w:pStyle w:val="Notedebasdepage"/>
      </w:pPr>
      <w:r>
        <w:rPr>
          <w:rStyle w:val="Appelnotedebasdep"/>
        </w:rPr>
        <w:footnoteRef/>
      </w:r>
      <w:r>
        <w:t xml:space="preserve"> </w:t>
      </w:r>
      <w:r>
        <w:tab/>
      </w:r>
      <w:r w:rsidRPr="00C92F30">
        <w:rPr>
          <w:lang w:val="fr-FR"/>
        </w:rPr>
        <w:t>Ce chiffre est une estimation de</w:t>
      </w:r>
      <w:r w:rsidRPr="00C92F30">
        <w:t xml:space="preserve"> l’UNICEF, mais l’Institut du bien-être social et de recherches (IBESR), institution étatique compétente, n’est pas en mesure de fournir un chiffre en rapport avec la domesticité des enfants en Haïti. </w:t>
      </w:r>
    </w:p>
  </w:footnote>
  <w:footnote w:id="797">
    <w:p w:rsidR="004C50DC" w:rsidRDefault="004C50DC">
      <w:pPr>
        <w:pStyle w:val="Notedebasdepage"/>
      </w:pPr>
      <w:r>
        <w:rPr>
          <w:rStyle w:val="Appelnotedebasdep"/>
        </w:rPr>
        <w:footnoteRef/>
      </w:r>
      <w:r>
        <w:t xml:space="preserve"> </w:t>
      </w:r>
      <w:r>
        <w:tab/>
      </w:r>
      <w:r w:rsidRPr="00C92F30">
        <w:t xml:space="preserve">Thimothy Schwartz, op. cit. </w:t>
      </w:r>
    </w:p>
  </w:footnote>
  <w:footnote w:id="798">
    <w:p w:rsidR="004C50DC" w:rsidRDefault="004C50DC">
      <w:pPr>
        <w:pStyle w:val="Notedebasdepage"/>
      </w:pPr>
      <w:r>
        <w:rPr>
          <w:rStyle w:val="Appelnotedebasdep"/>
        </w:rPr>
        <w:footnoteRef/>
      </w:r>
      <w:r>
        <w:t xml:space="preserve"> </w:t>
      </w:r>
      <w:r>
        <w:tab/>
      </w:r>
      <w:r w:rsidRPr="00C92F30">
        <w:t xml:space="preserve">Moreau de Saint-Méry, </w:t>
      </w:r>
      <w:r w:rsidRPr="00C92F30">
        <w:rPr>
          <w:i/>
        </w:rPr>
        <w:t>Description de la partie française de l’Isle de Saint-Domingue</w:t>
      </w:r>
      <w:r w:rsidRPr="00C92F30">
        <w:t xml:space="preserve">…, op. cit., tome I, p. 104 ; voir aussi Dorigny et Gainot, </w:t>
      </w:r>
      <w:r w:rsidRPr="00C92F30">
        <w:rPr>
          <w:i/>
        </w:rPr>
        <w:t>Atlas des e</w:t>
      </w:r>
      <w:r w:rsidRPr="00C92F30">
        <w:rPr>
          <w:i/>
        </w:rPr>
        <w:t>s</w:t>
      </w:r>
      <w:r w:rsidRPr="00C92F30">
        <w:rPr>
          <w:i/>
        </w:rPr>
        <w:t>clavages</w:t>
      </w:r>
      <w:r w:rsidRPr="00C92F30">
        <w:t xml:space="preserve">, op. cit., p. 46. </w:t>
      </w:r>
    </w:p>
  </w:footnote>
  <w:footnote w:id="799">
    <w:p w:rsidR="004C50DC" w:rsidRDefault="004C50DC">
      <w:pPr>
        <w:pStyle w:val="Notedebasdepage"/>
      </w:pPr>
      <w:r>
        <w:rPr>
          <w:rStyle w:val="Appelnotedebasdep"/>
        </w:rPr>
        <w:footnoteRef/>
      </w:r>
      <w:r>
        <w:t xml:space="preserve"> </w:t>
      </w:r>
      <w:r>
        <w:tab/>
      </w:r>
      <w:r w:rsidRPr="00C92F30">
        <w:t>Moreau de Saint-Méry</w:t>
      </w:r>
      <w:r w:rsidRPr="00C92F30">
        <w:rPr>
          <w:i/>
        </w:rPr>
        <w:t xml:space="preserve">, </w:t>
      </w:r>
      <w:r w:rsidRPr="00C92F30">
        <w:t>op. cit</w:t>
      </w:r>
      <w:r w:rsidRPr="00C92F30">
        <w:rPr>
          <w:i/>
        </w:rPr>
        <w:t>.,</w:t>
      </w:r>
      <w:r w:rsidRPr="00C92F30">
        <w:t xml:space="preserve"> tome II, p. 106-107 ; voir aussi Dorigny et Gainot, </w:t>
      </w:r>
      <w:r w:rsidRPr="00C92F30">
        <w:rPr>
          <w:i/>
        </w:rPr>
        <w:t>Atlas des esclavages</w:t>
      </w:r>
      <w:r w:rsidRPr="00C92F30">
        <w:t>, op. cit., p. 46</w:t>
      </w:r>
      <w:r w:rsidRPr="00C92F30">
        <w:rPr>
          <w:lang w:eastAsia="fr-FR"/>
        </w:rPr>
        <w:t>.</w:t>
      </w:r>
    </w:p>
  </w:footnote>
  <w:footnote w:id="800">
    <w:p w:rsidR="004C50DC" w:rsidRDefault="004C50DC">
      <w:pPr>
        <w:pStyle w:val="Notedebasdepage"/>
      </w:pPr>
      <w:r>
        <w:rPr>
          <w:rStyle w:val="Appelnotedebasdep"/>
        </w:rPr>
        <w:footnoteRef/>
      </w:r>
      <w:r>
        <w:t xml:space="preserve"> </w:t>
      </w:r>
      <w:r>
        <w:tab/>
      </w:r>
      <w:r w:rsidRPr="00C92F30">
        <w:t>Sanite Bélair (1781-1802), affranchie originaire de Verrettes, révolutio</w:t>
      </w:r>
      <w:r w:rsidRPr="00C92F30">
        <w:t>n</w:t>
      </w:r>
      <w:r w:rsidRPr="00C92F30">
        <w:t>naire et lieutenant de l’armée révolutionnaire de Toussaint Louverture. Elle, était très vindicative et inflexible ; voir Thomas Madiou, Tome II, op. cit., p. 362.</w:t>
      </w:r>
    </w:p>
  </w:footnote>
  <w:footnote w:id="801">
    <w:p w:rsidR="004C50DC" w:rsidRDefault="004C50DC">
      <w:pPr>
        <w:pStyle w:val="Notedebasdepage"/>
      </w:pPr>
      <w:r>
        <w:rPr>
          <w:rStyle w:val="Appelnotedebasdep"/>
        </w:rPr>
        <w:footnoteRef/>
      </w:r>
      <w:r>
        <w:t xml:space="preserve"> </w:t>
      </w:r>
      <w:r>
        <w:tab/>
      </w:r>
      <w:r w:rsidRPr="00C92F30">
        <w:t>Marie-Claire Heureuse Félicité Bonheur Dessalines était originaire de la vi</w:t>
      </w:r>
      <w:r w:rsidRPr="00C92F30">
        <w:t>l</w:t>
      </w:r>
      <w:r w:rsidRPr="00C92F30">
        <w:t>le de Léogane. Mariée avec Jean-Jacques Dessalines en 1800, elle allait devenir impératrice d’Haïti (1804-1806). Elle s’est distinguée durant le siège de Ja</w:t>
      </w:r>
      <w:r w:rsidRPr="00C92F30">
        <w:t>c</w:t>
      </w:r>
      <w:r w:rsidRPr="00C92F30">
        <w:t>mel en 1800 par ses actions humanitaires. En effet, Claire Heureuse donnait aux femmes et aux enfants des vivres, des vêtements et des médicaments et soignait les ble</w:t>
      </w:r>
      <w:r w:rsidRPr="00C92F30">
        <w:t>s</w:t>
      </w:r>
      <w:r w:rsidRPr="00C92F30">
        <w:t xml:space="preserve">sés. À ce sujet, voir Marceau Louis, </w:t>
      </w:r>
      <w:r w:rsidRPr="00C92F30">
        <w:rPr>
          <w:i/>
        </w:rPr>
        <w:t>Marie Claire Heureuse Impératrice d’Haïti</w:t>
      </w:r>
      <w:r w:rsidRPr="00C92F30">
        <w:t>, Port-au-Prince, Les Presses Libres, 1954, p</w:t>
      </w:r>
      <w:r>
        <w:t>p</w:t>
      </w:r>
      <w:r w:rsidRPr="00C92F30">
        <w:t>. 1-19.</w:t>
      </w:r>
    </w:p>
  </w:footnote>
  <w:footnote w:id="802">
    <w:p w:rsidR="004C50DC" w:rsidRDefault="004C50DC">
      <w:pPr>
        <w:pStyle w:val="Notedebasdepage"/>
      </w:pPr>
      <w:r>
        <w:rPr>
          <w:rStyle w:val="Appelnotedebasdep"/>
        </w:rPr>
        <w:footnoteRef/>
      </w:r>
      <w:r>
        <w:t xml:space="preserve"> </w:t>
      </w:r>
      <w:r>
        <w:tab/>
      </w:r>
      <w:r w:rsidRPr="00C92F30">
        <w:t>Jeune mulâtresse, Cécile Fatiman fut la principale prêtresse vodou aux c</w:t>
      </w:r>
      <w:r w:rsidRPr="00C92F30">
        <w:t>ô</w:t>
      </w:r>
      <w:r w:rsidRPr="00C92F30">
        <w:t>tés de Boukman lors de la cérémonie du Bois Caïman. Ce fut elle qui égorgea le c</w:t>
      </w:r>
      <w:r w:rsidRPr="00C92F30">
        <w:t>o</w:t>
      </w:r>
      <w:r w:rsidRPr="00C92F30">
        <w:t xml:space="preserve">chon noir ; voir sur ce sujet Sylviane A. Diouf, </w:t>
      </w:r>
      <w:r w:rsidRPr="00C92F30">
        <w:rPr>
          <w:i/>
        </w:rPr>
        <w:t>Servants of Allah : African M</w:t>
      </w:r>
      <w:r w:rsidRPr="00C92F30">
        <w:rPr>
          <w:i/>
        </w:rPr>
        <w:t>u</w:t>
      </w:r>
      <w:r w:rsidRPr="00C92F30">
        <w:rPr>
          <w:i/>
        </w:rPr>
        <w:t>slims Enslaved in the Americas</w:t>
      </w:r>
      <w:r w:rsidRPr="00C92F30">
        <w:t>, New York, New York University Press, 1998,  p. 229.</w:t>
      </w:r>
    </w:p>
  </w:footnote>
  <w:footnote w:id="803">
    <w:p w:rsidR="004C50DC" w:rsidRDefault="004C50DC">
      <w:pPr>
        <w:pStyle w:val="Notedebasdepage"/>
      </w:pPr>
      <w:r>
        <w:rPr>
          <w:rStyle w:val="Appelnotedebasdep"/>
        </w:rPr>
        <w:footnoteRef/>
      </w:r>
      <w:r>
        <w:t xml:space="preserve"> </w:t>
      </w:r>
      <w:r>
        <w:tab/>
      </w:r>
      <w:r w:rsidRPr="00C92F30">
        <w:t>Catherine Flon était la belle-fille de Marie Claire Heureuse Félicité Bo</w:t>
      </w:r>
      <w:r w:rsidRPr="00C92F30">
        <w:t>n</w:t>
      </w:r>
      <w:r w:rsidRPr="00C92F30">
        <w:t>heur Dessalines. Elle fut chargée de recoudre les deux bandes (bleu et rouge) arr</w:t>
      </w:r>
      <w:r w:rsidRPr="00C92F30">
        <w:t>a</w:t>
      </w:r>
      <w:r w:rsidRPr="00C92F30">
        <w:t xml:space="preserve">chées du drapeau français pour former le drapeau haïtien au Congrès de l’Arcahaie, le 18 mai 1803. </w:t>
      </w:r>
    </w:p>
  </w:footnote>
  <w:footnote w:id="804">
    <w:p w:rsidR="004C50DC" w:rsidRDefault="004C50DC">
      <w:pPr>
        <w:pStyle w:val="Notedebasdepage"/>
      </w:pPr>
      <w:r>
        <w:rPr>
          <w:rStyle w:val="Appelnotedebasdep"/>
        </w:rPr>
        <w:footnoteRef/>
      </w:r>
      <w:r>
        <w:t xml:space="preserve"> </w:t>
      </w:r>
      <w:r>
        <w:tab/>
      </w:r>
      <w:r w:rsidRPr="00C92F30">
        <w:rPr>
          <w:lang w:val="fr-FR"/>
        </w:rPr>
        <w:t xml:space="preserve">Henriette Saint-Marc était une indigène de couleur. Elle avait été accusée d’avoir fourni des armes aux révoltés de l’Arcahaie peu après la déportation de Toussaint </w:t>
      </w:r>
      <w:r w:rsidRPr="00C92F30">
        <w:t>Louverture en 1802 : « elle fut arrêtée et aussitôt condamnée à la peine de mort. Arrachée de la prison, elle fut placée entre deux pelotons de c</w:t>
      </w:r>
      <w:r w:rsidRPr="00C92F30">
        <w:t>a</w:t>
      </w:r>
      <w:r w:rsidRPr="00C92F30">
        <w:t>rabiniers européens, et conduite, suivie de son cercueil, sur la place du ma</w:t>
      </w:r>
      <w:r w:rsidRPr="00C92F30">
        <w:t>r</w:t>
      </w:r>
      <w:r w:rsidRPr="00C92F30">
        <w:t>ché, vis-à-vis de l’église. À dix heures du matin, en présence d’un peuple i</w:t>
      </w:r>
      <w:r w:rsidRPr="00C92F30">
        <w:t>m</w:t>
      </w:r>
      <w:r w:rsidRPr="00C92F30">
        <w:t>mense, une potence fut dressée sous ses yeux. Elle monta sur l’échafaud avec courage. Quand son cadavre se balança dans l’air, un cri lugubre, des sanglots éclatèrent dans la foule. Les femmes abandonnèrent le marché, saisies d’horreur... »</w:t>
      </w:r>
      <w:r w:rsidRPr="00C92F30">
        <w:rPr>
          <w:lang w:val="fr-FR"/>
        </w:rPr>
        <w:t xml:space="preserve"> ; </w:t>
      </w:r>
      <w:r w:rsidRPr="00C92F30">
        <w:t>Madiou, tome II, op.cit, p. 394.</w:t>
      </w:r>
    </w:p>
  </w:footnote>
  <w:footnote w:id="805">
    <w:p w:rsidR="004C50DC" w:rsidRDefault="004C50DC">
      <w:pPr>
        <w:pStyle w:val="Notedebasdepage"/>
      </w:pPr>
      <w:r>
        <w:rPr>
          <w:rStyle w:val="Appelnotedebasdep"/>
        </w:rPr>
        <w:footnoteRef/>
      </w:r>
      <w:r>
        <w:t xml:space="preserve"> </w:t>
      </w:r>
      <w:r>
        <w:tab/>
      </w:r>
      <w:r w:rsidRPr="00C92F30">
        <w:t xml:space="preserve">Laënnec Hurbon, </w:t>
      </w:r>
      <w:hyperlink r:id="rId111" w:history="1">
        <w:r w:rsidRPr="00C92F30">
          <w:rPr>
            <w:rStyle w:val="Lienhypertexte"/>
            <w:i/>
          </w:rPr>
          <w:t>L'insurrection des esclaves de Saint-Domingue</w:t>
        </w:r>
      </w:hyperlink>
      <w:r w:rsidRPr="00C92F30">
        <w:t xml:space="preserve">, op. cit., p. 33. </w:t>
      </w:r>
    </w:p>
  </w:footnote>
  <w:footnote w:id="806">
    <w:p w:rsidR="004C50DC" w:rsidRDefault="004C50DC">
      <w:pPr>
        <w:pStyle w:val="Notedebasdepage"/>
      </w:pPr>
      <w:r>
        <w:rPr>
          <w:rStyle w:val="Appelnotedebasdep"/>
        </w:rPr>
        <w:footnoteRef/>
      </w:r>
      <w:r>
        <w:t xml:space="preserve"> </w:t>
      </w:r>
      <w:r>
        <w:tab/>
      </w:r>
      <w:r w:rsidRPr="00C92F30">
        <w:t xml:space="preserve">Voir Evelyne Trouillot, </w:t>
      </w:r>
      <w:r w:rsidRPr="00C92F30">
        <w:rPr>
          <w:i/>
        </w:rPr>
        <w:t>Rosalie l’infâme</w:t>
      </w:r>
      <w:r w:rsidRPr="00C92F30">
        <w:t>, Paris, Dapper, 2003, p. 71.</w:t>
      </w:r>
    </w:p>
  </w:footnote>
  <w:footnote w:id="807">
    <w:p w:rsidR="004C50DC" w:rsidRDefault="004C50DC">
      <w:pPr>
        <w:pStyle w:val="Notedebasdepage"/>
      </w:pPr>
      <w:r>
        <w:rPr>
          <w:rStyle w:val="Appelnotedebasdep"/>
        </w:rPr>
        <w:footnoteRef/>
      </w:r>
      <w:r>
        <w:t xml:space="preserve"> </w:t>
      </w:r>
      <w:r>
        <w:tab/>
      </w:r>
      <w:r w:rsidRPr="00C92F30">
        <w:rPr>
          <w:lang w:eastAsia="fr-FR"/>
        </w:rPr>
        <w:t>Dorigny et Gainot, op. cit, p. 46.</w:t>
      </w:r>
    </w:p>
  </w:footnote>
  <w:footnote w:id="808">
    <w:p w:rsidR="004C50DC" w:rsidRDefault="004C50DC">
      <w:pPr>
        <w:pStyle w:val="Notedebasdepage"/>
      </w:pPr>
      <w:r>
        <w:rPr>
          <w:rStyle w:val="Appelnotedebasdep"/>
        </w:rPr>
        <w:footnoteRef/>
      </w:r>
      <w:r>
        <w:t xml:space="preserve"> </w:t>
      </w:r>
      <w:r>
        <w:tab/>
      </w:r>
      <w:r w:rsidRPr="00C92F30">
        <w:t xml:space="preserve">Beaubrun Ardouin, </w:t>
      </w:r>
      <w:r w:rsidRPr="00C92F30">
        <w:rPr>
          <w:i/>
          <w:lang w:eastAsia="fr-FR"/>
        </w:rPr>
        <w:t>Études sur l’histoire d’Haïti,</w:t>
      </w:r>
      <w:r w:rsidRPr="00C92F30">
        <w:rPr>
          <w:lang w:eastAsia="fr-FR"/>
        </w:rPr>
        <w:t xml:space="preserve"> tome dixième, Paris, Dez</w:t>
      </w:r>
      <w:r w:rsidRPr="00C92F30">
        <w:rPr>
          <w:lang w:eastAsia="fr-FR"/>
        </w:rPr>
        <w:t>o</w:t>
      </w:r>
      <w:r w:rsidRPr="00C92F30">
        <w:rPr>
          <w:lang w:eastAsia="fr-FR"/>
        </w:rPr>
        <w:t>bry et E. Magdeleine, 1860</w:t>
      </w:r>
      <w:r w:rsidRPr="00C92F30">
        <w:t>, p. 25. Cette citation a été reprise par Leslie Fra</w:t>
      </w:r>
      <w:r w:rsidRPr="00C92F30">
        <w:t>n</w:t>
      </w:r>
      <w:r w:rsidRPr="00C92F30">
        <w:t xml:space="preserve">çois Manigat, </w:t>
      </w:r>
      <w:r w:rsidRPr="00C92F30">
        <w:rPr>
          <w:i/>
        </w:rPr>
        <w:t>La révolution de 1843. Essai d’analyse historique d’une conjoncture de crise</w:t>
      </w:r>
      <w:r w:rsidRPr="00C92F30">
        <w:t>, Port-au-Prince, Centre « Humanisme démocratique en a</w:t>
      </w:r>
      <w:r w:rsidRPr="00C92F30">
        <w:t>c</w:t>
      </w:r>
      <w:r w:rsidRPr="00C92F30">
        <w:t>tion », 1997, p. 20.</w:t>
      </w:r>
    </w:p>
  </w:footnote>
  <w:footnote w:id="809">
    <w:p w:rsidR="004C50DC" w:rsidRPr="00C92F30" w:rsidRDefault="004C50DC" w:rsidP="004C50DC">
      <w:pPr>
        <w:pStyle w:val="Notedebasdepage"/>
      </w:pPr>
      <w:r w:rsidRPr="00081EDD">
        <w:rPr>
          <w:rStyle w:val="Appelnotedebasdep"/>
        </w:rPr>
        <w:footnoteRef/>
      </w:r>
      <w:r>
        <w:tab/>
      </w:r>
      <w:r w:rsidRPr="00C92F30">
        <w:t xml:space="preserve">Le </w:t>
      </w:r>
      <w:r w:rsidRPr="00C92F30">
        <w:rPr>
          <w:i/>
        </w:rPr>
        <w:t>lucayo</w:t>
      </w:r>
      <w:r w:rsidRPr="00C92F30">
        <w:t xml:space="preserve"> est une langue des Caraïbes parlée particulièrement aux îles des L</w:t>
      </w:r>
      <w:r w:rsidRPr="00C92F30">
        <w:t>u</w:t>
      </w:r>
      <w:r w:rsidRPr="00C92F30">
        <w:t xml:space="preserve">cayes. Le </w:t>
      </w:r>
      <w:r w:rsidRPr="00C92F30">
        <w:rPr>
          <w:i/>
        </w:rPr>
        <w:t>marcorix</w:t>
      </w:r>
      <w:r w:rsidRPr="00C92F30">
        <w:t xml:space="preserve"> est la langue dominante des Taïnos ; sur ce sujet, voir Jean Fouchard, </w:t>
      </w:r>
      <w:r w:rsidRPr="00C92F30">
        <w:rPr>
          <w:i/>
        </w:rPr>
        <w:t>Langue et littérature des Aborigènes d’Ayiti</w:t>
      </w:r>
      <w:r w:rsidRPr="00C92F30">
        <w:t xml:space="preserve">, Paris, L’École, 1972, chap. 2 et 3. </w:t>
      </w:r>
    </w:p>
  </w:footnote>
  <w:footnote w:id="810">
    <w:p w:rsidR="004C50DC" w:rsidRDefault="004C50DC">
      <w:pPr>
        <w:pStyle w:val="Notedebasdepage"/>
      </w:pPr>
      <w:r>
        <w:rPr>
          <w:rStyle w:val="Appelnotedebasdep"/>
        </w:rPr>
        <w:footnoteRef/>
      </w:r>
      <w:r>
        <w:t xml:space="preserve"> </w:t>
      </w:r>
      <w:r>
        <w:tab/>
      </w:r>
      <w:r w:rsidRPr="00C92F30">
        <w:t>Voir Moreau de Saint-Méry, op. cit., 1958, p</w:t>
      </w:r>
      <w:r>
        <w:t>p</w:t>
      </w:r>
      <w:r w:rsidRPr="00C92F30">
        <w:t>. 80-81.</w:t>
      </w:r>
    </w:p>
  </w:footnote>
  <w:footnote w:id="811">
    <w:p w:rsidR="004C50DC" w:rsidRDefault="004C50DC">
      <w:pPr>
        <w:pStyle w:val="Notedebasdepage"/>
      </w:pPr>
      <w:r>
        <w:rPr>
          <w:rStyle w:val="Appelnotedebasdep"/>
        </w:rPr>
        <w:footnoteRef/>
      </w:r>
      <w:r>
        <w:t xml:space="preserve"> </w:t>
      </w:r>
      <w:r>
        <w:tab/>
      </w:r>
      <w:r w:rsidRPr="00C92F30">
        <w:rPr>
          <w:lang w:eastAsia="ja-JP"/>
        </w:rPr>
        <w:t>C’est le peuple majoritaire du Nord-Ouest du Nigéria qui a vendu beaucoup de captifs lors de la Traite négrière transatlantique. Est-ce cette mémoire do</w:t>
      </w:r>
      <w:r w:rsidRPr="00C92F30">
        <w:rPr>
          <w:lang w:eastAsia="ja-JP"/>
        </w:rPr>
        <w:t>u</w:t>
      </w:r>
      <w:r w:rsidRPr="00C92F30">
        <w:rPr>
          <w:lang w:eastAsia="ja-JP"/>
        </w:rPr>
        <w:t>lo</w:t>
      </w:r>
      <w:r w:rsidRPr="00C92F30">
        <w:rPr>
          <w:lang w:eastAsia="ja-JP"/>
        </w:rPr>
        <w:t>u</w:t>
      </w:r>
      <w:r w:rsidRPr="00C92F30">
        <w:rPr>
          <w:lang w:eastAsia="ja-JP"/>
        </w:rPr>
        <w:t>reuse qui a fait du nom de ce peuple une injure en Haïti ?</w:t>
      </w:r>
    </w:p>
  </w:footnote>
  <w:footnote w:id="812">
    <w:p w:rsidR="004C50DC" w:rsidRPr="00C92F30" w:rsidRDefault="004C50DC" w:rsidP="004C50DC">
      <w:pPr>
        <w:pStyle w:val="Notedebasdepage"/>
      </w:pPr>
      <w:r w:rsidRPr="00081EDD">
        <w:rPr>
          <w:rStyle w:val="Appelnotedebasdep"/>
        </w:rPr>
        <w:footnoteRef/>
      </w:r>
      <w:r>
        <w:tab/>
      </w:r>
      <w:r w:rsidRPr="00C92F30">
        <w:t>Les Tomas sont une ethnie de l’Afrique de l’Ouest. Ils sont pour la plupart chr</w:t>
      </w:r>
      <w:r w:rsidRPr="00C92F30">
        <w:t>é</w:t>
      </w:r>
      <w:r w:rsidRPr="00C92F30">
        <w:t>tiens. On les rencontre généralement au Libéria et en Guinée-Bissau.</w:t>
      </w:r>
    </w:p>
  </w:footnote>
  <w:footnote w:id="813">
    <w:p w:rsidR="004C50DC" w:rsidRPr="00C92F30" w:rsidRDefault="004C50DC" w:rsidP="004C50DC">
      <w:pPr>
        <w:pStyle w:val="Notedebasdepage"/>
      </w:pPr>
      <w:r w:rsidRPr="00081EDD">
        <w:rPr>
          <w:rStyle w:val="Appelnotedebasdep"/>
        </w:rPr>
        <w:footnoteRef/>
      </w:r>
      <w:r>
        <w:tab/>
      </w:r>
      <w:r w:rsidRPr="00C92F30">
        <w:t>Yves Déjean, cité par Michel Hector, « Les traits d’un protonationalisme p</w:t>
      </w:r>
      <w:r w:rsidRPr="00C92F30">
        <w:t>o</w:t>
      </w:r>
      <w:r w:rsidRPr="00C92F30">
        <w:t xml:space="preserve">pulaire », dans Laënnec Hurbon (dir.), </w:t>
      </w:r>
      <w:r w:rsidRPr="00C92F30">
        <w:rPr>
          <w:i/>
        </w:rPr>
        <w:t>L’insurrection des esclaves de Saint-Domingue</w:t>
      </w:r>
      <w:r w:rsidRPr="00C92F30">
        <w:t>…, op. cit., p. 182.</w:t>
      </w:r>
    </w:p>
  </w:footnote>
  <w:footnote w:id="814">
    <w:p w:rsidR="004C50DC" w:rsidRPr="00C92F30" w:rsidRDefault="004C50DC" w:rsidP="004C50DC">
      <w:pPr>
        <w:pStyle w:val="Notedebasdepage"/>
      </w:pPr>
      <w:r w:rsidRPr="00081EDD">
        <w:rPr>
          <w:rStyle w:val="Appelnotedebasdep"/>
        </w:rPr>
        <w:footnoteRef/>
      </w:r>
      <w:r>
        <w:tab/>
      </w:r>
      <w:r w:rsidRPr="00C92F30">
        <w:t>Ibid., p. 183.</w:t>
      </w:r>
    </w:p>
  </w:footnote>
  <w:footnote w:id="815">
    <w:p w:rsidR="004C50DC" w:rsidRPr="00C92F30" w:rsidRDefault="004C50DC" w:rsidP="004C50DC">
      <w:pPr>
        <w:pStyle w:val="Notedebasdepage"/>
      </w:pPr>
      <w:r w:rsidRPr="00081EDD">
        <w:rPr>
          <w:rStyle w:val="Appelnotedebasdep"/>
        </w:rPr>
        <w:footnoteRef/>
      </w:r>
      <w:r>
        <w:tab/>
      </w:r>
      <w:r w:rsidRPr="00C92F30">
        <w:t xml:space="preserve">Jean Fouchard, </w:t>
      </w:r>
      <w:r w:rsidRPr="00C92F30">
        <w:rPr>
          <w:i/>
        </w:rPr>
        <w:t>Les marrons de la liberté</w:t>
      </w:r>
      <w:r w:rsidRPr="00C92F30">
        <w:t>, Port-au-Prince, Henri Deschamps, 1988, p. 41-42.</w:t>
      </w:r>
    </w:p>
  </w:footnote>
  <w:footnote w:id="816">
    <w:p w:rsidR="004C50DC" w:rsidRPr="00C92F30" w:rsidRDefault="004C50DC" w:rsidP="004C50DC">
      <w:pPr>
        <w:pStyle w:val="Notedebasdepage"/>
      </w:pPr>
      <w:r w:rsidRPr="00081EDD">
        <w:rPr>
          <w:rStyle w:val="Appelnotedebasdep"/>
        </w:rPr>
        <w:footnoteRef/>
      </w:r>
      <w:r>
        <w:tab/>
      </w:r>
      <w:r w:rsidRPr="00C92F30">
        <w:t>Moreau de Saint-Méry, 1958, op. cit., p. 81.</w:t>
      </w:r>
    </w:p>
  </w:footnote>
  <w:footnote w:id="817">
    <w:p w:rsidR="004C50DC" w:rsidRPr="00C92F30" w:rsidRDefault="004C50DC" w:rsidP="004C50DC">
      <w:pPr>
        <w:pStyle w:val="Notedebasdepage"/>
      </w:pPr>
      <w:r w:rsidRPr="00081EDD">
        <w:rPr>
          <w:rStyle w:val="Appelnotedebasdep"/>
        </w:rPr>
        <w:footnoteRef/>
      </w:r>
      <w:r>
        <w:tab/>
      </w:r>
      <w:r w:rsidRPr="00C92F30">
        <w:t>Pour la traduction, voir, en ligne, http://www.potomitan.info/atelier/lisette.php</w:t>
      </w:r>
    </w:p>
  </w:footnote>
  <w:footnote w:id="818">
    <w:p w:rsidR="004C50DC" w:rsidRPr="00C92F30" w:rsidRDefault="004C50DC" w:rsidP="004C50DC">
      <w:pPr>
        <w:pStyle w:val="Notedebasdepage"/>
      </w:pPr>
      <w:r w:rsidRPr="00081EDD">
        <w:rPr>
          <w:rStyle w:val="Appelnotedebasdep"/>
        </w:rPr>
        <w:footnoteRef/>
      </w:r>
      <w:r>
        <w:tab/>
      </w:r>
      <w:r w:rsidRPr="00C92F30">
        <w:t xml:space="preserve">Michel Étienne Descourtilz, </w:t>
      </w:r>
      <w:r w:rsidRPr="00C92F30">
        <w:rPr>
          <w:i/>
        </w:rPr>
        <w:t>Voyage d’un naturaliste</w:t>
      </w:r>
      <w:r w:rsidRPr="00C92F30">
        <w:t>, Tome III, Paris, Dufart Père, 1809, p</w:t>
      </w:r>
      <w:r>
        <w:t>p</w:t>
      </w:r>
      <w:r w:rsidRPr="00C92F30">
        <w:t xml:space="preserve">. 135-136. </w:t>
      </w:r>
    </w:p>
  </w:footnote>
  <w:footnote w:id="819">
    <w:p w:rsidR="004C50DC" w:rsidRPr="00C92F30" w:rsidRDefault="004C50DC" w:rsidP="004C50DC">
      <w:pPr>
        <w:pStyle w:val="Notedebasdepage"/>
      </w:pPr>
      <w:r w:rsidRPr="00081EDD">
        <w:rPr>
          <w:rStyle w:val="Appelnotedebasdep"/>
        </w:rPr>
        <w:footnoteRef/>
      </w:r>
      <w:r>
        <w:tab/>
      </w:r>
      <w:r w:rsidRPr="00C92F30">
        <w:t xml:space="preserve">Justin-Chrysostome Dorsainvil, </w:t>
      </w:r>
      <w:r w:rsidRPr="00C92F30">
        <w:rPr>
          <w:i/>
        </w:rPr>
        <w:t>L’échec d’hier et l’effort pour l’avenir</w:t>
      </w:r>
      <w:r w:rsidRPr="00C92F30">
        <w:t>, Port-au-Prince, Imprimerie H. Amblard, 1915, p. 19 cité par Léon-François Hof</w:t>
      </w:r>
      <w:r w:rsidRPr="00C92F30">
        <w:t>f</w:t>
      </w:r>
      <w:r w:rsidRPr="00C92F30">
        <w:t>mann, « La langue française et le danger états-unien en Haïti », dans Christi</w:t>
      </w:r>
      <w:r w:rsidRPr="00C92F30">
        <w:t>a</w:t>
      </w:r>
      <w:r w:rsidRPr="00C92F30">
        <w:t xml:space="preserve">ne Albert (dir.), </w:t>
      </w:r>
      <w:r w:rsidRPr="00C92F30">
        <w:rPr>
          <w:i/>
        </w:rPr>
        <w:t>Francophonie et identités culturelles</w:t>
      </w:r>
      <w:r w:rsidRPr="00C92F30">
        <w:t>, Paris, Karth</w:t>
      </w:r>
      <w:r w:rsidRPr="00C92F30">
        <w:t>a</w:t>
      </w:r>
      <w:r w:rsidRPr="00C92F30">
        <w:t>la, 1999, p. 55.</w:t>
      </w:r>
    </w:p>
  </w:footnote>
  <w:footnote w:id="820">
    <w:p w:rsidR="004C50DC" w:rsidRPr="00C92F30" w:rsidRDefault="004C50DC" w:rsidP="004C50DC">
      <w:pPr>
        <w:pStyle w:val="Notedebasdepage"/>
      </w:pPr>
      <w:r w:rsidRPr="00081EDD">
        <w:rPr>
          <w:rStyle w:val="Appelnotedebasdep"/>
        </w:rPr>
        <w:footnoteRef/>
      </w:r>
      <w:r>
        <w:tab/>
      </w:r>
      <w:r w:rsidRPr="00C92F30">
        <w:t xml:space="preserve">Jean Price-Mars, « Interview », </w:t>
      </w:r>
      <w:r w:rsidRPr="00C92F30">
        <w:rPr>
          <w:i/>
        </w:rPr>
        <w:t>Rond-Point</w:t>
      </w:r>
      <w:r w:rsidRPr="00C92F30">
        <w:t>, Port-au-Prince, juillet 1962, cité par Léon-François Hoffmann, ibid., p. 57.</w:t>
      </w:r>
    </w:p>
  </w:footnote>
  <w:footnote w:id="821">
    <w:p w:rsidR="004C50DC" w:rsidRDefault="004C50DC">
      <w:pPr>
        <w:pStyle w:val="Notedebasdepage"/>
      </w:pPr>
      <w:r>
        <w:rPr>
          <w:rStyle w:val="Appelnotedebasdep"/>
        </w:rPr>
        <w:footnoteRef/>
      </w:r>
      <w:r>
        <w:t xml:space="preserve"> </w:t>
      </w:r>
      <w:r>
        <w:tab/>
      </w:r>
      <w:r w:rsidRPr="00C92F30">
        <w:t xml:space="preserve">Louis-Joseph Janvier, </w:t>
      </w:r>
      <w:r w:rsidRPr="00C92F30">
        <w:rPr>
          <w:i/>
        </w:rPr>
        <w:t xml:space="preserve">Les Détracteurs de la race noire et de la République d’Haïti (Réponse à Léo Quesnel), </w:t>
      </w:r>
      <w:r w:rsidRPr="00C92F30">
        <w:t>Paris, Marpon et Flammarion, 1882, p. 27, en ligne,</w:t>
      </w:r>
      <w:r>
        <w:t xml:space="preserve"> </w:t>
      </w:r>
      <w:hyperlink r:id="rId112" w:history="1">
        <w:r w:rsidRPr="00C92F30">
          <w:rPr>
            <w:rStyle w:val="Lienhypertexte"/>
          </w:rPr>
          <w:t>https://books.google.ca/books</w:t>
        </w:r>
      </w:hyperlink>
      <w:r w:rsidRPr="00C92F30">
        <w:t xml:space="preserve">?, consulté le 17 octobre 2015. Cette citation a été reprise dans Laënnec Hurbon, </w:t>
      </w:r>
      <w:r w:rsidRPr="00C92F30">
        <w:rPr>
          <w:i/>
        </w:rPr>
        <w:t>Le barbare imaginaire</w:t>
      </w:r>
      <w:r w:rsidRPr="00C92F30">
        <w:t xml:space="preserve">, op. cit., p. 59. </w:t>
      </w:r>
    </w:p>
  </w:footnote>
  <w:footnote w:id="822">
    <w:p w:rsidR="004C50DC" w:rsidRDefault="004C50DC">
      <w:pPr>
        <w:pStyle w:val="Notedebasdepage"/>
      </w:pPr>
      <w:r>
        <w:rPr>
          <w:rStyle w:val="Appelnotedebasdep"/>
        </w:rPr>
        <w:footnoteRef/>
      </w:r>
      <w:r>
        <w:t xml:space="preserve"> </w:t>
      </w:r>
      <w:r>
        <w:tab/>
      </w:r>
      <w:r w:rsidRPr="00C92F30">
        <w:t>Euridice Figueiredo, « Répéter les clichés ? Représentations d’Haïti et du Br</w:t>
      </w:r>
      <w:r w:rsidRPr="00C92F30">
        <w:t>é</w:t>
      </w:r>
      <w:r w:rsidRPr="00C92F30">
        <w:t xml:space="preserve">sil dans la littérature migrante du Québec », dans Kathleen Gyssels, Isabel Hoving et Maggie Ann Bowers, </w:t>
      </w:r>
      <w:r w:rsidRPr="00C92F30">
        <w:rPr>
          <w:i/>
        </w:rPr>
        <w:t>Convergences and Interfaces : Newness in I</w:t>
      </w:r>
      <w:r w:rsidRPr="00C92F30">
        <w:rPr>
          <w:i/>
        </w:rPr>
        <w:t>n</w:t>
      </w:r>
      <w:r w:rsidRPr="00C92F30">
        <w:rPr>
          <w:i/>
        </w:rPr>
        <w:t>tercultural Practices</w:t>
      </w:r>
      <w:r w:rsidRPr="00C92F30">
        <w:t xml:space="preserve">… </w:t>
      </w:r>
      <w:r w:rsidRPr="00C92F30">
        <w:rPr>
          <w:i/>
          <w:lang w:val="en-US"/>
        </w:rPr>
        <w:t>Écritures d’une ère/aire</w:t>
      </w:r>
      <w:r w:rsidRPr="00C92F30">
        <w:rPr>
          <w:lang w:val="en-US"/>
        </w:rPr>
        <w:t>, Thamyris/Intersecting, n</w:t>
      </w:r>
      <w:r w:rsidRPr="00C92F30">
        <w:rPr>
          <w:vertAlign w:val="superscript"/>
          <w:lang w:val="en-US"/>
        </w:rPr>
        <w:t>o</w:t>
      </w:r>
      <w:r w:rsidRPr="00C92F30">
        <w:rPr>
          <w:lang w:val="en-US"/>
        </w:rPr>
        <w:t xml:space="preserve"> 8, Amsterdam, Rodopi, 2001, p. 224. </w:t>
      </w:r>
      <w:r w:rsidRPr="00C92F30">
        <w:t>En fait, l’auteur reprend les idées de Laë</w:t>
      </w:r>
      <w:r w:rsidRPr="00C92F30">
        <w:t>n</w:t>
      </w:r>
      <w:r w:rsidRPr="00C92F30">
        <w:t>nec Hurbon dév</w:t>
      </w:r>
      <w:r w:rsidRPr="00C92F30">
        <w:t>e</w:t>
      </w:r>
      <w:r w:rsidRPr="00C92F30">
        <w:t xml:space="preserve">loppées dans son ouvrage </w:t>
      </w:r>
      <w:r w:rsidRPr="00C92F30">
        <w:rPr>
          <w:i/>
        </w:rPr>
        <w:t>Le barbare imaginaire</w:t>
      </w:r>
      <w:r w:rsidRPr="00C92F30">
        <w:t>, op. cit., p</w:t>
      </w:r>
      <w:r>
        <w:t>p</w:t>
      </w:r>
      <w:r w:rsidRPr="00C92F30">
        <w:t>. 59-61.</w:t>
      </w:r>
    </w:p>
  </w:footnote>
  <w:footnote w:id="823">
    <w:p w:rsidR="004C50DC" w:rsidRDefault="004C50DC">
      <w:pPr>
        <w:pStyle w:val="Notedebasdepage"/>
      </w:pPr>
      <w:r>
        <w:rPr>
          <w:rStyle w:val="Appelnotedebasdep"/>
        </w:rPr>
        <w:footnoteRef/>
      </w:r>
      <w:r>
        <w:t xml:space="preserve"> </w:t>
      </w:r>
      <w:r>
        <w:tab/>
      </w:r>
      <w:r w:rsidRPr="00C92F30">
        <w:rPr>
          <w:lang w:val="fr-FR" w:eastAsia="en-CA"/>
        </w:rPr>
        <w:t>« Le français est la langue officielle. Son emploi est obligatoire en matière administrative et judiciaire » (article 24, Constitution de 1918).</w:t>
      </w:r>
    </w:p>
  </w:footnote>
  <w:footnote w:id="824">
    <w:p w:rsidR="004C50DC" w:rsidRDefault="004C50DC">
      <w:pPr>
        <w:pStyle w:val="Notedebasdepage"/>
      </w:pPr>
      <w:r>
        <w:rPr>
          <w:rStyle w:val="Appelnotedebasdep"/>
        </w:rPr>
        <w:footnoteRef/>
      </w:r>
      <w:r>
        <w:t xml:space="preserve"> </w:t>
      </w:r>
      <w:r>
        <w:tab/>
      </w:r>
      <w:r w:rsidRPr="00C92F30">
        <w:rPr>
          <w:lang w:val="fr-FR" w:eastAsia="en-CA"/>
        </w:rPr>
        <w:t>« Le français est la langue officielle. Son emploi est obligatoire dans les serv</w:t>
      </w:r>
      <w:r w:rsidRPr="00C92F30">
        <w:rPr>
          <w:lang w:val="fr-FR" w:eastAsia="en-CA"/>
        </w:rPr>
        <w:t>i</w:t>
      </w:r>
      <w:r w:rsidRPr="00C92F30">
        <w:rPr>
          <w:lang w:val="fr-FR" w:eastAsia="en-CA"/>
        </w:rPr>
        <w:t>ces publics. Néanmoins, la Loi détermine les cas et les conditions dans le</w:t>
      </w:r>
      <w:r w:rsidRPr="00C92F30">
        <w:rPr>
          <w:lang w:val="fr-FR" w:eastAsia="en-CA"/>
        </w:rPr>
        <w:t>s</w:t>
      </w:r>
      <w:r w:rsidRPr="00C92F30">
        <w:rPr>
          <w:lang w:val="fr-FR" w:eastAsia="en-CA"/>
        </w:rPr>
        <w:t>quels l’usage du créole est permis et même recommandé pour la sauvegarde des intérêts matériels et moraux des citoyens qui ne connaissent pas suff</w:t>
      </w:r>
      <w:r w:rsidRPr="00C92F30">
        <w:rPr>
          <w:lang w:val="fr-FR" w:eastAsia="en-CA"/>
        </w:rPr>
        <w:t>i</w:t>
      </w:r>
      <w:r w:rsidRPr="00C92F30">
        <w:rPr>
          <w:lang w:val="fr-FR" w:eastAsia="en-CA"/>
        </w:rPr>
        <w:t>samment la langue française » (article 35 de la Constitution de 1964).</w:t>
      </w:r>
    </w:p>
  </w:footnote>
  <w:footnote w:id="825">
    <w:p w:rsidR="004C50DC" w:rsidRPr="00C92F30" w:rsidRDefault="004C50DC" w:rsidP="004C50DC">
      <w:pPr>
        <w:pStyle w:val="Notedebasdepage"/>
      </w:pPr>
      <w:r w:rsidRPr="00B85C67">
        <w:rPr>
          <w:rStyle w:val="Appelnotedebasdep"/>
        </w:rPr>
        <w:footnoteRef/>
      </w:r>
      <w:r>
        <w:tab/>
      </w:r>
      <w:r w:rsidRPr="00C92F30">
        <w:t>L’article 62 de la Constitution de 1983 stipule que : « Les langues nationales sont le français et le créole. Le français tient lieu de langue officielle de la R</w:t>
      </w:r>
      <w:r w:rsidRPr="00C92F30">
        <w:t>é</w:t>
      </w:r>
      <w:r w:rsidRPr="00C92F30">
        <w:t>publique d’Haïti ».</w:t>
      </w:r>
    </w:p>
  </w:footnote>
  <w:footnote w:id="826">
    <w:p w:rsidR="004C50DC" w:rsidRDefault="004C50DC">
      <w:pPr>
        <w:pStyle w:val="Notedebasdepage"/>
      </w:pPr>
      <w:r>
        <w:rPr>
          <w:rStyle w:val="Appelnotedebasdep"/>
        </w:rPr>
        <w:footnoteRef/>
      </w:r>
      <w:r>
        <w:t xml:space="preserve"> </w:t>
      </w:r>
      <w:r>
        <w:tab/>
      </w:r>
      <w:r w:rsidRPr="00C92F30">
        <w:t xml:space="preserve">Guy Alexandre, </w:t>
      </w:r>
      <w:r w:rsidRPr="00C92F30">
        <w:rPr>
          <w:i/>
        </w:rPr>
        <w:t>Matériaux pour un bilan de la réforme éducative en Haïti</w:t>
      </w:r>
      <w:r w:rsidRPr="00C92F30">
        <w:t>, Port-au-Prince, Ministère de l’Éducation nationale, 1989, p. 15.</w:t>
      </w:r>
    </w:p>
  </w:footnote>
  <w:footnote w:id="827">
    <w:p w:rsidR="004C50DC" w:rsidRPr="00C92F30" w:rsidRDefault="004C50DC" w:rsidP="004C50DC">
      <w:pPr>
        <w:pStyle w:val="Notedebasdepage"/>
      </w:pPr>
      <w:r w:rsidRPr="00C92F30">
        <w:rPr>
          <w:rStyle w:val="Appelnotedebasdep"/>
          <w:sz w:val="24"/>
        </w:rPr>
        <w:footnoteRef/>
      </w:r>
      <w:r>
        <w:tab/>
      </w:r>
      <w:r w:rsidRPr="00C92F30">
        <w:t xml:space="preserve">Max Beauvoir participait à une émission spéciale sur la chaîne de télévision </w:t>
      </w:r>
      <w:r w:rsidRPr="00C92F30">
        <w:rPr>
          <w:i/>
        </w:rPr>
        <w:t>Canal 11</w:t>
      </w:r>
      <w:r w:rsidRPr="00C92F30">
        <w:t>, le 1</w:t>
      </w:r>
      <w:r w:rsidRPr="00C92F30">
        <w:rPr>
          <w:vertAlign w:val="superscript"/>
        </w:rPr>
        <w:t>er</w:t>
      </w:r>
      <w:r w:rsidRPr="00C92F30">
        <w:t xml:space="preserve"> novembre 2013 à l’occasion de la fête chrétienne de la Tou</w:t>
      </w:r>
      <w:r w:rsidRPr="00C92F30">
        <w:t>s</w:t>
      </w:r>
      <w:r w:rsidRPr="00C92F30">
        <w:t xml:space="preserve">saint, qui est aussi la fâte de </w:t>
      </w:r>
      <w:r w:rsidRPr="00C92F30">
        <w:rPr>
          <w:i/>
        </w:rPr>
        <w:t>gédé</w:t>
      </w:r>
      <w:r w:rsidRPr="00C92F30">
        <w:t xml:space="preserve"> pour les vodouisants.</w:t>
      </w:r>
    </w:p>
  </w:footnote>
  <w:footnote w:id="828">
    <w:p w:rsidR="004C50DC" w:rsidRDefault="004C50DC">
      <w:pPr>
        <w:pStyle w:val="Notedebasdepage"/>
      </w:pPr>
      <w:r>
        <w:rPr>
          <w:rStyle w:val="Appelnotedebasdep"/>
        </w:rPr>
        <w:footnoteRef/>
      </w:r>
      <w:r>
        <w:t xml:space="preserve"> </w:t>
      </w:r>
      <w:r>
        <w:tab/>
      </w:r>
      <w:r w:rsidRPr="00C92F30">
        <w:t>« Les proverbes. Les formes non narratives : yelbûndi ou proverbe », en l</w:t>
      </w:r>
      <w:r w:rsidRPr="00C92F30">
        <w:t>i</w:t>
      </w:r>
      <w:r w:rsidRPr="00C92F30">
        <w:t xml:space="preserve">gne, </w:t>
      </w:r>
      <w:hyperlink r:id="rId113" w:history="1">
        <w:r w:rsidRPr="00C92F30">
          <w:rPr>
            <w:rStyle w:val="Lienhypertexte"/>
          </w:rPr>
          <w:t>http://www.bf.refer.org/sissao/html/p2chap15_4.html</w:t>
        </w:r>
      </w:hyperlink>
      <w:r w:rsidRPr="00C92F30">
        <w:t>, consulté le 12 avril 2015.</w:t>
      </w:r>
    </w:p>
  </w:footnote>
  <w:footnote w:id="829">
    <w:p w:rsidR="004C50DC" w:rsidRPr="00C92F30" w:rsidRDefault="004C50DC" w:rsidP="004C50DC">
      <w:pPr>
        <w:pStyle w:val="Notedebasdepage"/>
      </w:pPr>
      <w:r w:rsidRPr="00C92F30">
        <w:rPr>
          <w:rStyle w:val="Appelnotedebasdep"/>
          <w:sz w:val="24"/>
        </w:rPr>
        <w:footnoteRef/>
      </w:r>
      <w:r>
        <w:tab/>
      </w:r>
      <w:r w:rsidRPr="00C92F30">
        <w:t>Pierre-Raymond Dumas, « Interview sur le concept d’oraliture accordée à Pie</w:t>
      </w:r>
      <w:r w:rsidRPr="00C92F30">
        <w:t>r</w:t>
      </w:r>
      <w:r w:rsidRPr="00C92F30">
        <w:t xml:space="preserve">re-Raymond Dumas par le docteur Ernest Mirville », </w:t>
      </w:r>
      <w:r w:rsidRPr="00C92F30">
        <w:rPr>
          <w:i/>
        </w:rPr>
        <w:t>Conjonctions</w:t>
      </w:r>
      <w:r w:rsidRPr="00C92F30">
        <w:t>, n</w:t>
      </w:r>
      <w:r w:rsidRPr="00C92F30">
        <w:rPr>
          <w:vertAlign w:val="superscript"/>
        </w:rPr>
        <w:t>os</w:t>
      </w:r>
      <w:r w:rsidRPr="00C92F30">
        <w:t> 161 et 162, mars-juin 1984, p. 161.</w:t>
      </w:r>
    </w:p>
  </w:footnote>
  <w:footnote w:id="830">
    <w:p w:rsidR="004C50DC" w:rsidRPr="00C92F30" w:rsidRDefault="004C50DC" w:rsidP="004C50DC">
      <w:pPr>
        <w:pStyle w:val="Notedebasdepage"/>
      </w:pPr>
      <w:r w:rsidRPr="00C92F30">
        <w:rPr>
          <w:rStyle w:val="Appelnotedebasdep"/>
          <w:sz w:val="24"/>
        </w:rPr>
        <w:footnoteRef/>
      </w:r>
      <w:r>
        <w:tab/>
      </w:r>
      <w:r w:rsidRPr="00B85C67">
        <w:rPr>
          <w:i/>
        </w:rPr>
        <w:t>Ibid</w:t>
      </w:r>
      <w:r w:rsidRPr="00C92F30">
        <w:t>. ; Dumas rapporte que, selon Ernest Mirville, pour retrouver l’identité de l’Haïtien, il faut aller puiser dans les créations populaires car, malgré la pr</w:t>
      </w:r>
      <w:r w:rsidRPr="00C92F30">
        <w:t>é</w:t>
      </w:r>
      <w:r w:rsidRPr="00C92F30">
        <w:t>sence d’une élite qui a parfois tendance à snober ces créations, Haïti est avant tout ce qu’elle est à cause des masses populaires du pays réel. « [...] l’identité de l’Haïtien doit se mesurer [...] à l’aune englobante et intégrante de la culture populaire. La culture populaire haïtienne est essentiellement une culture orale. Par voie de conséquence, l’identité de l’Haïtien est à che</w:t>
      </w:r>
      <w:r w:rsidRPr="00C92F30">
        <w:t>r</w:t>
      </w:r>
      <w:r w:rsidRPr="00C92F30">
        <w:t>cher en premier lieu aux sources de la culture populaire authentique non écrite ou orale ».</w:t>
      </w:r>
    </w:p>
    <w:p w:rsidR="004C50DC" w:rsidRPr="00C92F30" w:rsidRDefault="004C50DC" w:rsidP="004C50DC">
      <w:pPr>
        <w:pStyle w:val="Notedebasdepage"/>
      </w:pPr>
      <w:r>
        <w:tab/>
      </w:r>
      <w:r>
        <w:tab/>
      </w:r>
      <w:r w:rsidRPr="00C92F30">
        <w:t>Mirville précise aussi que « l’oraliture haïtienne se trouve dans les produ</w:t>
      </w:r>
      <w:r w:rsidRPr="00C92F30">
        <w:t>c</w:t>
      </w:r>
      <w:r w:rsidRPr="00C92F30">
        <w:t>tions populaires telles que les proverbes (qui véhiculent la philosophie ha</w:t>
      </w:r>
      <w:r w:rsidRPr="00C92F30">
        <w:t>ï</w:t>
      </w:r>
      <w:r w:rsidRPr="00C92F30">
        <w:t>tienne), le vaudou (qui n’a pas de référence écrite comme la plupart des autres religions, et dont la cosmogonie, la doctrine et la liturgie passent par le bo</w:t>
      </w:r>
      <w:r w:rsidRPr="00C92F30">
        <w:t>u</w:t>
      </w:r>
      <w:r w:rsidRPr="00C92F30">
        <w:t>che-à-oreille), la médecine populaire, les techniques agricoles, les contes tr</w:t>
      </w:r>
      <w:r w:rsidRPr="00C92F30">
        <w:t>a</w:t>
      </w:r>
      <w:r w:rsidRPr="00C92F30">
        <w:t>ditio</w:t>
      </w:r>
      <w:r w:rsidRPr="00C92F30">
        <w:t>n</w:t>
      </w:r>
      <w:r w:rsidRPr="00C92F30">
        <w:t xml:space="preserve">nels et les contes chantés, les contes devinettes, les prières, les chansons sacrées, les chants de travail, les chants de carnaval ou de rara, les chansons politiques, les audiences, etc. » (p.164). À ce sujet, voir aussi </w:t>
      </w:r>
      <w:r w:rsidRPr="00C92F30">
        <w:rPr>
          <w:lang w:val="fr-FR"/>
        </w:rPr>
        <w:t>Virginie Turco</w:t>
      </w:r>
      <w:r w:rsidRPr="00C92F30">
        <w:rPr>
          <w:lang w:val="fr-FR"/>
        </w:rPr>
        <w:t>t</w:t>
      </w:r>
      <w:r w:rsidRPr="00C92F30">
        <w:rPr>
          <w:lang w:val="fr-FR"/>
        </w:rPr>
        <w:t xml:space="preserve">te, </w:t>
      </w:r>
      <w:r w:rsidRPr="00C92F30">
        <w:rPr>
          <w:i/>
          <w:lang w:val="fr-FR"/>
        </w:rPr>
        <w:t xml:space="preserve">Quand la lecture visite l’oraliture ou l’influence de la tradition orale dans l’acte de lecture des romans antillais, </w:t>
      </w:r>
      <w:r w:rsidRPr="00C92F30">
        <w:rPr>
          <w:lang w:val="fr-FR"/>
        </w:rPr>
        <w:t>mémoire présenté comme exigence pa</w:t>
      </w:r>
      <w:r w:rsidRPr="00C92F30">
        <w:rPr>
          <w:lang w:val="fr-FR"/>
        </w:rPr>
        <w:t>r</w:t>
      </w:r>
      <w:r w:rsidRPr="00C92F30">
        <w:rPr>
          <w:lang w:val="fr-FR"/>
        </w:rPr>
        <w:t>tielle de la maîtrise en études littéraires, Université du Québec à Montréal, 2009, p</w:t>
      </w:r>
      <w:r>
        <w:rPr>
          <w:lang w:val="fr-FR"/>
        </w:rPr>
        <w:t>p</w:t>
      </w:r>
      <w:r w:rsidRPr="00C92F30">
        <w:rPr>
          <w:lang w:val="fr-FR"/>
        </w:rPr>
        <w:t>. 56-58.</w:t>
      </w:r>
    </w:p>
  </w:footnote>
  <w:footnote w:id="831">
    <w:p w:rsidR="004C50DC" w:rsidRDefault="004C50DC">
      <w:pPr>
        <w:pStyle w:val="Notedebasdepage"/>
      </w:pPr>
      <w:r>
        <w:rPr>
          <w:rStyle w:val="Appelnotedebasdep"/>
        </w:rPr>
        <w:footnoteRef/>
      </w:r>
      <w:r>
        <w:t xml:space="preserve"> </w:t>
      </w:r>
      <w:r>
        <w:tab/>
      </w:r>
      <w:r w:rsidRPr="00C92F30">
        <w:rPr>
          <w:lang w:val="fr-FR"/>
        </w:rPr>
        <w:t xml:space="preserve">Gomes Eanes de Zurara, </w:t>
      </w:r>
      <w:r w:rsidRPr="00C92F30">
        <w:rPr>
          <w:i/>
          <w:iCs/>
          <w:lang w:val="fr-FR"/>
        </w:rPr>
        <w:t>Chronique de Guinée (1453)</w:t>
      </w:r>
      <w:r w:rsidRPr="00C92F30">
        <w:rPr>
          <w:lang w:val="fr-FR"/>
        </w:rPr>
        <w:t xml:space="preserve"> (traduction et annot</w:t>
      </w:r>
      <w:r w:rsidRPr="00C92F30">
        <w:rPr>
          <w:lang w:val="fr-FR"/>
        </w:rPr>
        <w:t>a</w:t>
      </w:r>
      <w:r w:rsidRPr="00C92F30">
        <w:rPr>
          <w:lang w:val="fr-FR"/>
        </w:rPr>
        <w:t>tions de Léon Bourdon), Paris, Chandeigne, 1994 [1934] ; voir aussi Geo</w:t>
      </w:r>
      <w:r w:rsidRPr="00C92F30">
        <w:rPr>
          <w:lang w:val="fr-FR"/>
        </w:rPr>
        <w:t>r</w:t>
      </w:r>
      <w:r w:rsidRPr="00C92F30">
        <w:rPr>
          <w:lang w:val="fr-FR"/>
        </w:rPr>
        <w:t>ges Boisvert, « La dénomination de l’Autre africain au xve siècle dans les r</w:t>
      </w:r>
      <w:r w:rsidRPr="00C92F30">
        <w:rPr>
          <w:lang w:val="fr-FR"/>
        </w:rPr>
        <w:t>é</w:t>
      </w:r>
      <w:r w:rsidRPr="00C92F30">
        <w:rPr>
          <w:lang w:val="fr-FR"/>
        </w:rPr>
        <w:t xml:space="preserve">cits des découvertes portugaises », </w:t>
      </w:r>
      <w:r w:rsidRPr="00C92F30">
        <w:rPr>
          <w:i/>
          <w:iCs/>
          <w:lang w:val="fr-FR"/>
        </w:rPr>
        <w:t>L’Homme</w:t>
      </w:r>
      <w:r w:rsidRPr="00C92F30">
        <w:rPr>
          <w:lang w:val="fr-FR"/>
        </w:rPr>
        <w:t>, no 153, 2000, p</w:t>
      </w:r>
      <w:r>
        <w:rPr>
          <w:lang w:val="fr-FR"/>
        </w:rPr>
        <w:t>p</w:t>
      </w:r>
      <w:r w:rsidRPr="00C92F30">
        <w:rPr>
          <w:lang w:val="fr-FR"/>
        </w:rPr>
        <w:t>. 165-172.</w:t>
      </w:r>
    </w:p>
  </w:footnote>
  <w:footnote w:id="832">
    <w:p w:rsidR="004C50DC" w:rsidRDefault="004C50DC">
      <w:pPr>
        <w:pStyle w:val="Notedebasdepage"/>
      </w:pPr>
      <w:r>
        <w:rPr>
          <w:rStyle w:val="Appelnotedebasdep"/>
        </w:rPr>
        <w:footnoteRef/>
      </w:r>
      <w:r>
        <w:t xml:space="preserve"> </w:t>
      </w:r>
      <w:r>
        <w:tab/>
      </w:r>
      <w:r w:rsidRPr="00C92F30">
        <w:rPr>
          <w:lang w:val="fr-FR"/>
        </w:rPr>
        <w:t xml:space="preserve">Jean-Baptiste Labat r.p., </w:t>
      </w:r>
      <w:r w:rsidRPr="00C92F30">
        <w:rPr>
          <w:i/>
          <w:lang w:val="fr-FR"/>
        </w:rPr>
        <w:t>Nouveau voyage aux isles de l’Amérique</w:t>
      </w:r>
      <w:r w:rsidRPr="00C92F30">
        <w:rPr>
          <w:lang w:val="fr-FR"/>
        </w:rPr>
        <w:t>,tome IV, La Haye, P. Husson, 1724, p.</w:t>
      </w:r>
      <w:r w:rsidRPr="00C92F30">
        <w:t xml:space="preserve"> 154, cité par André Thibault, </w:t>
      </w:r>
      <w:r w:rsidRPr="00C92F30">
        <w:rPr>
          <w:i/>
        </w:rPr>
        <w:t xml:space="preserve">Le français dans les Antilles. Études linguistiques, </w:t>
      </w:r>
      <w:r w:rsidRPr="00C92F30">
        <w:t>Paris, L’Harmattan, 2012, p. 37.</w:t>
      </w:r>
    </w:p>
  </w:footnote>
  <w:footnote w:id="833">
    <w:p w:rsidR="004C50DC" w:rsidRDefault="004C50DC">
      <w:pPr>
        <w:pStyle w:val="Notedebasdepage"/>
      </w:pPr>
      <w:r>
        <w:rPr>
          <w:rStyle w:val="Appelnotedebasdep"/>
        </w:rPr>
        <w:footnoteRef/>
      </w:r>
      <w:r>
        <w:t xml:space="preserve"> </w:t>
      </w:r>
      <w:r>
        <w:tab/>
      </w:r>
      <w:r w:rsidRPr="00C92F30">
        <w:t>Moreau de Saint-Méry, op. cit., p. 44, cité par André Thibault, ibid.</w:t>
      </w:r>
    </w:p>
  </w:footnote>
  <w:footnote w:id="834">
    <w:p w:rsidR="004C50DC" w:rsidRDefault="004C50DC">
      <w:pPr>
        <w:pStyle w:val="Notedebasdepage"/>
      </w:pPr>
      <w:r>
        <w:rPr>
          <w:rStyle w:val="Appelnotedebasdep"/>
        </w:rPr>
        <w:footnoteRef/>
      </w:r>
      <w:r>
        <w:t xml:space="preserve"> </w:t>
      </w:r>
      <w:r>
        <w:tab/>
      </w:r>
      <w:r w:rsidRPr="00C92F30">
        <w:t xml:space="preserve">Musée du Panthéon national haïtien (MUPANAH), </w:t>
      </w:r>
      <w:r w:rsidRPr="00C92F30">
        <w:rPr>
          <w:i/>
        </w:rPr>
        <w:t>Chimen libète. Le ch</w:t>
      </w:r>
      <w:r w:rsidRPr="00C92F30">
        <w:rPr>
          <w:i/>
        </w:rPr>
        <w:t>e</w:t>
      </w:r>
      <w:r w:rsidRPr="00C92F30">
        <w:rPr>
          <w:i/>
        </w:rPr>
        <w:t>min de la liberté, 20 septembre - 20 octobre 2012</w:t>
      </w:r>
      <w:r w:rsidRPr="00C92F30">
        <w:t>, Port-au-Prince, Henri De</w:t>
      </w:r>
      <w:r w:rsidRPr="00C92F30">
        <w:t>s</w:t>
      </w:r>
      <w:r w:rsidRPr="00C92F30">
        <w:t>champs, 2012, p. 40.</w:t>
      </w:r>
    </w:p>
  </w:footnote>
  <w:footnote w:id="835">
    <w:p w:rsidR="004C50DC" w:rsidRDefault="004C50DC">
      <w:pPr>
        <w:pStyle w:val="Notedebasdepage"/>
      </w:pPr>
      <w:r>
        <w:rPr>
          <w:rStyle w:val="Appelnotedebasdep"/>
        </w:rPr>
        <w:footnoteRef/>
      </w:r>
      <w:r>
        <w:t xml:space="preserve"> </w:t>
      </w:r>
      <w:r>
        <w:tab/>
      </w:r>
      <w:r w:rsidRPr="00C92F30">
        <w:t>Les manifestations « </w:t>
      </w:r>
      <w:r w:rsidRPr="00C92F30">
        <w:rPr>
          <w:i/>
        </w:rPr>
        <w:t xml:space="preserve">kita nago » </w:t>
      </w:r>
      <w:r w:rsidRPr="00C92F30">
        <w:t>sont partis de la ville des Irois dans le Dépa</w:t>
      </w:r>
      <w:r w:rsidRPr="00C92F30">
        <w:t>r</w:t>
      </w:r>
      <w:r w:rsidRPr="00C92F30">
        <w:t>tement de la Grand Anse, le 1</w:t>
      </w:r>
      <w:r w:rsidRPr="00C92F30">
        <w:rPr>
          <w:vertAlign w:val="superscript"/>
        </w:rPr>
        <w:t>er</w:t>
      </w:r>
      <w:r w:rsidRPr="00C92F30">
        <w:t xml:space="preserve"> janvier 2013, en suivant un parcours to</w:t>
      </w:r>
      <w:r w:rsidRPr="00C92F30">
        <w:t>u</w:t>
      </w:r>
      <w:r w:rsidRPr="00C92F30">
        <w:t>chant les Départements des Nippes, du Sud, de l’Ouest, de  l’Artibonite et du Nord, pour terminer leurcourse le 27 janvier de la même année à Ouan</w:t>
      </w:r>
      <w:r w:rsidRPr="00C92F30">
        <w:t>a</w:t>
      </w:r>
      <w:r w:rsidRPr="00C92F30">
        <w:t>minthe dans le Département du Nord-Est. Il s’agissait d’inciter les citoyens à transporter un tronc d’arbre pesant près de 500 kilos en suivant cet itinéra</w:t>
      </w:r>
      <w:r w:rsidRPr="00C92F30">
        <w:t>i</w:t>
      </w:r>
      <w:r w:rsidRPr="00C92F30">
        <w:t xml:space="preserve">re préétabli. Cette initiative citoyenne avait été lancée par Harry Nicolas dit « Mèt fèy vèt ». Les citoyens étaient enthousiasmés par une telle démarche et y participaient en foule. La société civile et le gouvernement haïtiens la soutenaient aussi.  </w:t>
      </w:r>
    </w:p>
  </w:footnote>
  <w:footnote w:id="836">
    <w:p w:rsidR="004C50DC" w:rsidRDefault="004C50DC">
      <w:pPr>
        <w:pStyle w:val="Notedebasdepage"/>
      </w:pPr>
      <w:r>
        <w:rPr>
          <w:rStyle w:val="Appelnotedebasdep"/>
        </w:rPr>
        <w:footnoteRef/>
      </w:r>
      <w:r>
        <w:t xml:space="preserve"> </w:t>
      </w:r>
      <w:r>
        <w:tab/>
      </w:r>
      <w:r w:rsidRPr="00C92F30">
        <w:rPr>
          <w:rFonts w:cs="Arial Unicode MS"/>
          <w:szCs w:val="24"/>
        </w:rPr>
        <w:t xml:space="preserve">Alter Presse, « Haïti-Kita Nago : 700 km parcourus à pied pour stimuler </w:t>
      </w:r>
      <w:r w:rsidRPr="00C92F30">
        <w:t xml:space="preserve">la solidarité et la concertation », mardi 29 janvier 2013, en ligne, </w:t>
      </w:r>
      <w:hyperlink r:id="rId114" w:anchor=".VOjXu_nF-8A" w:history="1">
        <w:r w:rsidRPr="00C92F30">
          <w:rPr>
            <w:rStyle w:val="Lienhypertexte"/>
          </w:rPr>
          <w:t>http://www.alterpresse.org/spip.php?article14015</w:t>
        </w:r>
      </w:hyperlink>
      <w:r w:rsidRPr="00C92F30">
        <w:t xml:space="preserve">, consulté le 11 octobre 2014. </w:t>
      </w:r>
    </w:p>
  </w:footnote>
  <w:footnote w:id="837">
    <w:p w:rsidR="004C50DC" w:rsidRPr="00C92F30" w:rsidRDefault="004C50DC" w:rsidP="004C50DC">
      <w:pPr>
        <w:pStyle w:val="Notedebasdepage"/>
      </w:pPr>
      <w:r w:rsidRPr="00B85C67">
        <w:rPr>
          <w:rStyle w:val="Appelnotedebasdep"/>
        </w:rPr>
        <w:footnoteRef/>
      </w:r>
      <w:r>
        <w:tab/>
      </w:r>
      <w:r w:rsidRPr="00C92F30">
        <w:t xml:space="preserve">Michel Étienne Descourtilz, </w:t>
      </w:r>
      <w:r w:rsidRPr="00C92F30">
        <w:rPr>
          <w:i/>
        </w:rPr>
        <w:t>Voyage d’un naturaliste</w:t>
      </w:r>
      <w:r w:rsidRPr="00C92F30">
        <w:t>, tome III, Paris, Dufart Père, 1809, p. 305.</w:t>
      </w:r>
    </w:p>
  </w:footnote>
  <w:footnote w:id="838">
    <w:p w:rsidR="004C50DC" w:rsidRPr="00C92F30" w:rsidRDefault="004C50DC" w:rsidP="004C50DC">
      <w:pPr>
        <w:pStyle w:val="Notedebasdepage"/>
      </w:pPr>
      <w:r w:rsidRPr="00B85C67">
        <w:rPr>
          <w:rStyle w:val="Appelnotedebasdep"/>
        </w:rPr>
        <w:footnoteRef/>
      </w:r>
      <w:r>
        <w:tab/>
      </w:r>
      <w:r w:rsidRPr="00C92F30">
        <w:t>Jean</w:t>
      </w:r>
      <w:r>
        <w:t xml:space="preserve"> </w:t>
      </w:r>
      <w:r w:rsidRPr="00C92F30">
        <w:t xml:space="preserve">Price-Mars, </w:t>
      </w:r>
      <w:hyperlink r:id="rId115" w:history="1">
        <w:r w:rsidRPr="00B85C67">
          <w:rPr>
            <w:rStyle w:val="Lienhypertexte"/>
            <w:i/>
          </w:rPr>
          <w:t>La République d’Haïti et la République dominicaine</w:t>
        </w:r>
      </w:hyperlink>
      <w:r w:rsidRPr="00C92F30">
        <w:t>, tome I, Port-au-Prince, Collection du Tricinquantenaire de l’indépendance d’Haïti, 1953, p. 70.</w:t>
      </w:r>
    </w:p>
  </w:footnote>
  <w:footnote w:id="839">
    <w:p w:rsidR="004C50DC" w:rsidRPr="00C92F30" w:rsidRDefault="004C50DC" w:rsidP="004C50DC">
      <w:pPr>
        <w:pStyle w:val="Notedebasdepage"/>
      </w:pPr>
      <w:r w:rsidRPr="00C92F30">
        <w:rPr>
          <w:rStyle w:val="Appelnotedebasdep"/>
          <w:sz w:val="24"/>
        </w:rPr>
        <w:footnoteRef/>
      </w:r>
      <w:r>
        <w:tab/>
      </w:r>
      <w:r w:rsidRPr="00C92F30">
        <w:t>Leslie Péan, « Haïti. Le père Dessalines et les sans repères (1) », lundi 27 o</w:t>
      </w:r>
      <w:r w:rsidRPr="00C92F30">
        <w:t>c</w:t>
      </w:r>
      <w:r w:rsidRPr="00C92F30">
        <w:t>tobre 2014, en ligne,</w:t>
      </w:r>
      <w:r>
        <w:t xml:space="preserve"> </w:t>
      </w:r>
      <w:hyperlink r:id="rId116" w:history="1">
        <w:r w:rsidRPr="00C92F30">
          <w:rPr>
            <w:rStyle w:val="Lienhypertexte"/>
            <w:color w:val="auto"/>
          </w:rPr>
          <w:t>http://www.radiokiskeya.com/spip.php?article10254</w:t>
        </w:r>
      </w:hyperlink>
      <w:r w:rsidRPr="00C92F30">
        <w:t>, consulté le 28 octobre 2014.</w:t>
      </w:r>
    </w:p>
  </w:footnote>
  <w:footnote w:id="840">
    <w:p w:rsidR="004C50DC" w:rsidRPr="00C92F30" w:rsidRDefault="004C50DC" w:rsidP="004C50DC">
      <w:pPr>
        <w:pStyle w:val="Notedebasdepage"/>
      </w:pPr>
      <w:r w:rsidRPr="00C92F30">
        <w:rPr>
          <w:rStyle w:val="Appelnotedebasdep"/>
          <w:sz w:val="24"/>
        </w:rPr>
        <w:footnoteRef/>
      </w:r>
      <w:r>
        <w:tab/>
      </w:r>
      <w:r w:rsidRPr="00C92F30">
        <w:t xml:space="preserve">Ibid. ; voir aussi Claude Ribbe, </w:t>
      </w:r>
      <w:r w:rsidRPr="00C92F30">
        <w:rPr>
          <w:i/>
        </w:rPr>
        <w:t>Le crime de Napoléon</w:t>
      </w:r>
      <w:r w:rsidRPr="00C92F30">
        <w:t>, Paris, Privé, 2005.</w:t>
      </w:r>
    </w:p>
  </w:footnote>
  <w:footnote w:id="841">
    <w:p w:rsidR="004C50DC" w:rsidRPr="00C92F30" w:rsidRDefault="004C50DC" w:rsidP="004C50DC">
      <w:pPr>
        <w:pStyle w:val="Notedebasdepage"/>
      </w:pPr>
      <w:r w:rsidRPr="00C92F30">
        <w:rPr>
          <w:rStyle w:val="Appelnotedebasdep"/>
          <w:sz w:val="24"/>
        </w:rPr>
        <w:footnoteRef/>
      </w:r>
      <w:r>
        <w:tab/>
      </w:r>
      <w:r w:rsidRPr="00C92F30">
        <w:t xml:space="preserve">Jean Cauvin, </w:t>
      </w:r>
      <w:r w:rsidRPr="00C92F30">
        <w:rPr>
          <w:i/>
        </w:rPr>
        <w:t xml:space="preserve">Comprendre les Contes, </w:t>
      </w:r>
      <w:r w:rsidRPr="00C92F30">
        <w:t>Issy-les-Moulineaux, Saint-Paul, 1980, p. 7-9.</w:t>
      </w:r>
    </w:p>
  </w:footnote>
  <w:footnote w:id="842">
    <w:p w:rsidR="004C50DC" w:rsidRPr="00C92F30" w:rsidRDefault="004C50DC" w:rsidP="004C50DC">
      <w:pPr>
        <w:pStyle w:val="Notedebasdepage"/>
      </w:pPr>
      <w:r w:rsidRPr="00C92F30">
        <w:rPr>
          <w:rStyle w:val="Appelnotedebasdep"/>
          <w:sz w:val="24"/>
        </w:rPr>
        <w:footnoteRef/>
      </w:r>
      <w:r>
        <w:tab/>
      </w:r>
      <w:r w:rsidRPr="00C92F30">
        <w:t xml:space="preserve">Alibée Féry est reconnu pour être le premier écrivain haïtien à transcrire les contes populaires et traditionnels de « Bouki et Malice » ; Alibée Féry, </w:t>
      </w:r>
      <w:r w:rsidRPr="00C92F30">
        <w:rPr>
          <w:i/>
        </w:rPr>
        <w:t>E</w:t>
      </w:r>
      <w:r w:rsidRPr="00C92F30">
        <w:rPr>
          <w:i/>
        </w:rPr>
        <w:t>s</w:t>
      </w:r>
      <w:r w:rsidRPr="00C92F30">
        <w:rPr>
          <w:i/>
        </w:rPr>
        <w:t>sais littéraires</w:t>
      </w:r>
      <w:r w:rsidRPr="00C92F30">
        <w:t xml:space="preserve">, Port-au-Prince, Énélus Robin, 1876 : voir aussi Hénock Trouillot, </w:t>
      </w:r>
      <w:r w:rsidRPr="00C92F30">
        <w:rPr>
          <w:i/>
        </w:rPr>
        <w:t>Les origines sociales de la littérature haïtienne</w:t>
      </w:r>
      <w:r w:rsidRPr="00C92F30">
        <w:t>, Port-au-Prince, Fardin, 1962.</w:t>
      </w:r>
    </w:p>
  </w:footnote>
  <w:footnote w:id="843">
    <w:p w:rsidR="004C50DC" w:rsidRDefault="004C50DC">
      <w:pPr>
        <w:pStyle w:val="Notedebasdepage"/>
      </w:pPr>
      <w:r>
        <w:rPr>
          <w:rStyle w:val="Appelnotedebasdep"/>
        </w:rPr>
        <w:footnoteRef/>
      </w:r>
      <w:r>
        <w:t xml:space="preserve"> </w:t>
      </w:r>
      <w:r>
        <w:tab/>
      </w:r>
      <w:r w:rsidRPr="00C92F30">
        <w:t xml:space="preserve">Mimi Barthélemy, </w:t>
      </w:r>
      <w:r w:rsidRPr="00C92F30">
        <w:rPr>
          <w:i/>
        </w:rPr>
        <w:t>Tézin, le poisson d’eau douce</w:t>
      </w:r>
      <w:r w:rsidRPr="00C92F30">
        <w:t xml:space="preserve">, Paris, L’Harmattan,  1995. </w:t>
      </w:r>
    </w:p>
  </w:footnote>
  <w:footnote w:id="844">
    <w:p w:rsidR="004C50DC" w:rsidRDefault="004C50DC">
      <w:pPr>
        <w:pStyle w:val="Notedebasdepage"/>
      </w:pPr>
      <w:r>
        <w:rPr>
          <w:rStyle w:val="Appelnotedebasdep"/>
        </w:rPr>
        <w:footnoteRef/>
      </w:r>
      <w:r>
        <w:t xml:space="preserve"> </w:t>
      </w:r>
      <w:r>
        <w:tab/>
      </w:r>
      <w:r w:rsidRPr="00C92F30">
        <w:t xml:space="preserve">Carl Bouard, </w:t>
      </w:r>
      <w:r w:rsidRPr="00C92F30">
        <w:rPr>
          <w:i/>
        </w:rPr>
        <w:t xml:space="preserve">Les aventures de Malice et de Bouqui, </w:t>
      </w:r>
      <w:r w:rsidRPr="00C92F30">
        <w:t xml:space="preserve"> Port-au-Prince, Christ</w:t>
      </w:r>
      <w:r w:rsidRPr="00C92F30">
        <w:t>o</w:t>
      </w:r>
      <w:r w:rsidRPr="00C92F30">
        <w:t>phe, 2000.</w:t>
      </w:r>
    </w:p>
  </w:footnote>
  <w:footnote w:id="845">
    <w:p w:rsidR="004C50DC" w:rsidRDefault="004C50DC">
      <w:pPr>
        <w:pStyle w:val="Notedebasdepage"/>
      </w:pPr>
      <w:r>
        <w:rPr>
          <w:rStyle w:val="Appelnotedebasdep"/>
        </w:rPr>
        <w:footnoteRef/>
      </w:r>
      <w:r>
        <w:t xml:space="preserve"> </w:t>
      </w:r>
      <w:r>
        <w:tab/>
      </w:r>
      <w:r w:rsidRPr="00C92F30">
        <w:t xml:space="preserve">Voir Catherine Magnien,  </w:t>
      </w:r>
      <w:r w:rsidRPr="00C92F30">
        <w:rPr>
          <w:i/>
        </w:rPr>
        <w:t>Charles Perrault, Contes</w:t>
      </w:r>
      <w:r w:rsidRPr="00C92F30">
        <w:t>, Paris, Classiques de P</w:t>
      </w:r>
      <w:r w:rsidRPr="00C92F30">
        <w:t>o</w:t>
      </w:r>
      <w:r w:rsidRPr="00C92F30">
        <w:t>che, 2006.</w:t>
      </w:r>
    </w:p>
  </w:footnote>
  <w:footnote w:id="846">
    <w:p w:rsidR="004C50DC" w:rsidRDefault="004C50DC">
      <w:pPr>
        <w:pStyle w:val="Notedebasdepage"/>
      </w:pPr>
      <w:r>
        <w:rPr>
          <w:rStyle w:val="Appelnotedebasdep"/>
        </w:rPr>
        <w:footnoteRef/>
      </w:r>
      <w:r>
        <w:t xml:space="preserve"> </w:t>
      </w:r>
      <w:r>
        <w:tab/>
      </w:r>
      <w:r w:rsidRPr="00C92F30">
        <w:t xml:space="preserve">Laënnec Hurbon, « La figure du roi dans les contes de Bouki et Malice », dans Laënnec Hurbon, </w:t>
      </w:r>
      <w:hyperlink r:id="rId117" w:history="1">
        <w:r w:rsidRPr="00B85C67">
          <w:rPr>
            <w:rStyle w:val="Lienhypertexte"/>
            <w:i/>
          </w:rPr>
          <w:t>Culture et dictature en Haïti. L’imaginaire sous contrôle</w:t>
        </w:r>
      </w:hyperlink>
      <w:r w:rsidRPr="00C92F30">
        <w:t>, Paris, L’Harmattan, 1979, p</w:t>
      </w:r>
      <w:r>
        <w:t>p</w:t>
      </w:r>
      <w:r w:rsidRPr="00C92F30">
        <w:t>. 146-175.</w:t>
      </w:r>
    </w:p>
  </w:footnote>
  <w:footnote w:id="847">
    <w:p w:rsidR="004C50DC" w:rsidRDefault="004C50DC">
      <w:pPr>
        <w:pStyle w:val="Notedebasdepage"/>
      </w:pPr>
      <w:r>
        <w:rPr>
          <w:rStyle w:val="Appelnotedebasdep"/>
        </w:rPr>
        <w:footnoteRef/>
      </w:r>
      <w:r>
        <w:t xml:space="preserve"> </w:t>
      </w:r>
      <w:r>
        <w:tab/>
      </w:r>
      <w:r w:rsidRPr="00C92F30">
        <w:t>À ce sujet, voir Philippe Berthelot, « Qu’est-ce que le conte traditio</w:t>
      </w:r>
      <w:r w:rsidRPr="00C92F30">
        <w:t>n</w:t>
      </w:r>
      <w:r w:rsidRPr="00C92F30">
        <w:t xml:space="preserve">nel ? », en ligne, </w:t>
      </w:r>
      <w:hyperlink r:id="rId118" w:history="1">
        <w:r w:rsidRPr="00C92F30">
          <w:rPr>
            <w:rStyle w:val="Lienhypertexte"/>
          </w:rPr>
          <w:t>http://www.philippe-berthelot-conteur.com/le-conte-traditionnel-d%C3%A9finition/</w:t>
        </w:r>
      </w:hyperlink>
      <w:r w:rsidRPr="00C92F30">
        <w:t>, consulté le 1</w:t>
      </w:r>
      <w:r w:rsidRPr="00C92F30">
        <w:rPr>
          <w:vertAlign w:val="superscript"/>
        </w:rPr>
        <w:t>er</w:t>
      </w:r>
      <w:r w:rsidRPr="00C92F30">
        <w:t xml:space="preserve"> mai 2015</w:t>
      </w:r>
    </w:p>
  </w:footnote>
  <w:footnote w:id="848">
    <w:p w:rsidR="004C50DC" w:rsidRDefault="004C50DC">
      <w:pPr>
        <w:pStyle w:val="Notedebasdepage"/>
      </w:pPr>
      <w:r>
        <w:rPr>
          <w:rStyle w:val="Appelnotedebasdep"/>
        </w:rPr>
        <w:footnoteRef/>
      </w:r>
      <w:r>
        <w:t xml:space="preserve"> </w:t>
      </w:r>
      <w:r>
        <w:tab/>
      </w:r>
      <w:r w:rsidRPr="00C92F30">
        <w:t xml:space="preserve">Dominique Demers et Paul Bleton, </w:t>
      </w:r>
      <w:r w:rsidRPr="00C92F30">
        <w:rPr>
          <w:i/>
        </w:rPr>
        <w:t>Du Petit Poucet au Dernier des Raisins. Introduction à la littérature jeunesse</w:t>
      </w:r>
      <w:r w:rsidRPr="00C92F30">
        <w:t>, Boucherville-Sainte-Foy, Qu</w:t>
      </w:r>
      <w:r w:rsidRPr="00C92F30">
        <w:t>é</w:t>
      </w:r>
      <w:r w:rsidRPr="00C92F30">
        <w:t xml:space="preserve">bec/Amérique Jeunesse-Télé-Université, 1994, </w:t>
      </w:r>
      <w:r>
        <w:t>p</w:t>
      </w:r>
      <w:r w:rsidRPr="00C92F30">
        <w:t>p. 62-63.</w:t>
      </w:r>
    </w:p>
  </w:footnote>
  <w:footnote w:id="849">
    <w:p w:rsidR="004C50DC" w:rsidRDefault="004C50DC">
      <w:pPr>
        <w:pStyle w:val="Notedebasdepage"/>
      </w:pPr>
      <w:r>
        <w:rPr>
          <w:rStyle w:val="Appelnotedebasdep"/>
        </w:rPr>
        <w:footnoteRef/>
      </w:r>
      <w:r>
        <w:t xml:space="preserve"> </w:t>
      </w:r>
      <w:r>
        <w:tab/>
      </w:r>
      <w:r w:rsidRPr="00C92F30">
        <w:t>Cette différence entre esclave bossale et esclave créole oppose le nègre créole civilisé au nègre bossale considéré comme sauvage. C’était une construction du maître qui cherchait par tous les moyens à diviser les esclaves. La même différence est reprise de manière inconsciente dans les rapports entre le cit</w:t>
      </w:r>
      <w:r w:rsidRPr="00C92F30">
        <w:t>a</w:t>
      </w:r>
      <w:r w:rsidRPr="00C92F30">
        <w:t>din et le paysan dans la société haïtienne.</w:t>
      </w:r>
    </w:p>
  </w:footnote>
  <w:footnote w:id="850">
    <w:p w:rsidR="004C50DC" w:rsidRPr="00C92F30" w:rsidRDefault="004C50DC" w:rsidP="004C50DC">
      <w:pPr>
        <w:pStyle w:val="Notedebasdepage"/>
      </w:pPr>
      <w:r w:rsidRPr="00B85C67">
        <w:rPr>
          <w:rStyle w:val="Appelnotedebasdep"/>
        </w:rPr>
        <w:footnoteRef/>
      </w:r>
      <w:r>
        <w:tab/>
      </w:r>
      <w:r w:rsidRPr="00C92F30">
        <w:t xml:space="preserve">Suzanne Comhaire-Sylvain, </w:t>
      </w:r>
      <w:r w:rsidRPr="00C92F30">
        <w:rPr>
          <w:i/>
        </w:rPr>
        <w:t>Le Roman de Bouqui</w:t>
      </w:r>
      <w:r w:rsidRPr="00C92F30">
        <w:t>, Montréal, Leméac, 1973, p. 14 [Port-au-Prince, Caravelle, 1940].</w:t>
      </w:r>
    </w:p>
  </w:footnote>
  <w:footnote w:id="851">
    <w:p w:rsidR="004C50DC" w:rsidRDefault="004C50DC">
      <w:pPr>
        <w:pStyle w:val="Notedebasdepage"/>
      </w:pPr>
      <w:r>
        <w:rPr>
          <w:rStyle w:val="Appelnotedebasdep"/>
        </w:rPr>
        <w:footnoteRef/>
      </w:r>
      <w:r>
        <w:t xml:space="preserve"> </w:t>
      </w:r>
      <w:r>
        <w:tab/>
      </w:r>
      <w:r w:rsidRPr="00C92F30">
        <w:rPr>
          <w:lang w:val="fr-FR"/>
        </w:rPr>
        <w:t xml:space="preserve">Michel-RolfTrouillot, « Jeux de mots, jeux de classe. Les mouvances de l’indigénisme », </w:t>
      </w:r>
      <w:r w:rsidRPr="00C92F30">
        <w:rPr>
          <w:i/>
          <w:lang w:val="fr-FR"/>
        </w:rPr>
        <w:t>Conjonction</w:t>
      </w:r>
      <w:r w:rsidRPr="00C92F30">
        <w:rPr>
          <w:lang w:val="fr-FR"/>
        </w:rPr>
        <w:t>, n</w:t>
      </w:r>
      <w:r w:rsidRPr="00C92F30">
        <w:rPr>
          <w:vertAlign w:val="superscript"/>
          <w:lang w:val="fr-FR"/>
        </w:rPr>
        <w:t>o</w:t>
      </w:r>
      <w:r w:rsidRPr="00C92F30">
        <w:rPr>
          <w:lang w:val="fr-FR"/>
        </w:rPr>
        <w:t xml:space="preserve"> 197, </w:t>
      </w:r>
      <w:r w:rsidRPr="00C92F30">
        <w:rPr>
          <w:i/>
          <w:lang w:val="fr-FR"/>
        </w:rPr>
        <w:t>L’indigénisme</w:t>
      </w:r>
      <w:r w:rsidRPr="00C92F30">
        <w:rPr>
          <w:lang w:val="fr-FR"/>
        </w:rPr>
        <w:t>, 1993, p. 29-41  voir au</w:t>
      </w:r>
      <w:r w:rsidRPr="00C92F30">
        <w:rPr>
          <w:lang w:val="fr-FR"/>
        </w:rPr>
        <w:t>s</w:t>
      </w:r>
      <w:r w:rsidRPr="00C92F30">
        <w:rPr>
          <w:lang w:val="fr-FR"/>
        </w:rPr>
        <w:t>si àce sujet Carlo Avierl Célius</w:t>
      </w:r>
      <w:r w:rsidRPr="00C92F30">
        <w:rPr>
          <w:i/>
          <w:lang w:val="fr-FR"/>
        </w:rPr>
        <w:t xml:space="preserve">, </w:t>
      </w:r>
      <w:r w:rsidRPr="00C92F30">
        <w:rPr>
          <w:lang w:val="fr-FR"/>
        </w:rPr>
        <w:t>« La création plastique et le tournant ethnol</w:t>
      </w:r>
      <w:r w:rsidRPr="00C92F30">
        <w:rPr>
          <w:lang w:val="fr-FR"/>
        </w:rPr>
        <w:t>o</w:t>
      </w:r>
      <w:r w:rsidRPr="00C92F30">
        <w:rPr>
          <w:lang w:val="fr-FR"/>
        </w:rPr>
        <w:t xml:space="preserve">gique en Haïti », </w:t>
      </w:r>
      <w:r w:rsidRPr="00C92F30">
        <w:rPr>
          <w:i/>
          <w:lang w:val="fr-FR"/>
        </w:rPr>
        <w:t>Gradhiva</w:t>
      </w:r>
      <w:r w:rsidRPr="00C92F30">
        <w:rPr>
          <w:lang w:val="fr-FR"/>
        </w:rPr>
        <w:t>, n</w:t>
      </w:r>
      <w:r w:rsidRPr="00C92F30">
        <w:rPr>
          <w:vertAlign w:val="superscript"/>
          <w:lang w:val="fr-FR"/>
        </w:rPr>
        <w:t>o </w:t>
      </w:r>
      <w:r w:rsidRPr="00C92F30">
        <w:rPr>
          <w:lang w:val="fr-FR"/>
        </w:rPr>
        <w:t>1, 2005, op. cit</w:t>
      </w:r>
      <w:r w:rsidRPr="00C92F30">
        <w:t>.</w:t>
      </w:r>
    </w:p>
  </w:footnote>
  <w:footnote w:id="852">
    <w:p w:rsidR="004C50DC" w:rsidRDefault="004C50DC">
      <w:pPr>
        <w:pStyle w:val="Notedebasdepage"/>
      </w:pPr>
      <w:r>
        <w:rPr>
          <w:rStyle w:val="Appelnotedebasdep"/>
        </w:rPr>
        <w:footnoteRef/>
      </w:r>
      <w:r>
        <w:t xml:space="preserve"> </w:t>
      </w:r>
      <w:r>
        <w:tab/>
      </w:r>
      <w:r w:rsidRPr="00C92F30">
        <w:t>Notre traduction du créole au français de ces chansonsest une adaptation util</w:t>
      </w:r>
      <w:r w:rsidRPr="00C92F30">
        <w:t>i</w:t>
      </w:r>
      <w:r w:rsidRPr="00C92F30">
        <w:t>sée dans le cadre de cette thèse pour répondre aux exigences académiques et pour faciliter la compréhension des non-créolophones.  Ce n’est pas une tr</w:t>
      </w:r>
      <w:r w:rsidRPr="00C92F30">
        <w:t>a</w:t>
      </w:r>
      <w:r w:rsidRPr="00C92F30">
        <w:t>du</w:t>
      </w:r>
      <w:r w:rsidRPr="00C92F30">
        <w:t>c</w:t>
      </w:r>
      <w:r w:rsidRPr="00C92F30">
        <w:t xml:space="preserve">tion littérale, mais elle respecte l’esprit du texte en créole. </w:t>
      </w:r>
    </w:p>
  </w:footnote>
  <w:footnote w:id="853">
    <w:p w:rsidR="004C50DC" w:rsidRPr="00C92F30" w:rsidRDefault="004C50DC" w:rsidP="004C50DC">
      <w:pPr>
        <w:pStyle w:val="Notedebasdepage"/>
      </w:pPr>
      <w:r w:rsidRPr="00B85C67">
        <w:rPr>
          <w:rStyle w:val="Appelnotedebasdep"/>
        </w:rPr>
        <w:footnoteRef/>
      </w:r>
      <w:r>
        <w:tab/>
      </w:r>
      <w:r w:rsidRPr="00C92F30">
        <w:t>Boukman Eksperyans, « </w:t>
      </w:r>
      <w:r w:rsidRPr="00C92F30">
        <w:rPr>
          <w:i/>
        </w:rPr>
        <w:t>Zansèt nou yo</w:t>
      </w:r>
      <w:r w:rsidRPr="00C92F30">
        <w:t xml:space="preserve"> », album </w:t>
      </w:r>
      <w:r w:rsidRPr="00C92F30">
        <w:rPr>
          <w:i/>
        </w:rPr>
        <w:t>Kalfou danjere</w:t>
      </w:r>
      <w:r w:rsidRPr="00C92F30">
        <w:t xml:space="preserve">, 1992. </w:t>
      </w:r>
    </w:p>
  </w:footnote>
  <w:footnote w:id="854">
    <w:p w:rsidR="004C50DC" w:rsidRPr="00C92F30" w:rsidRDefault="004C50DC" w:rsidP="004C50DC">
      <w:pPr>
        <w:pStyle w:val="Notedebasdepage"/>
        <w:rPr>
          <w:lang w:val="en-US"/>
        </w:rPr>
      </w:pPr>
      <w:r w:rsidRPr="00B85C67">
        <w:rPr>
          <w:rStyle w:val="Appelnotedebasdep"/>
        </w:rPr>
        <w:footnoteRef/>
      </w:r>
      <w:r>
        <w:rPr>
          <w:lang w:val="en-US"/>
        </w:rPr>
        <w:tab/>
      </w:r>
      <w:r w:rsidRPr="00C92F30">
        <w:rPr>
          <w:lang w:val="en-US"/>
        </w:rPr>
        <w:t>John Steve Brunache, « </w:t>
      </w:r>
      <w:r w:rsidRPr="00C92F30">
        <w:rPr>
          <w:i/>
          <w:lang w:val="en-US"/>
        </w:rPr>
        <w:t>Linyon</w:t>
      </w:r>
      <w:r w:rsidRPr="00C92F30">
        <w:rPr>
          <w:lang w:val="en-US"/>
        </w:rPr>
        <w:t xml:space="preserve"> », album </w:t>
      </w:r>
      <w:r w:rsidRPr="00C92F30">
        <w:rPr>
          <w:i/>
          <w:lang w:val="en-US"/>
        </w:rPr>
        <w:t xml:space="preserve">Chimen limyè, </w:t>
      </w:r>
      <w:r w:rsidRPr="00C92F30">
        <w:rPr>
          <w:lang w:val="en-US"/>
        </w:rPr>
        <w:t>1994.</w:t>
      </w:r>
    </w:p>
  </w:footnote>
  <w:footnote w:id="855">
    <w:p w:rsidR="004C50DC" w:rsidRDefault="004C50DC">
      <w:pPr>
        <w:pStyle w:val="Notedebasdepage"/>
      </w:pPr>
      <w:r>
        <w:rPr>
          <w:rStyle w:val="Appelnotedebasdep"/>
        </w:rPr>
        <w:footnoteRef/>
      </w:r>
      <w:r>
        <w:t xml:space="preserve"> </w:t>
      </w:r>
      <w:r>
        <w:tab/>
      </w:r>
      <w:r w:rsidRPr="00C92F30">
        <w:t xml:space="preserve">Glodel Mezilas, « La trajectoire du français et du créole en Haïti », </w:t>
      </w:r>
      <w:r w:rsidRPr="00C92F30">
        <w:rPr>
          <w:i/>
        </w:rPr>
        <w:t>Tanbou</w:t>
      </w:r>
      <w:r w:rsidRPr="00C92F30">
        <w:t xml:space="preserve">, en ligne, </w:t>
      </w:r>
      <w:hyperlink r:id="rId119" w:history="1">
        <w:r w:rsidRPr="00C92F30">
          <w:rPr>
            <w:rStyle w:val="Lienhypertexte"/>
            <w:color w:val="auto"/>
          </w:rPr>
          <w:t>http://www.tanbou.com/2008/TrajectoireFrancaisCreoleHaiti.htm</w:t>
        </w:r>
      </w:hyperlink>
      <w:r w:rsidRPr="00C92F30">
        <w:t>, consulté le 7 octobre 2014.</w:t>
      </w:r>
    </w:p>
  </w:footnote>
  <w:footnote w:id="856">
    <w:p w:rsidR="004C50DC" w:rsidRPr="00C92F30" w:rsidRDefault="004C50DC" w:rsidP="004C50DC">
      <w:pPr>
        <w:pStyle w:val="Notedebasdepage"/>
      </w:pPr>
      <w:r w:rsidRPr="00B85C67">
        <w:rPr>
          <w:rStyle w:val="Appelnotedebasdep"/>
        </w:rPr>
        <w:footnoteRef/>
      </w:r>
      <w:r>
        <w:tab/>
      </w:r>
      <w:r w:rsidRPr="00C92F30">
        <w:t>« Défilé la folle » est le nom de la femme qui a donné à Jean-Jacques Dessal</w:t>
      </w:r>
      <w:r w:rsidRPr="00C92F30">
        <w:t>i</w:t>
      </w:r>
      <w:r w:rsidRPr="00C92F30">
        <w:t>nes une sépulture après son assassinat au Pont Rouge le 17 octobre 1806.</w:t>
      </w:r>
    </w:p>
  </w:footnote>
  <w:footnote w:id="857">
    <w:p w:rsidR="004C50DC" w:rsidRDefault="004C50DC">
      <w:pPr>
        <w:pStyle w:val="Notedebasdepage"/>
      </w:pPr>
      <w:r>
        <w:rPr>
          <w:rStyle w:val="Appelnotedebasdep"/>
        </w:rPr>
        <w:footnoteRef/>
      </w:r>
      <w:r>
        <w:t xml:space="preserve"> </w:t>
      </w:r>
      <w:r>
        <w:tab/>
      </w:r>
      <w:r w:rsidRPr="00C92F30">
        <w:rPr>
          <w:lang w:val="fr-FR"/>
        </w:rPr>
        <w:t>À ce sujet, voir Joseph Ronald Dautruche, « Le rara de Léogane. Entre f</w:t>
      </w:r>
      <w:r w:rsidRPr="00C92F30">
        <w:rPr>
          <w:lang w:val="fr-FR"/>
        </w:rPr>
        <w:t>ê</w:t>
      </w:r>
      <w:r w:rsidRPr="00C92F30">
        <w:rPr>
          <w:lang w:val="fr-FR"/>
        </w:rPr>
        <w:t xml:space="preserve">te traditionnelle liée au vodou et patrimoine ouvert au tourisme », </w:t>
      </w:r>
      <w:r w:rsidRPr="00C92F30">
        <w:rPr>
          <w:i/>
          <w:lang w:val="fr-FR"/>
        </w:rPr>
        <w:t>Ethnologies</w:t>
      </w:r>
      <w:r w:rsidRPr="00C92F30">
        <w:rPr>
          <w:lang w:val="fr-FR"/>
        </w:rPr>
        <w:t>, vol. 33, n</w:t>
      </w:r>
      <w:r w:rsidRPr="00C92F30">
        <w:rPr>
          <w:vertAlign w:val="superscript"/>
          <w:lang w:val="fr-FR"/>
        </w:rPr>
        <w:t>o</w:t>
      </w:r>
      <w:r w:rsidRPr="00C92F30">
        <w:rPr>
          <w:lang w:val="fr-FR"/>
        </w:rPr>
        <w:t xml:space="preserve"> 2, 2011, </w:t>
      </w:r>
      <w:r>
        <w:rPr>
          <w:lang w:val="fr-FR"/>
        </w:rPr>
        <w:t>p</w:t>
      </w:r>
      <w:r w:rsidRPr="00C92F30">
        <w:rPr>
          <w:lang w:val="fr-FR"/>
        </w:rPr>
        <w:t>p. 123-144.</w:t>
      </w:r>
    </w:p>
  </w:footnote>
  <w:footnote w:id="858">
    <w:p w:rsidR="004C50DC" w:rsidRPr="00C92F30" w:rsidRDefault="004C50DC" w:rsidP="004C50DC">
      <w:pPr>
        <w:pStyle w:val="Notedebasdepage"/>
      </w:pPr>
      <w:r w:rsidRPr="00C92F30">
        <w:rPr>
          <w:rStyle w:val="Appelnotedebasdep"/>
          <w:sz w:val="24"/>
        </w:rPr>
        <w:footnoteRef/>
      </w:r>
      <w:r>
        <w:tab/>
      </w:r>
      <w:r w:rsidRPr="00C92F30">
        <w:t xml:space="preserve">Voir Edner Fils Décime, « Haïti-Rara. Ses mutations à travers l’espace et le temps », </w:t>
      </w:r>
      <w:r w:rsidRPr="00C92F30">
        <w:rPr>
          <w:i/>
        </w:rPr>
        <w:t xml:space="preserve">Alter Presse, </w:t>
      </w:r>
      <w:r w:rsidRPr="00C92F30">
        <w:t>samedi 7 avril  2012, en ligne,</w:t>
      </w:r>
      <w:r>
        <w:br/>
      </w:r>
      <w:hyperlink r:id="rId120" w:history="1">
        <w:r w:rsidRPr="00C92F30">
          <w:rPr>
            <w:rStyle w:val="Lienhypertexte"/>
            <w:color w:val="auto"/>
          </w:rPr>
          <w:t>http://www.alterpresse.org/spip.php?article12657</w:t>
        </w:r>
      </w:hyperlink>
      <w:r w:rsidRPr="00C92F30">
        <w:t>, consulté le 12 mars 2015.</w:t>
      </w:r>
    </w:p>
  </w:footnote>
  <w:footnote w:id="859">
    <w:p w:rsidR="004C50DC" w:rsidRPr="00C92F30" w:rsidRDefault="004C50DC" w:rsidP="004C50DC">
      <w:pPr>
        <w:pStyle w:val="Notedebasdepage"/>
      </w:pPr>
      <w:r w:rsidRPr="00C92F30">
        <w:rPr>
          <w:rStyle w:val="Appelnotedebasdep"/>
          <w:sz w:val="24"/>
        </w:rPr>
        <w:footnoteRef/>
      </w:r>
      <w:r>
        <w:tab/>
      </w:r>
      <w:r w:rsidRPr="00C92F30">
        <w:t>Jean Coulanges cité par Edner Fils Décime, ibid.</w:t>
      </w:r>
    </w:p>
  </w:footnote>
  <w:footnote w:id="860">
    <w:p w:rsidR="004C50DC" w:rsidRPr="00C92F30" w:rsidRDefault="004C50DC" w:rsidP="004C50DC">
      <w:pPr>
        <w:pStyle w:val="Notedebasdepage"/>
      </w:pPr>
      <w:r w:rsidRPr="00C92F30">
        <w:rPr>
          <w:rStyle w:val="Appelnotedebasdep"/>
          <w:sz w:val="24"/>
        </w:rPr>
        <w:footnoteRef/>
      </w:r>
      <w:r>
        <w:tab/>
      </w:r>
      <w:r w:rsidRPr="00C92F30">
        <w:t xml:space="preserve">Voir Minustah, « Le rara, rythme vaudou »,28 mars 2013, en ligne, </w:t>
      </w:r>
      <w:hyperlink r:id="rId121" w:history="1">
        <w:r w:rsidRPr="00C92F30">
          <w:rPr>
            <w:rStyle w:val="Lienhypertexte"/>
            <w:color w:val="auto"/>
          </w:rPr>
          <w:t>http://www.minustah.org/le-rara-rythme-vaudou/</w:t>
        </w:r>
      </w:hyperlink>
      <w:r w:rsidRPr="00C92F30">
        <w:t>, consulté le 5 mai 2015.</w:t>
      </w:r>
    </w:p>
  </w:footnote>
  <w:footnote w:id="861">
    <w:p w:rsidR="004C50DC" w:rsidRDefault="004C50DC">
      <w:pPr>
        <w:pStyle w:val="Notedebasdepage"/>
      </w:pPr>
      <w:r>
        <w:rPr>
          <w:rStyle w:val="Appelnotedebasdep"/>
        </w:rPr>
        <w:footnoteRef/>
      </w:r>
      <w:r>
        <w:t xml:space="preserve"> </w:t>
      </w:r>
      <w:r>
        <w:tab/>
      </w:r>
      <w:r w:rsidRPr="00C92F30">
        <w:rPr>
          <w:lang w:val="en-US"/>
        </w:rPr>
        <w:t xml:space="preserve">Voir Harold Coulander, </w:t>
      </w:r>
      <w:r w:rsidRPr="00C92F30">
        <w:rPr>
          <w:i/>
          <w:lang w:val="en-US"/>
        </w:rPr>
        <w:t>Haiti Singing</w:t>
      </w:r>
      <w:r w:rsidRPr="00C92F30">
        <w:rPr>
          <w:lang w:val="en-US"/>
        </w:rPr>
        <w:t xml:space="preserve">, Chapel Hill, The University of North Carolina Press, 1939. </w:t>
      </w:r>
      <w:r w:rsidRPr="00C92F30">
        <w:rPr>
          <w:lang w:val="fr-FR"/>
        </w:rPr>
        <w:t>L’auteur précise que le terme « rara » est un adverbe ut</w:t>
      </w:r>
      <w:r w:rsidRPr="00C92F30">
        <w:rPr>
          <w:lang w:val="fr-FR"/>
        </w:rPr>
        <w:t>i</w:t>
      </w:r>
      <w:r w:rsidRPr="00C92F30">
        <w:rPr>
          <w:lang w:val="fr-FR"/>
        </w:rPr>
        <w:t xml:space="preserve">lisé dans l’un des dialectes et qu’il signifie « hautement, bruyamment » ; voir aussi Joseph Ronald Dautruche, « Le Rara de Léogâne », </w:t>
      </w:r>
      <w:r w:rsidRPr="00C92F30">
        <w:rPr>
          <w:i/>
          <w:lang w:val="fr-FR"/>
        </w:rPr>
        <w:t>Inventaire du patr</w:t>
      </w:r>
      <w:r w:rsidRPr="00C92F30">
        <w:rPr>
          <w:i/>
          <w:lang w:val="fr-FR"/>
        </w:rPr>
        <w:t>i</w:t>
      </w:r>
      <w:r w:rsidRPr="00C92F30">
        <w:rPr>
          <w:i/>
          <w:lang w:val="fr-FR"/>
        </w:rPr>
        <w:t>moine i</w:t>
      </w:r>
      <w:r w:rsidRPr="00C92F30">
        <w:rPr>
          <w:i/>
          <w:lang w:val="fr-FR"/>
        </w:rPr>
        <w:t>m</w:t>
      </w:r>
      <w:r w:rsidRPr="00C92F30">
        <w:rPr>
          <w:i/>
          <w:lang w:val="fr-FR"/>
        </w:rPr>
        <w:t>matériel d’Haïti</w:t>
      </w:r>
      <w:r w:rsidRPr="00C92F30">
        <w:rPr>
          <w:lang w:val="fr-FR"/>
        </w:rPr>
        <w:t xml:space="preserve">, en ligne, </w:t>
      </w:r>
      <w:hyperlink r:id="rId122" w:history="1">
        <w:r w:rsidRPr="00C92F30">
          <w:rPr>
            <w:rStyle w:val="Lienhypertexte"/>
            <w:lang w:val="fr-FR"/>
          </w:rPr>
          <w:t>http://www.ipimh.ulaval.ca/fiche-rara-leogane-19.html</w:t>
        </w:r>
      </w:hyperlink>
      <w:r w:rsidRPr="00C92F30">
        <w:rPr>
          <w:lang w:val="fr-FR"/>
        </w:rPr>
        <w:t>,  consulté le 21 octobre 2014.</w:t>
      </w:r>
    </w:p>
  </w:footnote>
  <w:footnote w:id="862">
    <w:p w:rsidR="004C50DC" w:rsidRDefault="004C50DC">
      <w:pPr>
        <w:pStyle w:val="Notedebasdepage"/>
      </w:pPr>
      <w:r>
        <w:rPr>
          <w:rStyle w:val="Appelnotedebasdep"/>
        </w:rPr>
        <w:footnoteRef/>
      </w:r>
      <w:r>
        <w:t xml:space="preserve"> </w:t>
      </w:r>
      <w:r>
        <w:tab/>
      </w:r>
      <w:r w:rsidRPr="00B85C67">
        <w:rPr>
          <w:i/>
          <w:lang w:val="fr-FR"/>
        </w:rPr>
        <w:t>Ibid</w:t>
      </w:r>
      <w:r w:rsidRPr="00C92F30">
        <w:rPr>
          <w:lang w:val="fr-FR"/>
        </w:rPr>
        <w:t>.</w:t>
      </w:r>
    </w:p>
  </w:footnote>
  <w:footnote w:id="863">
    <w:p w:rsidR="004C50DC" w:rsidRPr="00C92F30" w:rsidRDefault="004C50DC" w:rsidP="004C50DC">
      <w:pPr>
        <w:pStyle w:val="Notedebasdepage"/>
      </w:pPr>
      <w:r w:rsidRPr="00B85C67">
        <w:rPr>
          <w:rStyle w:val="Appelnotedebasdep"/>
        </w:rPr>
        <w:footnoteRef/>
      </w:r>
      <w:r>
        <w:tab/>
      </w:r>
      <w:r w:rsidRPr="00C92F30">
        <w:t>Voir Edner Fils Décime, « Haïti-Rara… », op. cit.</w:t>
      </w:r>
    </w:p>
  </w:footnote>
  <w:footnote w:id="864">
    <w:p w:rsidR="004C50DC" w:rsidRPr="00C92F30" w:rsidRDefault="004C50DC" w:rsidP="004C50DC">
      <w:pPr>
        <w:pStyle w:val="Notedebasdepage"/>
      </w:pPr>
      <w:r w:rsidRPr="00B85C67">
        <w:rPr>
          <w:rStyle w:val="Appelnotedebasdep"/>
        </w:rPr>
        <w:footnoteRef/>
      </w:r>
      <w:r>
        <w:tab/>
      </w:r>
      <w:r w:rsidRPr="00C92F30">
        <w:t>Minustah, Le rara, rythme vaudou, op. cit.</w:t>
      </w:r>
    </w:p>
  </w:footnote>
  <w:footnote w:id="865">
    <w:p w:rsidR="004C50DC" w:rsidRDefault="004C50DC">
      <w:pPr>
        <w:pStyle w:val="Notedebasdepage"/>
      </w:pPr>
      <w:r>
        <w:rPr>
          <w:rStyle w:val="Appelnotedebasdep"/>
        </w:rPr>
        <w:footnoteRef/>
      </w:r>
      <w:r>
        <w:t xml:space="preserve"> </w:t>
      </w:r>
      <w:r>
        <w:tab/>
      </w:r>
      <w:r w:rsidRPr="00C92F30">
        <w:t xml:space="preserve">Carlo Avierl Célieus, « Modernité artistique en Haïti », </w:t>
      </w:r>
      <w:r w:rsidRPr="00C92F30">
        <w:rPr>
          <w:i/>
        </w:rPr>
        <w:t>Haïti au toit de la Grande Arche</w:t>
      </w:r>
      <w:r w:rsidRPr="00C92F30">
        <w:t>, catalogue des expositions « Haïti : Femmes et Création » et « De l’esclavage d’hier à notre culture d’aujourd’hui », Paris, 10 septembre-18 octobre 1998, Port-au-Prince, Henri Deschamps, 1998, p. 59.</w:t>
      </w:r>
    </w:p>
  </w:footnote>
  <w:footnote w:id="866">
    <w:p w:rsidR="004C50DC" w:rsidRDefault="004C50DC">
      <w:pPr>
        <w:pStyle w:val="Notedebasdepage"/>
      </w:pPr>
      <w:r>
        <w:rPr>
          <w:rStyle w:val="Appelnotedebasdep"/>
        </w:rPr>
        <w:footnoteRef/>
      </w:r>
      <w:r>
        <w:t xml:space="preserve"> </w:t>
      </w:r>
      <w:r>
        <w:tab/>
      </w:r>
      <w:r w:rsidRPr="00C92F30">
        <w:t xml:space="preserve">Voir Donald J. Cosentino, </w:t>
      </w:r>
      <w:r w:rsidRPr="00C92F30">
        <w:rPr>
          <w:i/>
        </w:rPr>
        <w:t>Sacred Arts of Haitian Vodou</w:t>
      </w:r>
      <w:r w:rsidRPr="00C92F30">
        <w:t>, Los Angeles, Un</w:t>
      </w:r>
      <w:r w:rsidRPr="00C92F30">
        <w:t>i</w:t>
      </w:r>
      <w:r w:rsidRPr="00C92F30">
        <w:t>versity of California, Fowler Museum of Cultural History, 1995, p. 122 ; voir aussi, e</w:t>
      </w:r>
      <w:r w:rsidRPr="00C92F30">
        <w:rPr>
          <w:lang w:val="fr-FR"/>
        </w:rPr>
        <w:t xml:space="preserve">n ligne, </w:t>
      </w:r>
      <w:r w:rsidRPr="00C92F30">
        <w:rPr>
          <w:i/>
          <w:lang w:val="fr-FR"/>
        </w:rPr>
        <w:t>Blouin Artinfo Blogs</w:t>
      </w:r>
      <w:r w:rsidRPr="00C92F30">
        <w:rPr>
          <w:lang w:val="fr-FR"/>
        </w:rPr>
        <w:t>, « Unbreakable Haiti at the Fowler », 9 ja</w:t>
      </w:r>
      <w:r w:rsidRPr="00C92F30">
        <w:rPr>
          <w:lang w:val="fr-FR"/>
        </w:rPr>
        <w:t>n</w:t>
      </w:r>
      <w:r w:rsidRPr="00C92F30">
        <w:rPr>
          <w:lang w:val="fr-FR"/>
        </w:rPr>
        <w:t xml:space="preserve">vier 2011, </w:t>
      </w:r>
      <w:r w:rsidRPr="00C92F30">
        <w:t>http://blogs.artinfo.com/lacmonfire/tag/madsen-mompremier/, consulté le 23 novembre 2014.</w:t>
      </w:r>
    </w:p>
  </w:footnote>
  <w:footnote w:id="867">
    <w:p w:rsidR="004C50DC" w:rsidRDefault="004C50DC">
      <w:pPr>
        <w:pStyle w:val="Notedebasdepage"/>
      </w:pPr>
      <w:r>
        <w:rPr>
          <w:rStyle w:val="Appelnotedebasdep"/>
        </w:rPr>
        <w:footnoteRef/>
      </w:r>
      <w:r>
        <w:t xml:space="preserve"> </w:t>
      </w:r>
      <w:r>
        <w:tab/>
      </w:r>
      <w:r w:rsidRPr="00C92F30">
        <w:t>À ce sujet, voir Carlo Avierl Célius, « La création plastique et le tournant et</w:t>
      </w:r>
      <w:r w:rsidRPr="00C92F30">
        <w:t>h</w:t>
      </w:r>
      <w:r w:rsidRPr="00C92F30">
        <w:t>nologique en Haïti », op. cit.</w:t>
      </w:r>
    </w:p>
  </w:footnote>
  <w:footnote w:id="868">
    <w:p w:rsidR="004C50DC" w:rsidRDefault="004C50DC">
      <w:pPr>
        <w:pStyle w:val="Notedebasdepage"/>
      </w:pPr>
      <w:r>
        <w:rPr>
          <w:rStyle w:val="Appelnotedebasdep"/>
        </w:rPr>
        <w:footnoteRef/>
      </w:r>
      <w:r>
        <w:t xml:space="preserve"> </w:t>
      </w:r>
      <w:r>
        <w:tab/>
      </w:r>
      <w:r w:rsidRPr="00C92F30">
        <w:rPr>
          <w:lang w:val="en-US"/>
        </w:rPr>
        <w:t>Divinités du vodou haïtien.</w:t>
      </w:r>
    </w:p>
  </w:footnote>
  <w:footnote w:id="869">
    <w:p w:rsidR="004C50DC" w:rsidRDefault="004C50DC">
      <w:pPr>
        <w:pStyle w:val="Notedebasdepage"/>
      </w:pPr>
      <w:r>
        <w:rPr>
          <w:rStyle w:val="Appelnotedebasdep"/>
        </w:rPr>
        <w:footnoteRef/>
      </w:r>
      <w:r>
        <w:t xml:space="preserve"> </w:t>
      </w:r>
      <w:r>
        <w:tab/>
      </w:r>
      <w:r w:rsidRPr="00C92F30">
        <w:t xml:space="preserve">Stuart Hall, « The white of their eyes. Racist ideologies and the Media », </w:t>
      </w:r>
      <w:r w:rsidRPr="00C92F30">
        <w:rPr>
          <w:iCs/>
        </w:rPr>
        <w:t xml:space="preserve">dans Gail </w:t>
      </w:r>
      <w:r w:rsidRPr="00C92F30">
        <w:t xml:space="preserve">Dines et Jean Humez (dir.), </w:t>
      </w:r>
      <w:r w:rsidRPr="00C92F30">
        <w:rPr>
          <w:i/>
          <w:iCs/>
        </w:rPr>
        <w:t>Gender, race, and class in media. A text re</w:t>
      </w:r>
      <w:r w:rsidRPr="00C92F30">
        <w:rPr>
          <w:i/>
          <w:iCs/>
        </w:rPr>
        <w:t>a</w:t>
      </w:r>
      <w:r w:rsidRPr="00C92F30">
        <w:rPr>
          <w:i/>
          <w:iCs/>
        </w:rPr>
        <w:t>der</w:t>
      </w:r>
      <w:r w:rsidRPr="00C92F30">
        <w:t>, Londres, Sage Publications, 1995, p</w:t>
      </w:r>
      <w:r>
        <w:t>p</w:t>
      </w:r>
      <w:r w:rsidRPr="00C92F30">
        <w:t>. 18-22.</w:t>
      </w:r>
    </w:p>
  </w:footnote>
  <w:footnote w:id="870">
    <w:p w:rsidR="004C50DC" w:rsidRDefault="004C50DC">
      <w:pPr>
        <w:pStyle w:val="Notedebasdepage"/>
      </w:pPr>
      <w:r>
        <w:rPr>
          <w:rStyle w:val="Appelnotedebasdep"/>
        </w:rPr>
        <w:footnoteRef/>
      </w:r>
      <w:r>
        <w:t xml:space="preserve"> </w:t>
      </w:r>
      <w:r>
        <w:tab/>
      </w:r>
      <w:r w:rsidRPr="00C92F30">
        <w:rPr>
          <w:i/>
        </w:rPr>
        <w:t>Toussaint Louverture. Le Napoléon noir</w:t>
      </w:r>
      <w:r w:rsidRPr="00C92F30">
        <w:t>, film réalisé par Philippe Niang en 2012.</w:t>
      </w:r>
    </w:p>
  </w:footnote>
  <w:footnote w:id="871">
    <w:p w:rsidR="004C50DC" w:rsidRDefault="004C50DC">
      <w:pPr>
        <w:pStyle w:val="Notedebasdepage"/>
      </w:pPr>
      <w:r>
        <w:rPr>
          <w:rStyle w:val="Appelnotedebasdep"/>
        </w:rPr>
        <w:footnoteRef/>
      </w:r>
      <w:r>
        <w:t xml:space="preserve"> </w:t>
      </w:r>
      <w:r>
        <w:tab/>
      </w:r>
      <w:r w:rsidRPr="00C92F30">
        <w:t>Christelle Devesa, « EXCLU - Toussaint Louverture. Il faut regarder ce film, mais savoir que tout n’est pas exact »</w:t>
      </w:r>
      <w:r w:rsidRPr="00C92F30">
        <w:rPr>
          <w:lang w:val="fr-FR"/>
        </w:rPr>
        <w:t>, (</w:t>
      </w:r>
      <w:r w:rsidRPr="00C92F30">
        <w:t xml:space="preserve">compte rendu d’une entrevue réalisée avec Marcel Dorigny à la sortie du film de Philippe Niang, </w:t>
      </w:r>
      <w:r w:rsidRPr="00C92F30">
        <w:rPr>
          <w:i/>
        </w:rPr>
        <w:t>Toussaint Louve</w:t>
      </w:r>
      <w:r w:rsidRPr="00C92F30">
        <w:rPr>
          <w:i/>
        </w:rPr>
        <w:t>r</w:t>
      </w:r>
      <w:r w:rsidRPr="00C92F30">
        <w:rPr>
          <w:i/>
        </w:rPr>
        <w:t>ture. Le Napoléon noir</w:t>
      </w:r>
      <w:r w:rsidRPr="00C92F30">
        <w:t xml:space="preserve">), </w:t>
      </w:r>
      <w:r w:rsidRPr="00C92F30">
        <w:rPr>
          <w:lang w:val="fr-FR"/>
        </w:rPr>
        <w:t xml:space="preserve">en ligne, </w:t>
      </w:r>
      <w:hyperlink r:id="rId123" w:history="1">
        <w:r w:rsidRPr="00C92F30">
          <w:rPr>
            <w:rStyle w:val="Lienhypertexte"/>
          </w:rPr>
          <w:t>http://www.premiere.fr/TV/News-Tele/EXCLU-Toussaint-Louverture-Il-faut-regarder-ce-film-mais-savoir-que-tout-nest-pas-exact</w:t>
        </w:r>
      </w:hyperlink>
      <w:r w:rsidRPr="00C92F30">
        <w:t>, consulté le 18 novembre 2015.</w:t>
      </w:r>
    </w:p>
  </w:footnote>
  <w:footnote w:id="872">
    <w:p w:rsidR="004C50DC" w:rsidRDefault="004C50DC">
      <w:pPr>
        <w:pStyle w:val="Notedebasdepage"/>
      </w:pPr>
      <w:r>
        <w:rPr>
          <w:rStyle w:val="Appelnotedebasdep"/>
        </w:rPr>
        <w:footnoteRef/>
      </w:r>
      <w:r>
        <w:t xml:space="preserve"> </w:t>
      </w:r>
      <w:r>
        <w:tab/>
      </w:r>
      <w:r w:rsidRPr="00C92F30">
        <w:t xml:space="preserve">Ibid. </w:t>
      </w:r>
    </w:p>
  </w:footnote>
  <w:footnote w:id="873">
    <w:p w:rsidR="004C50DC" w:rsidRDefault="004C50DC">
      <w:pPr>
        <w:pStyle w:val="Notedebasdepage"/>
      </w:pPr>
      <w:r>
        <w:rPr>
          <w:rStyle w:val="Appelnotedebasdep"/>
        </w:rPr>
        <w:footnoteRef/>
      </w:r>
      <w:r>
        <w:t xml:space="preserve"> </w:t>
      </w:r>
      <w:r>
        <w:tab/>
      </w:r>
      <w:r w:rsidRPr="00C92F30">
        <w:t>Le Concordat a été adopté le 28 mars 1860 entre le Saint-Siège et l’État ha</w:t>
      </w:r>
      <w:r w:rsidRPr="00C92F30">
        <w:t>ï</w:t>
      </w:r>
      <w:r w:rsidRPr="00C92F30">
        <w:t>tien à Rome.</w:t>
      </w:r>
      <w:r>
        <w:t xml:space="preserve"> </w:t>
      </w:r>
      <w:r w:rsidRPr="00C92F30">
        <w:t>Il fut signé par le président Fabre Nicolas Geffrard et le souv</w:t>
      </w:r>
      <w:r w:rsidRPr="00C92F30">
        <w:t>e</w:t>
      </w:r>
      <w:r w:rsidRPr="00C92F30">
        <w:t>rain pontife Pie X le 10 mai 1860, et ratifié par leSénat le 1</w:t>
      </w:r>
      <w:r w:rsidRPr="00C92F30">
        <w:rPr>
          <w:vertAlign w:val="superscript"/>
        </w:rPr>
        <w:t>er</w:t>
      </w:r>
      <w:r w:rsidRPr="00C92F30">
        <w:t>août de la même a</w:t>
      </w:r>
      <w:r w:rsidRPr="00C92F30">
        <w:t>n</w:t>
      </w:r>
      <w:r w:rsidRPr="00C92F30">
        <w:t>née. Le Concordat de 1860 resta pleinement en vigueur jusqu’en 1983. L’Article 1 stipule : « La religion catholique, apostolique et romaine, qui est la religion de la grande majorité des Haïtiens, sera spécialement protégée, ainsi que ses ministres dans la République d’Haïti, et jouira des droits et a</w:t>
      </w:r>
      <w:r w:rsidRPr="00C92F30">
        <w:t>t</w:t>
      </w:r>
      <w:r w:rsidRPr="00C92F30">
        <w:t>tributs qui lui sont propres ».</w:t>
      </w:r>
    </w:p>
  </w:footnote>
  <w:footnote w:id="874">
    <w:p w:rsidR="004C50DC" w:rsidRDefault="004C50DC">
      <w:pPr>
        <w:pStyle w:val="Notedebasdepage"/>
      </w:pPr>
      <w:r>
        <w:rPr>
          <w:rStyle w:val="Appelnotedebasdep"/>
        </w:rPr>
        <w:footnoteRef/>
      </w:r>
      <w:r>
        <w:t xml:space="preserve"> </w:t>
      </w:r>
      <w:r>
        <w:tab/>
      </w:r>
      <w:r w:rsidRPr="00C92F30">
        <w:rPr>
          <w:lang w:eastAsia="en-CA"/>
        </w:rPr>
        <w:t>Les « campagnes anti-superstitieuses » sont les diverses opérations menées par l’Église catholique avec l’appui de l’État haïtien contre le vodou à partir de 1860. Les plus importantes sont celles de 1896 à1900, de 1911-1912 et de 1939 à 1942 entreprises par le clergé au niveau national pour éradiquer le « mélange »</w:t>
      </w:r>
      <w:r w:rsidRPr="00C92F30">
        <w:rPr>
          <w:i/>
          <w:iCs/>
          <w:lang w:eastAsia="en-CA"/>
        </w:rPr>
        <w:t xml:space="preserve">, </w:t>
      </w:r>
      <w:r w:rsidRPr="00C92F30">
        <w:rPr>
          <w:iCs/>
          <w:lang w:eastAsia="en-CA"/>
        </w:rPr>
        <w:t xml:space="preserve">expression utilisée </w:t>
      </w:r>
      <w:r w:rsidRPr="00C92F30">
        <w:rPr>
          <w:lang w:eastAsia="en-CA"/>
        </w:rPr>
        <w:t>pour désigner le vodou qu’il percevait comme une sorte de « paganisme démoniaque », de « superstition ». D’autres camp</w:t>
      </w:r>
      <w:r w:rsidRPr="00C92F30">
        <w:rPr>
          <w:lang w:eastAsia="en-CA"/>
        </w:rPr>
        <w:t>a</w:t>
      </w:r>
      <w:r w:rsidRPr="00C92F30">
        <w:rPr>
          <w:lang w:eastAsia="en-CA"/>
        </w:rPr>
        <w:t>gnes régionales ont suivi durant la seconde moitié des années 1940 et jusqu’en 1957. Ces campagnes furent appuyées par les gouvernements successifs, ce qui porte à les analyser en dehors même des problèmes de christianisation. En effet, au lendemain de l’Indépendance, l’État haïtien n’a jamais voulu assumer sonhéritage africain comme élément significatif de son identité nationale et culturelle. Il a rejeté le vodou, comparé à une pratique primitive, pour se mo</w:t>
      </w:r>
      <w:r w:rsidRPr="00C92F30">
        <w:rPr>
          <w:lang w:eastAsia="en-CA"/>
        </w:rPr>
        <w:t>n</w:t>
      </w:r>
      <w:r w:rsidRPr="00C92F30">
        <w:rPr>
          <w:lang w:eastAsia="en-CA"/>
        </w:rPr>
        <w:t>trer digne, face au monde extérieur, d’une nation devenue « civilisée ». Le v</w:t>
      </w:r>
      <w:r w:rsidRPr="00C92F30">
        <w:rPr>
          <w:lang w:eastAsia="en-CA"/>
        </w:rPr>
        <w:t>o</w:t>
      </w:r>
      <w:r w:rsidRPr="00C92F30">
        <w:rPr>
          <w:lang w:eastAsia="en-CA"/>
        </w:rPr>
        <w:t>dou, source de la culture populaire haïtienne, adopté surtout par les masses r</w:t>
      </w:r>
      <w:r w:rsidRPr="00C92F30">
        <w:rPr>
          <w:lang w:eastAsia="en-CA"/>
        </w:rPr>
        <w:t>u</w:t>
      </w:r>
      <w:r w:rsidRPr="00C92F30">
        <w:rPr>
          <w:lang w:eastAsia="en-CA"/>
        </w:rPr>
        <w:t>rales et le prolétariat urbain qu’il faut maintenir à tout prix éloignés dupo</w:t>
      </w:r>
      <w:r w:rsidRPr="00C92F30">
        <w:rPr>
          <w:lang w:eastAsia="en-CA"/>
        </w:rPr>
        <w:t>u</w:t>
      </w:r>
      <w:r w:rsidRPr="00C92F30">
        <w:rPr>
          <w:lang w:eastAsia="en-CA"/>
        </w:rPr>
        <w:t>voir, est devenu depuis une « puissance » à maîtriser en l’assimilant à la so</w:t>
      </w:r>
      <w:r w:rsidRPr="00C92F30">
        <w:rPr>
          <w:lang w:eastAsia="en-CA"/>
        </w:rPr>
        <w:t>r</w:t>
      </w:r>
      <w:r w:rsidRPr="00C92F30">
        <w:rPr>
          <w:lang w:eastAsia="en-CA"/>
        </w:rPr>
        <w:t>cellerie et à la délinquance. Cette position de l’État est un legs du passé col</w:t>
      </w:r>
      <w:r w:rsidRPr="00C92F30">
        <w:rPr>
          <w:lang w:eastAsia="en-CA"/>
        </w:rPr>
        <w:t>o</w:t>
      </w:r>
      <w:r w:rsidRPr="00C92F30">
        <w:rPr>
          <w:lang w:eastAsia="en-CA"/>
        </w:rPr>
        <w:t>nial esclavagiste. Fabio Chiarelotto complète cette réflexion en soutenant que « les campagnes antisuperstitieuses » mirent également en lumière l’incapacité de la société haïtienne à former un État homogène. La contradi</w:t>
      </w:r>
      <w:r w:rsidRPr="00C92F30">
        <w:rPr>
          <w:lang w:eastAsia="en-CA"/>
        </w:rPr>
        <w:t>c</w:t>
      </w:r>
      <w:r w:rsidRPr="00C92F30">
        <w:rPr>
          <w:lang w:eastAsia="en-CA"/>
        </w:rPr>
        <w:t>tion structurelle dans laquelle l’État se trouvait réapparaissait dans le rôle qu’il avait attribué à l’Église catholique. Le gouvernement, qui nepouvait s’engager ouvertement contre le vodou sans se rendre impopulaire, lui avait confié, par le concordat de 1860, le réquisitoire public et le rôle d’inquisiteur contre le vodou. Aussi longtemps que les campagnes furent dirigées contre les paysans et le prolétariat urbain, cela convint à la bourgeoisie et au gouvernement, mais lorsque la bourgeoisie et la petite bourgeoisie se virent confrontées aux m</w:t>
      </w:r>
      <w:r w:rsidRPr="00C92F30">
        <w:rPr>
          <w:lang w:eastAsia="en-CA"/>
        </w:rPr>
        <w:t>ê</w:t>
      </w:r>
      <w:r w:rsidRPr="00C92F30">
        <w:rPr>
          <w:lang w:eastAsia="en-CA"/>
        </w:rPr>
        <w:t>mes mesures de l’Église, les puissants du pays s’empêtrèrent dans leurs pr</w:t>
      </w:r>
      <w:r w:rsidRPr="00C92F30">
        <w:rPr>
          <w:lang w:eastAsia="en-CA"/>
        </w:rPr>
        <w:t>o</w:t>
      </w:r>
      <w:r w:rsidRPr="00C92F30">
        <w:rPr>
          <w:lang w:eastAsia="en-CA"/>
        </w:rPr>
        <w:t>pres problèmes d’identité ; Fabio Chiarelotto, « Le vodou. Campagnes anti-superstitieuses », dans le Vodou, Guy Maximilien (dir.), Scie</w:t>
      </w:r>
      <w:r w:rsidRPr="00C92F30">
        <w:rPr>
          <w:lang w:eastAsia="en-CA"/>
        </w:rPr>
        <w:t>n</w:t>
      </w:r>
      <w:r w:rsidRPr="00C92F30">
        <w:rPr>
          <w:lang w:eastAsia="en-CA"/>
        </w:rPr>
        <w:t>ce des religions, cours de second cycle, Domuni campus virtuel Saint-Jérôme, en ligne, http://stjerome.domuni.org, 2003, consulté le 3 avril 2014.</w:t>
      </w:r>
    </w:p>
  </w:footnote>
  <w:footnote w:id="875">
    <w:p w:rsidR="004C50DC" w:rsidRPr="00C92F30" w:rsidRDefault="004C50DC" w:rsidP="004C50DC">
      <w:pPr>
        <w:pStyle w:val="Notedebasdepage"/>
        <w:rPr>
          <w:color w:val="auto"/>
          <w:lang w:eastAsia="en-CA"/>
        </w:rPr>
      </w:pPr>
      <w:r w:rsidRPr="00B85C67">
        <w:rPr>
          <w:rStyle w:val="Appelnotedebasdep"/>
        </w:rPr>
        <w:footnoteRef/>
      </w:r>
      <w:r>
        <w:tab/>
      </w:r>
      <w:r w:rsidRPr="00C92F30">
        <w:t xml:space="preserve">Voir Alfred Métraux, </w:t>
      </w:r>
      <w:r w:rsidRPr="00C92F30">
        <w:rPr>
          <w:i/>
        </w:rPr>
        <w:t>Le vaudou haïtien</w:t>
      </w:r>
      <w:r w:rsidRPr="00C92F30">
        <w:t xml:space="preserve">, Paris, Gallimard, 1958, p. 299 ; voir </w:t>
      </w:r>
      <w:r w:rsidRPr="00C92F30">
        <w:rPr>
          <w:color w:val="auto"/>
          <w:lang w:eastAsia="en-CA"/>
        </w:rPr>
        <w:t>aussi Hérold Toussaint, op.cit, 2008, p. 111.</w:t>
      </w:r>
    </w:p>
  </w:footnote>
  <w:footnote w:id="876">
    <w:p w:rsidR="004C50DC" w:rsidRDefault="004C50DC">
      <w:pPr>
        <w:pStyle w:val="Notedebasdepage"/>
      </w:pPr>
      <w:r>
        <w:rPr>
          <w:rStyle w:val="Appelnotedebasdep"/>
        </w:rPr>
        <w:footnoteRef/>
      </w:r>
      <w:r>
        <w:t xml:space="preserve"> </w:t>
      </w:r>
      <w:r>
        <w:tab/>
      </w:r>
      <w:r w:rsidRPr="00C92F30">
        <w:rPr>
          <w:rFonts w:eastAsia="Calibri"/>
        </w:rPr>
        <w:t>Père Pascal, Rapport adressé au ministre des Cultes, septembre 1861, Arch</w:t>
      </w:r>
      <w:r w:rsidRPr="00C92F30">
        <w:rPr>
          <w:rFonts w:eastAsia="Calibri"/>
        </w:rPr>
        <w:t>i</w:t>
      </w:r>
      <w:r w:rsidRPr="00C92F30">
        <w:rPr>
          <w:rFonts w:eastAsia="Calibri"/>
        </w:rPr>
        <w:t xml:space="preserve">ves de la Congrégation du Saint-Esprit à Chevilly-Larue (Arch. CSSP), 5P1.2.3, correspondance du père Pascal avec l’autorité civile ; voir  </w:t>
      </w:r>
      <w:r w:rsidRPr="00C92F30">
        <w:t>Lewis Ampidu Clo</w:t>
      </w:r>
      <w:r w:rsidRPr="00C92F30">
        <w:t>r</w:t>
      </w:r>
      <w:r w:rsidRPr="00C92F30">
        <w:t xml:space="preserve">méus, « À propos de la seconde campagne antisuperstitieuse en Haïti (1911-1912). Contribution à une historiographie », </w:t>
      </w:r>
      <w:r w:rsidRPr="00C92F30">
        <w:rPr>
          <w:i/>
        </w:rPr>
        <w:t>Histoires et missions chrétie</w:t>
      </w:r>
      <w:r w:rsidRPr="00C92F30">
        <w:rPr>
          <w:i/>
        </w:rPr>
        <w:t>n</w:t>
      </w:r>
      <w:r w:rsidRPr="00C92F30">
        <w:rPr>
          <w:i/>
        </w:rPr>
        <w:t>nes</w:t>
      </w:r>
      <w:r w:rsidRPr="00C92F30">
        <w:t>, n</w:t>
      </w:r>
      <w:r w:rsidRPr="00C92F30">
        <w:rPr>
          <w:vertAlign w:val="superscript"/>
        </w:rPr>
        <w:t>o</w:t>
      </w:r>
      <w:r w:rsidRPr="00C92F30">
        <w:t> 24, 2012, p. 105.</w:t>
      </w:r>
    </w:p>
  </w:footnote>
  <w:footnote w:id="877">
    <w:p w:rsidR="004C50DC" w:rsidRPr="00C92F30" w:rsidRDefault="004C50DC" w:rsidP="004C50DC">
      <w:pPr>
        <w:pStyle w:val="Notedebasdepage"/>
      </w:pPr>
      <w:r w:rsidRPr="00C92F30">
        <w:rPr>
          <w:rStyle w:val="Appelnotedebasdep"/>
          <w:sz w:val="24"/>
        </w:rPr>
        <w:footnoteRef/>
      </w:r>
      <w:r>
        <w:tab/>
      </w:r>
      <w:r w:rsidRPr="00C92F30">
        <w:t xml:space="preserve">Laënnec Hurbon, </w:t>
      </w:r>
      <w:r w:rsidRPr="00C92F30">
        <w:rPr>
          <w:i/>
        </w:rPr>
        <w:t>Religions et lien social. L’Église et l’État moderne en Haïti</w:t>
      </w:r>
      <w:r w:rsidRPr="00C92F30">
        <w:t>, Paris, Éditions du Cerf, 2004, p. 72-77 ; voir aussi William Smarth, « Laënnec Hurbon, Religions et lien social. L’Église et l’État moderne en Haïti », Notes de lecture, dans</w:t>
      </w:r>
      <w:r w:rsidRPr="00C92F30">
        <w:rPr>
          <w:i/>
        </w:rPr>
        <w:t>Haïti 1804-2004</w:t>
      </w:r>
      <w:r w:rsidRPr="00C92F30">
        <w:t xml:space="preserve">, </w:t>
      </w:r>
      <w:r w:rsidRPr="00C92F30">
        <w:rPr>
          <w:i/>
        </w:rPr>
        <w:t>Conjonction,</w:t>
      </w:r>
      <w:r w:rsidRPr="00C92F30">
        <w:t xml:space="preserve"> n</w:t>
      </w:r>
      <w:r w:rsidRPr="00C92F30">
        <w:rPr>
          <w:vertAlign w:val="superscript"/>
        </w:rPr>
        <w:t>o</w:t>
      </w:r>
      <w:r w:rsidRPr="00C92F30">
        <w:t xml:space="preserve"> 211, 2005, p. 144. </w:t>
      </w:r>
    </w:p>
  </w:footnote>
  <w:footnote w:id="878">
    <w:p w:rsidR="004C50DC" w:rsidRPr="00C92F30" w:rsidRDefault="004C50DC" w:rsidP="004C50DC">
      <w:pPr>
        <w:pStyle w:val="Notedebasdepage"/>
      </w:pPr>
      <w:r w:rsidRPr="00C92F30">
        <w:rPr>
          <w:rStyle w:val="Appelnotedebasdep"/>
          <w:sz w:val="24"/>
        </w:rPr>
        <w:footnoteRef/>
      </w:r>
      <w:r>
        <w:tab/>
      </w:r>
      <w:r w:rsidRPr="00C92F30">
        <w:t xml:space="preserve">Laënnec Hurbon, op. cit., p. 136. </w:t>
      </w:r>
    </w:p>
  </w:footnote>
  <w:footnote w:id="879">
    <w:p w:rsidR="004C50DC" w:rsidRDefault="004C50DC">
      <w:pPr>
        <w:pStyle w:val="Notedebasdepage"/>
      </w:pPr>
      <w:r>
        <w:rPr>
          <w:rStyle w:val="Appelnotedebasdep"/>
        </w:rPr>
        <w:footnoteRef/>
      </w:r>
      <w:r>
        <w:t xml:space="preserve"> </w:t>
      </w:r>
      <w:r>
        <w:tab/>
      </w:r>
      <w:r w:rsidRPr="00C92F30">
        <w:t xml:space="preserve">Jules </w:t>
      </w:r>
      <w:r w:rsidRPr="00C92F30">
        <w:rPr>
          <w:rFonts w:eastAsia="Calibri"/>
        </w:rPr>
        <w:t>Michelet,</w:t>
      </w:r>
      <w:r>
        <w:rPr>
          <w:rFonts w:eastAsia="Calibri"/>
        </w:rPr>
        <w:t xml:space="preserve"> </w:t>
      </w:r>
      <w:r w:rsidRPr="00C92F30">
        <w:rPr>
          <w:rFonts w:eastAsia="Calibri"/>
          <w:i/>
          <w:iCs/>
        </w:rPr>
        <w:t xml:space="preserve">La </w:t>
      </w:r>
      <w:r w:rsidRPr="00C92F30">
        <w:rPr>
          <w:rFonts w:eastAsia="Calibri"/>
          <w:i/>
          <w:iCs/>
          <w:lang w:val="fr-FR"/>
        </w:rPr>
        <w:t>Femme</w:t>
      </w:r>
      <w:r w:rsidRPr="00C92F30">
        <w:rPr>
          <w:rFonts w:eastAsia="Calibri"/>
          <w:lang w:val="fr-FR"/>
        </w:rPr>
        <w:t xml:space="preserve">, Paris, Calmann Lévy, Dixième édition, 1879, p. 213, cité par </w:t>
      </w:r>
      <w:r w:rsidRPr="00C92F30">
        <w:rPr>
          <w:rFonts w:eastAsia="Calibri"/>
          <w:bCs/>
          <w:iCs/>
          <w:lang w:val="fr-FR"/>
        </w:rPr>
        <w:t>Lewis Ampidu Clorméus</w:t>
      </w:r>
      <w:r w:rsidRPr="00C92F30">
        <w:rPr>
          <w:rFonts w:eastAsia="Calibri"/>
          <w:b/>
          <w:bCs/>
          <w:i/>
          <w:iCs/>
          <w:lang w:val="fr-FR"/>
        </w:rPr>
        <w:t xml:space="preserve">, </w:t>
      </w:r>
      <w:r w:rsidRPr="00C92F30">
        <w:rPr>
          <w:rFonts w:eastAsia="Calibri"/>
          <w:b/>
          <w:bCs/>
          <w:iCs/>
          <w:lang w:val="fr-FR"/>
        </w:rPr>
        <w:t>« </w:t>
      </w:r>
      <w:r w:rsidRPr="00C92F30">
        <w:rPr>
          <w:rFonts w:eastAsia="Calibri"/>
          <w:bCs/>
          <w:lang w:val="fr-FR"/>
        </w:rPr>
        <w:t>Les Stratégies de lutte contre la “s</w:t>
      </w:r>
      <w:r w:rsidRPr="00C92F30">
        <w:rPr>
          <w:rFonts w:eastAsia="Calibri"/>
          <w:bCs/>
          <w:lang w:val="fr-FR"/>
        </w:rPr>
        <w:t>u</w:t>
      </w:r>
      <w:r w:rsidRPr="00C92F30">
        <w:rPr>
          <w:rFonts w:eastAsia="Calibri"/>
          <w:bCs/>
          <w:lang w:val="fr-FR"/>
        </w:rPr>
        <w:t>per</w:t>
      </w:r>
      <w:r w:rsidRPr="00C92F30">
        <w:rPr>
          <w:rFonts w:eastAsia="Calibri"/>
          <w:bCs/>
          <w:lang w:val="fr-FR"/>
        </w:rPr>
        <w:t>s</w:t>
      </w:r>
      <w:r w:rsidRPr="00C92F30">
        <w:rPr>
          <w:rFonts w:eastAsia="Calibri"/>
          <w:bCs/>
          <w:lang w:val="fr-FR"/>
        </w:rPr>
        <w:t>tition” en Haïti au XIX</w:t>
      </w:r>
      <w:r w:rsidRPr="00C92F30">
        <w:rPr>
          <w:rFonts w:eastAsia="Calibri"/>
          <w:bCs/>
          <w:vertAlign w:val="superscript"/>
          <w:lang w:val="fr-FR"/>
        </w:rPr>
        <w:t>e</w:t>
      </w:r>
      <w:r w:rsidRPr="00C92F30">
        <w:rPr>
          <w:rFonts w:eastAsia="Calibri"/>
          <w:bCs/>
          <w:lang w:val="fr-FR"/>
        </w:rPr>
        <w:t xml:space="preserve"> siècle », </w:t>
      </w:r>
      <w:r w:rsidRPr="00C92F30">
        <w:rPr>
          <w:rFonts w:eastAsia="Calibri"/>
          <w:i/>
          <w:iCs/>
          <w:lang w:val="fr-FR"/>
        </w:rPr>
        <w:t>The Journal of Haitian Studies</w:t>
      </w:r>
      <w:r w:rsidRPr="00C92F30">
        <w:rPr>
          <w:rFonts w:eastAsia="Calibri"/>
          <w:lang w:val="fr-FR"/>
        </w:rPr>
        <w:t>, Volume 20,  n</w:t>
      </w:r>
      <w:r w:rsidRPr="00C92F30">
        <w:rPr>
          <w:rFonts w:eastAsia="Calibri"/>
          <w:vertAlign w:val="superscript"/>
          <w:lang w:val="fr-FR"/>
        </w:rPr>
        <w:t>o</w:t>
      </w:r>
      <w:r w:rsidRPr="00C92F30">
        <w:rPr>
          <w:rFonts w:eastAsia="Calibri"/>
          <w:lang w:val="fr-FR"/>
        </w:rPr>
        <w:t> 2, 2014</w:t>
      </w:r>
      <w:r w:rsidRPr="00C92F30">
        <w:rPr>
          <w:rFonts w:eastAsia="Calibri"/>
          <w:bCs/>
          <w:lang w:val="fr-FR"/>
        </w:rPr>
        <w:t>, p. 104.</w:t>
      </w:r>
    </w:p>
  </w:footnote>
  <w:footnote w:id="880">
    <w:p w:rsidR="004C50DC" w:rsidRDefault="004C50DC">
      <w:pPr>
        <w:pStyle w:val="Notedebasdepage"/>
      </w:pPr>
      <w:r>
        <w:rPr>
          <w:rStyle w:val="Appelnotedebasdep"/>
        </w:rPr>
        <w:footnoteRef/>
      </w:r>
      <w:r>
        <w:t xml:space="preserve"> </w:t>
      </w:r>
      <w:r>
        <w:tab/>
      </w:r>
      <w:r w:rsidRPr="00C92F30">
        <w:rPr>
          <w:lang w:val="fr-FR"/>
        </w:rPr>
        <w:t xml:space="preserve">Hannibal </w:t>
      </w:r>
      <w:r w:rsidRPr="00C92F30">
        <w:rPr>
          <w:rFonts w:eastAsia="Calibri"/>
          <w:lang w:val="fr-FR"/>
        </w:rPr>
        <w:t xml:space="preserve">Price, </w:t>
      </w:r>
      <w:hyperlink r:id="rId124" w:history="1">
        <w:r w:rsidRPr="00104873">
          <w:rPr>
            <w:rStyle w:val="Lienhypertexte"/>
            <w:rFonts w:eastAsia="Calibri"/>
            <w:i/>
            <w:iCs/>
            <w:lang w:val="fr-FR"/>
          </w:rPr>
          <w:t>De la réhabilitation de la race noire par la République d’Haïti</w:t>
        </w:r>
      </w:hyperlink>
      <w:r w:rsidRPr="00C92F30">
        <w:rPr>
          <w:rFonts w:eastAsia="Calibri"/>
          <w:lang w:val="fr-FR"/>
        </w:rPr>
        <w:t xml:space="preserve">, Port-au-Prince, J. Verrollot, 1900, p. 442. </w:t>
      </w:r>
    </w:p>
  </w:footnote>
  <w:footnote w:id="881">
    <w:p w:rsidR="004C50DC" w:rsidRDefault="004C50DC">
      <w:pPr>
        <w:pStyle w:val="Notedebasdepage"/>
      </w:pPr>
      <w:r>
        <w:rPr>
          <w:rStyle w:val="Appelnotedebasdep"/>
        </w:rPr>
        <w:footnoteRef/>
      </w:r>
      <w:r>
        <w:t xml:space="preserve"> </w:t>
      </w:r>
      <w:r>
        <w:tab/>
      </w:r>
      <w:r w:rsidRPr="00C92F30">
        <w:rPr>
          <w:lang w:val="fr-FR"/>
        </w:rPr>
        <w:t>Suivant l’article 30 : « Toutes les religions et tous les cultes sont libres. Toute personne a le droit de professer sa religion et son culte, pourvu que l’exercice de ce droit ne trouble pas l’ordre et la paix publics ».</w:t>
      </w:r>
    </w:p>
  </w:footnote>
  <w:footnote w:id="882">
    <w:p w:rsidR="004C50DC" w:rsidRDefault="004C50DC">
      <w:pPr>
        <w:pStyle w:val="Notedebasdepage"/>
      </w:pPr>
      <w:r>
        <w:rPr>
          <w:rStyle w:val="Appelnotedebasdep"/>
        </w:rPr>
        <w:footnoteRef/>
      </w:r>
      <w:r>
        <w:t xml:space="preserve"> </w:t>
      </w:r>
      <w:r>
        <w:tab/>
      </w:r>
      <w:r w:rsidRPr="00C92F30">
        <w:rPr>
          <w:lang w:val="fr-FR"/>
        </w:rPr>
        <w:t>Voir l’Arrêté du 4 avril 2003, notamment l’article 1 : « En attendant une loi relative au statut juridique du Vodou, l’État haïtien le reconnaît comme rel</w:t>
      </w:r>
      <w:r w:rsidRPr="00C92F30">
        <w:rPr>
          <w:lang w:val="fr-FR"/>
        </w:rPr>
        <w:t>i</w:t>
      </w:r>
      <w:r w:rsidRPr="00C92F30">
        <w:rPr>
          <w:lang w:val="fr-FR"/>
        </w:rPr>
        <w:t>gion à part entière, devant remplir sa mission sur le territoire national en conformité à la Constitution et aux lois de la République » ; et l’article 2 : « Tout Chef de Culte Vodou, Responsable de Temples, de Hauts Lieux S</w:t>
      </w:r>
      <w:r w:rsidRPr="00C92F30">
        <w:rPr>
          <w:lang w:val="fr-FR"/>
        </w:rPr>
        <w:t>a</w:t>
      </w:r>
      <w:r w:rsidRPr="00C92F30">
        <w:rPr>
          <w:lang w:val="fr-FR"/>
        </w:rPr>
        <w:t>crés, d’organisations ou d’associations, est habilité à faire une demande de r</w:t>
      </w:r>
      <w:r w:rsidRPr="00C92F30">
        <w:rPr>
          <w:lang w:val="fr-FR"/>
        </w:rPr>
        <w:t>e</w:t>
      </w:r>
      <w:r w:rsidRPr="00C92F30">
        <w:rPr>
          <w:lang w:val="fr-FR"/>
        </w:rPr>
        <w:t>connaissance auprès du ministère des Cultes ».</w:t>
      </w:r>
    </w:p>
  </w:footnote>
  <w:footnote w:id="883">
    <w:p w:rsidR="004C50DC" w:rsidRDefault="004C50DC">
      <w:pPr>
        <w:pStyle w:val="Notedebasdepage"/>
      </w:pPr>
      <w:r>
        <w:rPr>
          <w:rStyle w:val="Appelnotedebasdep"/>
        </w:rPr>
        <w:footnoteRef/>
      </w:r>
      <w:r>
        <w:t xml:space="preserve"> </w:t>
      </w:r>
      <w:r>
        <w:tab/>
      </w:r>
      <w:r w:rsidRPr="00C92F30">
        <w:rPr>
          <w:lang w:val="fr-FR"/>
        </w:rPr>
        <w:t xml:space="preserve">L’ordonnance  a été reproduite en 1897 par J.F. Thalès Manigat, </w:t>
      </w:r>
      <w:r w:rsidRPr="00C92F30">
        <w:rPr>
          <w:i/>
          <w:lang w:val="fr-FR"/>
        </w:rPr>
        <w:t>Conférence sur le vaudoux</w:t>
      </w:r>
      <w:r w:rsidRPr="00C92F30">
        <w:rPr>
          <w:lang w:val="fr-FR"/>
        </w:rPr>
        <w:t>, Cap-Haïtien, Imp. La Conscience, 1897, p. 25-26. Le texte i</w:t>
      </w:r>
      <w:r w:rsidRPr="00C92F30">
        <w:rPr>
          <w:lang w:val="fr-FR"/>
        </w:rPr>
        <w:t>n</w:t>
      </w:r>
      <w:r w:rsidRPr="00C92F30">
        <w:rPr>
          <w:lang w:val="fr-FR"/>
        </w:rPr>
        <w:t xml:space="preserve">tégral est cité par Léon François Hoffmann, « Le Vodou sous la Colonie et pendant les Guerres de l’Indépendance », </w:t>
      </w:r>
      <w:r w:rsidRPr="00C92F30">
        <w:rPr>
          <w:i/>
          <w:lang w:val="fr-FR"/>
        </w:rPr>
        <w:t>Conjonction</w:t>
      </w:r>
      <w:r w:rsidRPr="00C92F30">
        <w:rPr>
          <w:lang w:val="fr-FR"/>
        </w:rPr>
        <w:t>, Revue franco-haïtienne, Port-au-Prince, n</w:t>
      </w:r>
      <w:r w:rsidRPr="00C92F30">
        <w:rPr>
          <w:vertAlign w:val="superscript"/>
          <w:lang w:val="fr-FR"/>
        </w:rPr>
        <w:t>o</w:t>
      </w:r>
      <w:r w:rsidRPr="00C92F30">
        <w:rPr>
          <w:lang w:val="fr-FR"/>
        </w:rPr>
        <w:t> 173,1987, p</w:t>
      </w:r>
      <w:r>
        <w:rPr>
          <w:lang w:val="fr-FR"/>
        </w:rPr>
        <w:t>p</w:t>
      </w:r>
      <w:r w:rsidRPr="00C92F30">
        <w:rPr>
          <w:lang w:val="fr-FR"/>
        </w:rPr>
        <w:t>. 109-135.</w:t>
      </w:r>
    </w:p>
  </w:footnote>
  <w:footnote w:id="884">
    <w:p w:rsidR="004C50DC" w:rsidRDefault="004C50DC">
      <w:pPr>
        <w:pStyle w:val="Notedebasdepage"/>
      </w:pPr>
      <w:r>
        <w:rPr>
          <w:rStyle w:val="Appelnotedebasdep"/>
        </w:rPr>
        <w:footnoteRef/>
      </w:r>
      <w:r>
        <w:t xml:space="preserve"> </w:t>
      </w:r>
      <w:r>
        <w:tab/>
      </w:r>
      <w:r w:rsidRPr="00104873">
        <w:rPr>
          <w:i/>
          <w:lang w:val="fr-FR"/>
        </w:rPr>
        <w:t>Ibid</w:t>
      </w:r>
      <w:r w:rsidRPr="00C92F30">
        <w:rPr>
          <w:lang w:val="fr-FR"/>
        </w:rPr>
        <w:t>.</w:t>
      </w:r>
    </w:p>
  </w:footnote>
  <w:footnote w:id="885">
    <w:p w:rsidR="004C50DC" w:rsidRDefault="004C50DC">
      <w:pPr>
        <w:pStyle w:val="Notedebasdepage"/>
      </w:pPr>
      <w:r>
        <w:rPr>
          <w:rStyle w:val="Appelnotedebasdep"/>
        </w:rPr>
        <w:footnoteRef/>
      </w:r>
      <w:r>
        <w:t xml:space="preserve"> </w:t>
      </w:r>
      <w:r>
        <w:tab/>
      </w:r>
      <w:r w:rsidRPr="00C92F30">
        <w:rPr>
          <w:lang w:val="fr-FR"/>
        </w:rPr>
        <w:t xml:space="preserve">Thomas Madiou, </w:t>
      </w:r>
      <w:r w:rsidRPr="00C92F30">
        <w:rPr>
          <w:i/>
          <w:lang w:val="fr-FR"/>
        </w:rPr>
        <w:t>Histoire d’Haïti</w:t>
      </w:r>
      <w:r w:rsidRPr="00C92F30">
        <w:rPr>
          <w:lang w:val="fr-FR"/>
        </w:rPr>
        <w:t>, tomeI, Port-au-Prince, Chenet, 1922, p. 83, cité par Léon François Hoffmann, ibid.</w:t>
      </w:r>
    </w:p>
  </w:footnote>
  <w:footnote w:id="886">
    <w:p w:rsidR="004C50DC" w:rsidRDefault="004C50DC">
      <w:pPr>
        <w:pStyle w:val="Notedebasdepage"/>
      </w:pPr>
      <w:r>
        <w:rPr>
          <w:rStyle w:val="Appelnotedebasdep"/>
        </w:rPr>
        <w:footnoteRef/>
      </w:r>
      <w:r>
        <w:t xml:space="preserve"> </w:t>
      </w:r>
      <w:r>
        <w:tab/>
      </w:r>
      <w:r w:rsidRPr="00C92F30">
        <w:t xml:space="preserve">Hénock Trouillot, « Le Vodou dans la révolution de Saint-Domingue », dans Hénock Trouillot (dir.), </w:t>
      </w:r>
      <w:r w:rsidRPr="00C92F30">
        <w:rPr>
          <w:i/>
        </w:rPr>
        <w:t>Introduction à une histoire du vaudou</w:t>
      </w:r>
      <w:r w:rsidRPr="00C92F30">
        <w:t xml:space="preserve">, Port-au-Prince, Antilles, 1970. </w:t>
      </w:r>
    </w:p>
  </w:footnote>
  <w:footnote w:id="887">
    <w:p w:rsidR="004C50DC" w:rsidRDefault="004C50DC">
      <w:pPr>
        <w:pStyle w:val="Notedebasdepage"/>
      </w:pPr>
      <w:r>
        <w:rPr>
          <w:rStyle w:val="Appelnotedebasdep"/>
        </w:rPr>
        <w:footnoteRef/>
      </w:r>
      <w:r>
        <w:t xml:space="preserve"> </w:t>
      </w:r>
      <w:r>
        <w:tab/>
      </w:r>
      <w:r w:rsidRPr="00C92F30">
        <w:t>Léon François Hoffmann,</w:t>
      </w:r>
      <w:r w:rsidRPr="00C92F30">
        <w:rPr>
          <w:lang w:val="fr-FR"/>
        </w:rPr>
        <w:t xml:space="preserve"> « Le Vodou sous la Colonie… », </w:t>
      </w:r>
      <w:r w:rsidRPr="00C92F30">
        <w:t xml:space="preserve">op. cit. </w:t>
      </w:r>
    </w:p>
  </w:footnote>
  <w:footnote w:id="888">
    <w:p w:rsidR="004C50DC" w:rsidRPr="00C92F30" w:rsidRDefault="004C50DC" w:rsidP="004C50DC">
      <w:pPr>
        <w:pStyle w:val="Notedebasdepage"/>
      </w:pPr>
      <w:r w:rsidRPr="00C92F30">
        <w:rPr>
          <w:rStyle w:val="Appelnotedebasdep"/>
          <w:sz w:val="24"/>
        </w:rPr>
        <w:footnoteRef/>
      </w:r>
      <w:r>
        <w:tab/>
      </w:r>
      <w:r w:rsidRPr="00C92F30">
        <w:t xml:space="preserve">À propos de cette transformation, voir Samuel Régulus, « Le vodou haïtien : patrimonialité et enjeux », dans André Charbonneau et Laurier Turgeon (dir.), </w:t>
      </w:r>
      <w:r w:rsidRPr="00C92F30">
        <w:rPr>
          <w:i/>
        </w:rPr>
        <w:t>Patrimoines et identités en Amérique française</w:t>
      </w:r>
      <w:r w:rsidRPr="00C92F30">
        <w:t>, Québec, Presses de l’Université Laval, 2008, p. 192.</w:t>
      </w:r>
    </w:p>
  </w:footnote>
  <w:footnote w:id="889">
    <w:p w:rsidR="004C50DC" w:rsidRDefault="004C50DC">
      <w:pPr>
        <w:pStyle w:val="Notedebasdepage"/>
      </w:pPr>
      <w:r>
        <w:rPr>
          <w:rStyle w:val="Appelnotedebasdep"/>
        </w:rPr>
        <w:footnoteRef/>
      </w:r>
      <w:r>
        <w:t xml:space="preserve"> </w:t>
      </w:r>
      <w:r>
        <w:tab/>
      </w:r>
      <w:r w:rsidRPr="00C92F30">
        <w:rPr>
          <w:lang w:val="fr-FR"/>
        </w:rPr>
        <w:t>Laënnec Hurbon, « Esclavage, mémoire et religion (vodou et résistance cult</w:t>
      </w:r>
      <w:r w:rsidRPr="00C92F30">
        <w:rPr>
          <w:lang w:val="fr-FR"/>
        </w:rPr>
        <w:t>u</w:t>
      </w:r>
      <w:r w:rsidRPr="00C92F30">
        <w:rPr>
          <w:lang w:val="fr-FR"/>
        </w:rPr>
        <w:t xml:space="preserve">relle) », dans Yasmina Tippen Hauer (dir.), </w:t>
      </w:r>
      <w:r w:rsidRPr="00C92F30">
        <w:rPr>
          <w:i/>
          <w:lang w:val="fr-FR"/>
        </w:rPr>
        <w:t xml:space="preserve">Amériques noires. Réflexions, </w:t>
      </w:r>
      <w:r w:rsidRPr="00C92F30">
        <w:rPr>
          <w:lang w:val="fr-FR"/>
        </w:rPr>
        <w:t>S</w:t>
      </w:r>
      <w:r w:rsidRPr="00C92F30">
        <w:rPr>
          <w:lang w:val="fr-FR"/>
        </w:rPr>
        <w:t>o</w:t>
      </w:r>
      <w:r w:rsidRPr="00C92F30">
        <w:rPr>
          <w:lang w:val="fr-FR"/>
        </w:rPr>
        <w:t>ciété Suisse des Américanistes/ Schweizerische Amerikanisten-Gesellschaft, Bulletin hors-série, 2009, en ligne,</w:t>
      </w:r>
    </w:p>
    <w:p w:rsidR="004C50DC" w:rsidRDefault="004C50DC">
      <w:pPr>
        <w:pStyle w:val="Notedebasdepage"/>
      </w:pPr>
      <w:r>
        <w:tab/>
      </w:r>
      <w:hyperlink r:id="rId125" w:history="1">
        <w:r w:rsidRPr="00C92F30">
          <w:rPr>
            <w:rStyle w:val="Lienhypertexte"/>
            <w:lang w:val="fr-FR"/>
          </w:rPr>
          <w:t>http://www.academia.edu/306197/image_des_populations_dites_minoritaires_noirs_amérindiens_métis_femmes_véhiculée_par_les_manuels_scolaires_destinés_aux_</w:t>
        </w:r>
      </w:hyperlink>
      <w:r w:rsidRPr="00C92F30">
        <w:rPr>
          <w:lang w:val="fr-FR"/>
        </w:rPr>
        <w:t>, consulté le 3 novembre 2014.</w:t>
      </w:r>
    </w:p>
  </w:footnote>
  <w:footnote w:id="890">
    <w:p w:rsidR="004C50DC" w:rsidRDefault="004C50DC">
      <w:pPr>
        <w:pStyle w:val="Notedebasdepage"/>
      </w:pPr>
      <w:r>
        <w:rPr>
          <w:rStyle w:val="Appelnotedebasdep"/>
        </w:rPr>
        <w:footnoteRef/>
      </w:r>
      <w:r>
        <w:t xml:space="preserve"> </w:t>
      </w:r>
      <w:r>
        <w:tab/>
      </w:r>
      <w:r w:rsidRPr="00C92F30">
        <w:rPr>
          <w:lang w:val="fr-FR"/>
        </w:rPr>
        <w:t xml:space="preserve">Jean Price-Mars, </w:t>
      </w:r>
      <w:hyperlink r:id="rId126" w:history="1">
        <w:r w:rsidRPr="00104873">
          <w:rPr>
            <w:rStyle w:val="Lienhypertexte"/>
            <w:i/>
            <w:lang w:val="fr-FR"/>
          </w:rPr>
          <w:t>Une étape de l’évolution haïtienne</w:t>
        </w:r>
      </w:hyperlink>
      <w:r w:rsidRPr="00C92F30">
        <w:rPr>
          <w:lang w:val="fr-FR"/>
        </w:rPr>
        <w:t>, Port-au-Prince, La Pre</w:t>
      </w:r>
      <w:r w:rsidRPr="00C92F30">
        <w:rPr>
          <w:lang w:val="fr-FR"/>
        </w:rPr>
        <w:t>s</w:t>
      </w:r>
      <w:r w:rsidRPr="00C92F30">
        <w:rPr>
          <w:lang w:val="fr-FR"/>
        </w:rPr>
        <w:t xml:space="preserve">se, 1929, </w:t>
      </w:r>
      <w:r>
        <w:rPr>
          <w:lang w:val="fr-FR"/>
        </w:rPr>
        <w:t>p</w:t>
      </w:r>
      <w:r w:rsidRPr="00C92F30">
        <w:rPr>
          <w:lang w:val="fr-FR"/>
        </w:rPr>
        <w:t>p. 128-129.</w:t>
      </w:r>
    </w:p>
  </w:footnote>
  <w:footnote w:id="891">
    <w:p w:rsidR="004C50DC" w:rsidRPr="00C92F30" w:rsidRDefault="004C50DC" w:rsidP="004C50DC">
      <w:pPr>
        <w:pStyle w:val="Notedebasdepage"/>
      </w:pPr>
      <w:r w:rsidRPr="00104873">
        <w:rPr>
          <w:rStyle w:val="Appelnotedebasdep"/>
        </w:rPr>
        <w:footnoteRef/>
      </w:r>
      <w:r>
        <w:tab/>
      </w:r>
      <w:r w:rsidRPr="00C92F30">
        <w:t>Le « chef suprême » ou guide spirituel dans le vaudou ; voir « Vaudou. Les grandes visions de Max Beauvoir », Le Nouvelliste, 14 septembre 2015, en l</w:t>
      </w:r>
      <w:r w:rsidRPr="00C92F30">
        <w:t>i</w:t>
      </w:r>
      <w:r w:rsidRPr="00C92F30">
        <w:t>gne, http://lenouvelliste.com/lenouvelliste/article/149894/Vaudou-les-grandes-visions-de-Max-Beauvoir</w:t>
      </w:r>
    </w:p>
  </w:footnote>
  <w:footnote w:id="892">
    <w:p w:rsidR="004C50DC" w:rsidRDefault="004C50DC">
      <w:pPr>
        <w:pStyle w:val="Notedebasdepage"/>
      </w:pPr>
      <w:r>
        <w:rPr>
          <w:rStyle w:val="Appelnotedebasdep"/>
        </w:rPr>
        <w:footnoteRef/>
      </w:r>
      <w:r>
        <w:t xml:space="preserve"> </w:t>
      </w:r>
      <w:r>
        <w:tab/>
      </w:r>
      <w:r w:rsidRPr="00C92F30">
        <w:rPr>
          <w:lang w:val="fr-FR"/>
        </w:rPr>
        <w:t xml:space="preserve">À ce sujet, voir Max G. Beauvoir, </w:t>
      </w:r>
      <w:r w:rsidRPr="00C92F30">
        <w:rPr>
          <w:i/>
          <w:lang w:val="fr-FR"/>
        </w:rPr>
        <w:t>Le grand recueil sacré ou répertoire des chansons du vodou haïtien</w:t>
      </w:r>
      <w:r w:rsidRPr="00C92F30">
        <w:rPr>
          <w:lang w:val="fr-FR"/>
        </w:rPr>
        <w:t>, Port-au-Prince, Presses nationales, 2008.</w:t>
      </w:r>
    </w:p>
  </w:footnote>
  <w:footnote w:id="893">
    <w:p w:rsidR="004C50DC" w:rsidRPr="00C92F30" w:rsidRDefault="004C50DC" w:rsidP="004C50DC">
      <w:pPr>
        <w:pStyle w:val="Notedebasdepage"/>
      </w:pPr>
      <w:r w:rsidRPr="00104873">
        <w:rPr>
          <w:rStyle w:val="Appelnotedebasdep"/>
        </w:rPr>
        <w:footnoteRef/>
      </w:r>
      <w:r>
        <w:rPr>
          <w:i/>
        </w:rPr>
        <w:tab/>
      </w:r>
      <w:r w:rsidRPr="00C92F30">
        <w:rPr>
          <w:i/>
        </w:rPr>
        <w:t>Panzou</w:t>
      </w:r>
      <w:r w:rsidRPr="00C92F30">
        <w:t xml:space="preserve"> est le terme utilisé dans le créole haïtien  pour dire « prendre quelque chose de manière astucieuse ». L’expression « </w:t>
      </w:r>
      <w:r w:rsidRPr="00C92F30">
        <w:rPr>
          <w:i/>
        </w:rPr>
        <w:t>m ba w panzou</w:t>
      </w:r>
      <w:r w:rsidRPr="00C92F30">
        <w:t> » peut être tr</w:t>
      </w:r>
      <w:r w:rsidRPr="00C92F30">
        <w:t>a</w:t>
      </w:r>
      <w:r w:rsidRPr="00C92F30">
        <w:t xml:space="preserve">duite par « je vous donne un coup ». </w:t>
      </w:r>
    </w:p>
  </w:footnote>
  <w:footnote w:id="894">
    <w:p w:rsidR="004C50DC" w:rsidRPr="00C92F30" w:rsidRDefault="004C50DC" w:rsidP="004C50DC">
      <w:pPr>
        <w:pStyle w:val="Notedebasdepage"/>
      </w:pPr>
      <w:r w:rsidRPr="00104873">
        <w:rPr>
          <w:rStyle w:val="Appelnotedebasdep"/>
        </w:rPr>
        <w:footnoteRef/>
      </w:r>
      <w:r>
        <w:rPr>
          <w:i/>
        </w:rPr>
        <w:tab/>
      </w:r>
      <w:r w:rsidRPr="00C92F30">
        <w:rPr>
          <w:i/>
        </w:rPr>
        <w:t>Nanchon</w:t>
      </w:r>
      <w:r w:rsidRPr="00C92F30">
        <w:t xml:space="preserve"> est un concept dans le créole haïtien qui renvoie à un  « courant d’idées » : les gens partageant la même idéologie font partie d’un même </w:t>
      </w:r>
      <w:r w:rsidRPr="00C92F30">
        <w:rPr>
          <w:i/>
        </w:rPr>
        <w:t>Na</w:t>
      </w:r>
      <w:r w:rsidRPr="00C92F30">
        <w:rPr>
          <w:i/>
        </w:rPr>
        <w:t>n</w:t>
      </w:r>
      <w:r w:rsidRPr="00C92F30">
        <w:rPr>
          <w:i/>
        </w:rPr>
        <w:t>chon</w:t>
      </w:r>
      <w:r w:rsidRPr="00C92F30">
        <w:t xml:space="preserve">. Ce n’est pas la « Nation » au sens français du terme. </w:t>
      </w:r>
    </w:p>
  </w:footnote>
  <w:footnote w:id="895">
    <w:p w:rsidR="004C50DC" w:rsidRPr="00C92F30" w:rsidRDefault="004C50DC" w:rsidP="004C50DC">
      <w:pPr>
        <w:pStyle w:val="Notedebasdepage"/>
      </w:pPr>
      <w:r w:rsidRPr="00104873">
        <w:rPr>
          <w:rStyle w:val="Appelnotedebasdep"/>
        </w:rPr>
        <w:footnoteRef/>
      </w:r>
      <w:r>
        <w:tab/>
      </w:r>
      <w:r w:rsidRPr="00C92F30">
        <w:t>Prêtresse de la religion vodou en Haïti.</w:t>
      </w:r>
    </w:p>
  </w:footnote>
  <w:footnote w:id="896">
    <w:p w:rsidR="004C50DC" w:rsidRDefault="004C50DC">
      <w:pPr>
        <w:pStyle w:val="Notedebasdepage"/>
      </w:pPr>
      <w:r>
        <w:rPr>
          <w:rStyle w:val="Appelnotedebasdep"/>
        </w:rPr>
        <w:footnoteRef/>
      </w:r>
      <w:r>
        <w:t xml:space="preserve"> </w:t>
      </w:r>
      <w:r>
        <w:tab/>
      </w:r>
      <w:r w:rsidRPr="00C92F30">
        <w:t xml:space="preserve">Voir Laënnec Hurbon, « Esclavage, mémoire et identité culturelle », dans Max Jean Zins et Marcel Dorigny, </w:t>
      </w:r>
      <w:r w:rsidRPr="00C92F30">
        <w:rPr>
          <w:i/>
        </w:rPr>
        <w:t>Les Traites négrières coloniales. Histoire d’un crime</w:t>
      </w:r>
      <w:r w:rsidRPr="00C92F30">
        <w:t xml:space="preserve">, Paris, Éditions du Cercle d’Art, 2009, p. 192-201 ; </w:t>
      </w:r>
      <w:r w:rsidRPr="00C92F30">
        <w:rPr>
          <w:i/>
        </w:rPr>
        <w:t>Le barbare imaginaire</w:t>
      </w:r>
      <w:r w:rsidRPr="00C92F30">
        <w:t>, Paris, Cerf, 2008 ; « Globalization and the Evolution of Ha</w:t>
      </w:r>
      <w:r w:rsidRPr="00C92F30">
        <w:t>i</w:t>
      </w:r>
      <w:r w:rsidRPr="00C92F30">
        <w:t xml:space="preserve">tian Vodou », dansJacobK. </w:t>
      </w:r>
      <w:r w:rsidRPr="00C92F30">
        <w:rPr>
          <w:lang w:val="en-US"/>
        </w:rPr>
        <w:t>Olupona et Terry Rey (dir.),</w:t>
      </w:r>
      <w:r w:rsidRPr="00C92F30">
        <w:rPr>
          <w:bCs/>
          <w:i/>
          <w:lang w:val="en-US"/>
        </w:rPr>
        <w:t xml:space="preserve">Òrìṣà Devotion as World Religion : </w:t>
      </w:r>
      <w:r w:rsidRPr="00C92F30">
        <w:rPr>
          <w:i/>
          <w:lang w:val="en-US"/>
        </w:rPr>
        <w:t>The Globalization of Yorùbá Religious Culture</w:t>
      </w:r>
      <w:r w:rsidRPr="00C92F30">
        <w:rPr>
          <w:lang w:val="en-US"/>
        </w:rPr>
        <w:t>, Madison, WI, The University of Wisconsin Press, 2007, p. 263-277 ; « </w:t>
      </w:r>
      <w:r w:rsidRPr="00C92F30">
        <w:rPr>
          <w:iCs/>
          <w:lang w:val="en-US"/>
        </w:rPr>
        <w:t xml:space="preserve">La révolution haïtienne. </w:t>
      </w:r>
      <w:r w:rsidRPr="00C92F30">
        <w:rPr>
          <w:iCs/>
        </w:rPr>
        <w:t>Une avancée postcoloniale »</w:t>
      </w:r>
      <w:r w:rsidRPr="00C92F30">
        <w:t xml:space="preserve">, </w:t>
      </w:r>
      <w:r w:rsidRPr="00C92F30">
        <w:rPr>
          <w:i/>
        </w:rPr>
        <w:t>Rue Descartes</w:t>
      </w:r>
      <w:r w:rsidRPr="00C92F30">
        <w:t>, vol. 4, n</w:t>
      </w:r>
      <w:r w:rsidRPr="00C92F30">
        <w:rPr>
          <w:vertAlign w:val="superscript"/>
        </w:rPr>
        <w:t>o</w:t>
      </w:r>
      <w:r w:rsidRPr="00C92F30">
        <w:t xml:space="preserve"> 58, 2007, p. 56-66 ; </w:t>
      </w:r>
      <w:r w:rsidRPr="00C92F30">
        <w:rPr>
          <w:i/>
        </w:rPr>
        <w:t>Religions et lien social. L’Église et l’État moderne en Haïti</w:t>
      </w:r>
      <w:r w:rsidRPr="00C92F30">
        <w:t xml:space="preserve">, Paris, Cerf, 2004 ; </w:t>
      </w:r>
      <w:r w:rsidRPr="00C92F30">
        <w:rPr>
          <w:i/>
        </w:rPr>
        <w:t>L’insurrection des esclaves de Saint-Domingue, 22-23 août 1791</w:t>
      </w:r>
      <w:r w:rsidRPr="00C92F30">
        <w:t>, Paris, Karthala, 2000.</w:t>
      </w:r>
    </w:p>
  </w:footnote>
  <w:footnote w:id="897">
    <w:p w:rsidR="004C50DC" w:rsidRPr="00C92F30" w:rsidRDefault="004C50DC" w:rsidP="004C50DC">
      <w:pPr>
        <w:pStyle w:val="Notedebasdepage"/>
      </w:pPr>
      <w:r w:rsidRPr="00104873">
        <w:rPr>
          <w:rStyle w:val="Appelnotedebasdep"/>
        </w:rPr>
        <w:footnoteRef/>
      </w:r>
      <w:r>
        <w:tab/>
      </w:r>
      <w:r w:rsidRPr="00C92F30">
        <w:t>Nous avons démontré au point qui traite la question de couleur que les élites « noires » et « mulâtres » se partagent le pouvoir et les privilèges depuis 1804.</w:t>
      </w:r>
    </w:p>
  </w:footnote>
  <w:footnote w:id="898">
    <w:p w:rsidR="004C50DC" w:rsidRPr="00C92F30" w:rsidRDefault="004C50DC" w:rsidP="004C50DC">
      <w:pPr>
        <w:pStyle w:val="Notedebasdepage"/>
      </w:pPr>
      <w:r w:rsidRPr="00104873">
        <w:rPr>
          <w:rStyle w:val="Appelnotedebasdep"/>
        </w:rPr>
        <w:footnoteRef/>
      </w:r>
      <w:r>
        <w:tab/>
      </w:r>
      <w:r w:rsidRPr="00C92F30">
        <w:t>Jean-Claude de Verger, Vodou et catholicisme en Haïti, ou étude de sociol</w:t>
      </w:r>
      <w:r w:rsidRPr="00C92F30">
        <w:t>o</w:t>
      </w:r>
      <w:r w:rsidRPr="00C92F30">
        <w:t>gie culturelle et religieuse, Québec, Métuca, 2001.</w:t>
      </w:r>
    </w:p>
  </w:footnote>
  <w:footnote w:id="899">
    <w:p w:rsidR="004C50DC" w:rsidRDefault="004C50DC">
      <w:pPr>
        <w:pStyle w:val="Notedebasdepage"/>
      </w:pPr>
      <w:r>
        <w:rPr>
          <w:rStyle w:val="Appelnotedebasdep"/>
        </w:rPr>
        <w:footnoteRef/>
      </w:r>
      <w:r>
        <w:t xml:space="preserve"> </w:t>
      </w:r>
      <w:r>
        <w:tab/>
      </w:r>
      <w:r w:rsidRPr="00C92F30">
        <w:t>Yaya est le Grand Esprit des Taïnos, qui permet aux fidèles vodouisants de cultiver l’excellence et de prioriser la valeur éthique dans leurs actions.</w:t>
      </w:r>
    </w:p>
  </w:footnote>
  <w:footnote w:id="900">
    <w:p w:rsidR="004C50DC" w:rsidRDefault="004C50DC">
      <w:pPr>
        <w:pStyle w:val="Notedebasdepage"/>
      </w:pPr>
      <w:r>
        <w:rPr>
          <w:rStyle w:val="Appelnotedebasdep"/>
        </w:rPr>
        <w:footnoteRef/>
      </w:r>
      <w:r>
        <w:t xml:space="preserve"> </w:t>
      </w:r>
      <w:r>
        <w:tab/>
      </w:r>
      <w:r w:rsidRPr="00C92F30">
        <w:t>Voir les polémiques engagées par le prêtre spiritain français, le père Foi</w:t>
      </w:r>
      <w:r w:rsidRPr="00C92F30">
        <w:t>s</w:t>
      </w:r>
      <w:r w:rsidRPr="00C92F30">
        <w:t>set, qui qualifie le vodou de « magie homicide ». Ces textes ont été largement r</w:t>
      </w:r>
      <w:r w:rsidRPr="00C92F30">
        <w:t>e</w:t>
      </w:r>
      <w:r w:rsidRPr="00C92F30">
        <w:t xml:space="preserve">pris par Carl E. Peters dans son ouvrage </w:t>
      </w:r>
      <w:r w:rsidRPr="00C92F30">
        <w:rPr>
          <w:i/>
        </w:rPr>
        <w:t>Le service des loas</w:t>
      </w:r>
      <w:r w:rsidRPr="00C92F30">
        <w:t xml:space="preserve"> (Port-au-Prince, 1956), publié à l’époque des campagnes anti-superstitieuses qui avaient déb</w:t>
      </w:r>
      <w:r w:rsidRPr="00C92F30">
        <w:t>u</w:t>
      </w:r>
      <w:r w:rsidRPr="00C92F30">
        <w:t xml:space="preserve">té dans le courant des années 1940. Sur cette question, voir aussi Laënnec Hurbon, « Le statut du vodou et l’histoire de l’anthropologie », </w:t>
      </w:r>
      <w:r w:rsidRPr="00C92F30">
        <w:rPr>
          <w:i/>
        </w:rPr>
        <w:t>Gradhiva</w:t>
      </w:r>
      <w:r w:rsidRPr="00C92F30">
        <w:t>, n</w:t>
      </w:r>
      <w:r w:rsidRPr="00C92F30">
        <w:rPr>
          <w:vertAlign w:val="superscript"/>
        </w:rPr>
        <w:t>o</w:t>
      </w:r>
      <w:r w:rsidRPr="00C92F30">
        <w:t xml:space="preserve"> 1, 2005, en ligne, </w:t>
      </w:r>
      <w:hyperlink r:id="rId127" w:history="1">
        <w:r w:rsidRPr="00C92F30">
          <w:rPr>
            <w:rStyle w:val="Lienhypertexte"/>
          </w:rPr>
          <w:t>http://gradhiva.revues.org/336</w:t>
        </w:r>
      </w:hyperlink>
      <w:r w:rsidRPr="00C92F30">
        <w:t>, consulté le 21 mars 2012.</w:t>
      </w:r>
    </w:p>
  </w:footnote>
  <w:footnote w:id="901">
    <w:p w:rsidR="004C50DC" w:rsidRDefault="004C50DC">
      <w:pPr>
        <w:pStyle w:val="Notedebasdepage"/>
      </w:pPr>
      <w:r>
        <w:rPr>
          <w:rStyle w:val="Appelnotedebasdep"/>
        </w:rPr>
        <w:footnoteRef/>
      </w:r>
      <w:r>
        <w:t xml:space="preserve"> </w:t>
      </w:r>
      <w:r>
        <w:tab/>
      </w:r>
      <w:r w:rsidRPr="00C92F30">
        <w:rPr>
          <w:lang w:val="fr-FR"/>
        </w:rPr>
        <w:t xml:space="preserve">Selon Max Beauvoir, le terme </w:t>
      </w:r>
      <w:r w:rsidRPr="00C92F30">
        <w:rPr>
          <w:rFonts w:eastAsia="Arial Unicode MS"/>
          <w:lang w:eastAsia="hi-IN" w:bidi="hi-IN"/>
        </w:rPr>
        <w:t>Ati veut dire « le grand arbre de la forêt dont l’ombre protège les petits. Ses grandes branches servent de reposoir aux o</w:t>
      </w:r>
      <w:r w:rsidRPr="00C92F30">
        <w:rPr>
          <w:rFonts w:eastAsia="Arial Unicode MS"/>
          <w:lang w:eastAsia="hi-IN" w:bidi="hi-IN"/>
        </w:rPr>
        <w:t>i</w:t>
      </w:r>
      <w:r w:rsidRPr="00C92F30">
        <w:rPr>
          <w:rFonts w:eastAsia="Arial Unicode MS"/>
          <w:lang w:eastAsia="hi-IN" w:bidi="hi-IN"/>
        </w:rPr>
        <w:t>seaux qui le souillent, mais heureusement la pluie le lave » ; Thierry Oberlé, « En Haïti,</w:t>
      </w:r>
      <w:r w:rsidRPr="00C92F30">
        <w:rPr>
          <w:shd w:val="clear" w:color="auto" w:fill="FFFFFF"/>
          <w:lang w:val="fr-FR"/>
        </w:rPr>
        <w:t xml:space="preserve"> </w:t>
      </w:r>
      <w:r w:rsidRPr="00C92F30">
        <w:rPr>
          <w:rFonts w:eastAsia="Arial Unicode MS"/>
          <w:lang w:eastAsia="hi-IN" w:bidi="hi-IN"/>
        </w:rPr>
        <w:t xml:space="preserve">le vaudou est toujours debout », Le Figaro, en ligne, </w:t>
      </w:r>
      <w:hyperlink r:id="rId128" w:history="1">
        <w:r w:rsidRPr="00C92F30">
          <w:rPr>
            <w:rFonts w:eastAsia="Arial Unicode MS"/>
            <w:lang w:eastAsia="hi-IN" w:bidi="hi-IN"/>
          </w:rPr>
          <w:t>http://www.lefigaro.fr/international/2010/02/04/01003-20100204ARTFIG00002-en-haiti-le-vaudou-est-toujours-debout-.php</w:t>
        </w:r>
      </w:hyperlink>
      <w:r w:rsidRPr="00C92F30">
        <w:rPr>
          <w:rFonts w:eastAsia="Arial Unicode MS"/>
          <w:lang w:eastAsia="hi-IN" w:bidi="hi-IN"/>
        </w:rPr>
        <w:t>, consu</w:t>
      </w:r>
      <w:r w:rsidRPr="00C92F30">
        <w:rPr>
          <w:rFonts w:eastAsia="Arial Unicode MS"/>
          <w:lang w:eastAsia="hi-IN" w:bidi="hi-IN"/>
        </w:rPr>
        <w:t>l</w:t>
      </w:r>
      <w:r w:rsidRPr="00C92F30">
        <w:rPr>
          <w:rFonts w:eastAsia="Arial Unicode MS"/>
          <w:lang w:eastAsia="hi-IN" w:bidi="hi-IN"/>
        </w:rPr>
        <w:t>té le 2 novembre 2014.</w:t>
      </w:r>
    </w:p>
  </w:footnote>
  <w:footnote w:id="902">
    <w:p w:rsidR="004C50DC" w:rsidRDefault="004C50DC">
      <w:pPr>
        <w:pStyle w:val="Notedebasdepage"/>
      </w:pPr>
      <w:r>
        <w:rPr>
          <w:rStyle w:val="Appelnotedebasdep"/>
        </w:rPr>
        <w:footnoteRef/>
      </w:r>
      <w:r>
        <w:t xml:space="preserve"> </w:t>
      </w:r>
      <w:r>
        <w:tab/>
      </w:r>
      <w:r w:rsidRPr="00C92F30">
        <w:rPr>
          <w:lang w:val="fr-FR"/>
        </w:rPr>
        <w:t xml:space="preserve">Dans la tradition vodou, selon Max Beauvoir, l’histoire du </w:t>
      </w:r>
      <w:r w:rsidRPr="00C92F30">
        <w:rPr>
          <w:i/>
          <w:lang w:val="fr-FR"/>
        </w:rPr>
        <w:t>gédé</w:t>
      </w:r>
      <w:r w:rsidRPr="00C92F30">
        <w:rPr>
          <w:lang w:val="fr-FR"/>
        </w:rPr>
        <w:t xml:space="preserve"> remonte au début même de l’histoire de l’humanité. Les hommes vivaient comme des sauvages dans les forêts d’Afrique. Les lions, les tigres et d’autres animaux les pourchassaient. Avec l’apparition du feu, l’humanité a vaincu les animaux et les a maîtrisés. Depuis, elle s’est libérée à jamais de sa peur. Donc les vodou</w:t>
      </w:r>
      <w:r w:rsidRPr="00C92F30">
        <w:rPr>
          <w:lang w:val="fr-FR"/>
        </w:rPr>
        <w:t>i</w:t>
      </w:r>
      <w:r w:rsidRPr="00C92F30">
        <w:rPr>
          <w:lang w:val="fr-FR"/>
        </w:rPr>
        <w:t xml:space="preserve">sants célèbrent le feu et le début de la civilisation humaine. C’est la fête de la victoire de l’homme sur les animaux. C’est ce qui explique qu’à la cérémonie du </w:t>
      </w:r>
      <w:r w:rsidRPr="00C92F30">
        <w:rPr>
          <w:i/>
          <w:lang w:val="fr-FR"/>
        </w:rPr>
        <w:t>gédé</w:t>
      </w:r>
      <w:r w:rsidRPr="00C92F30">
        <w:rPr>
          <w:lang w:val="fr-FR"/>
        </w:rPr>
        <w:t xml:space="preserve">, les aliments servis (igname, patate douce, banane, plantain, hareng sel) sont bien rôtis.  On commémore aussi la patate (pomme de terre) comme le premier fruit de la terre et le poisson, fruit de la mer (hareng salé). On les sert dans un </w:t>
      </w:r>
      <w:r w:rsidRPr="00C92F30">
        <w:rPr>
          <w:i/>
          <w:lang w:val="fr-FR"/>
        </w:rPr>
        <w:t xml:space="preserve">kwi, </w:t>
      </w:r>
      <w:r w:rsidRPr="00C92F30">
        <w:rPr>
          <w:lang w:val="fr-FR"/>
        </w:rPr>
        <w:t>une calebasse séchée et vidée. Par ces gestes également, ils rendent hommage aux âmes dans les cimetières, considérés comme des rése</w:t>
      </w:r>
      <w:r w:rsidRPr="00C92F30">
        <w:rPr>
          <w:lang w:val="fr-FR"/>
        </w:rPr>
        <w:t>r</w:t>
      </w:r>
      <w:r w:rsidRPr="00C92F30">
        <w:rPr>
          <w:lang w:val="fr-FR"/>
        </w:rPr>
        <w:t xml:space="preserve">voirs d’esprits. Et pour atteindre la perfection, les </w:t>
      </w:r>
      <w:r w:rsidRPr="00C92F30">
        <w:rPr>
          <w:i/>
          <w:lang w:val="fr-FR"/>
        </w:rPr>
        <w:t>gédés</w:t>
      </w:r>
      <w:r w:rsidRPr="00C92F30">
        <w:rPr>
          <w:lang w:val="fr-FR"/>
        </w:rPr>
        <w:t xml:space="preserve"> se purifient le corps. Cette purification permet de corriger les faiblesses du corps sous les yeux du Baron Samedi et de la grand-mère Brigitte (</w:t>
      </w:r>
      <w:r w:rsidRPr="00C92F30">
        <w:rPr>
          <w:i/>
          <w:lang w:val="fr-FR"/>
        </w:rPr>
        <w:t>grann Brigitte</w:t>
      </w:r>
      <w:r w:rsidRPr="00C92F30">
        <w:rPr>
          <w:lang w:val="fr-FR"/>
        </w:rPr>
        <w:t>) qui sont les esprits protecteurs invoqués le 1</w:t>
      </w:r>
      <w:r w:rsidRPr="00C92F30">
        <w:rPr>
          <w:vertAlign w:val="superscript"/>
          <w:lang w:val="fr-FR"/>
        </w:rPr>
        <w:t>er</w:t>
      </w:r>
      <w:r w:rsidRPr="00C92F30">
        <w:rPr>
          <w:lang w:val="fr-FR"/>
        </w:rPr>
        <w:t>novembre et qui sont les gardiens des cimetières et des âmes perdues (Max Beauvoir, entrevue, 21 juillet 2014).</w:t>
      </w:r>
    </w:p>
  </w:footnote>
  <w:footnote w:id="903">
    <w:p w:rsidR="004C50DC" w:rsidRPr="00C92F30" w:rsidRDefault="004C50DC" w:rsidP="004C50DC">
      <w:pPr>
        <w:pStyle w:val="Notedebasdepage"/>
      </w:pPr>
      <w:r w:rsidRPr="00DE648B">
        <w:rPr>
          <w:rStyle w:val="Appelnotedebasdep"/>
        </w:rPr>
        <w:footnoteRef/>
      </w:r>
      <w:r>
        <w:tab/>
      </w:r>
      <w:r w:rsidRPr="00C92F30">
        <w:t xml:space="preserve">Jean-Jacques Dessalines, père de la révolution haïtienne, a été assassiné le 17 octobre 1806 à Pont Rouge, dans la commune de Port-au-Prince. </w:t>
      </w:r>
    </w:p>
  </w:footnote>
  <w:footnote w:id="904">
    <w:p w:rsidR="004C50DC" w:rsidRDefault="004C50DC">
      <w:pPr>
        <w:pStyle w:val="Notedebasdepage"/>
      </w:pPr>
      <w:r>
        <w:rPr>
          <w:rStyle w:val="Appelnotedebasdep"/>
        </w:rPr>
        <w:footnoteRef/>
      </w:r>
      <w:r>
        <w:t xml:space="preserve"> </w:t>
      </w:r>
      <w:r>
        <w:tab/>
      </w:r>
      <w:r w:rsidRPr="00C92F30">
        <w:t xml:space="preserve">Une salutation de </w:t>
      </w:r>
      <w:r w:rsidRPr="00C92F30">
        <w:rPr>
          <w:i/>
        </w:rPr>
        <w:t>gédés</w:t>
      </w:r>
      <w:r w:rsidRPr="00C92F30">
        <w:t xml:space="preserve"> dans la religion vodou en Haïti. </w:t>
      </w:r>
    </w:p>
  </w:footnote>
  <w:footnote w:id="905">
    <w:p w:rsidR="004C50DC" w:rsidRDefault="004C50DC">
      <w:pPr>
        <w:pStyle w:val="Notedebasdepage"/>
      </w:pPr>
      <w:r>
        <w:rPr>
          <w:rStyle w:val="Appelnotedebasdep"/>
        </w:rPr>
        <w:footnoteRef/>
      </w:r>
      <w:r>
        <w:t xml:space="preserve"> </w:t>
      </w:r>
      <w:r>
        <w:tab/>
      </w:r>
      <w:r w:rsidRPr="00C92F30">
        <w:t xml:space="preserve">Dans le vocabulaire des pratiques vodouesques, le </w:t>
      </w:r>
      <w:r w:rsidRPr="00C92F30">
        <w:rPr>
          <w:i/>
        </w:rPr>
        <w:t xml:space="preserve">bòkòr/bòkò </w:t>
      </w:r>
      <w:r w:rsidRPr="00C92F30">
        <w:t xml:space="preserve">généralement est un sorcier qui jette des maléfices et est dotéd’un certain pouvoir pour ôter mystérieusement la vie àquelqu’un. </w:t>
      </w:r>
    </w:p>
  </w:footnote>
  <w:footnote w:id="906">
    <w:p w:rsidR="004C50DC" w:rsidRDefault="004C50DC">
      <w:pPr>
        <w:pStyle w:val="Notedebasdepage"/>
      </w:pPr>
      <w:r>
        <w:rPr>
          <w:rStyle w:val="Appelnotedebasdep"/>
        </w:rPr>
        <w:footnoteRef/>
      </w:r>
      <w:r>
        <w:t xml:space="preserve"> </w:t>
      </w:r>
      <w:r>
        <w:tab/>
      </w:r>
      <w:r w:rsidRPr="00C92F30">
        <w:t xml:space="preserve">Voir Alfred Métraux, </w:t>
      </w:r>
      <w:r w:rsidRPr="00C92F30">
        <w:rPr>
          <w:i/>
        </w:rPr>
        <w:t>Le vaudou haïtien</w:t>
      </w:r>
      <w:r w:rsidRPr="00C92F30">
        <w:t xml:space="preserve">, Paris, Gallimard, 1995, où l’auteur a rédigé un petit lexique pour faciliter la compréhension du lecteur. </w:t>
      </w:r>
    </w:p>
  </w:footnote>
  <w:footnote w:id="907">
    <w:p w:rsidR="004C50DC" w:rsidRDefault="004C50DC">
      <w:pPr>
        <w:pStyle w:val="Notedebasdepage"/>
      </w:pPr>
      <w:r>
        <w:rPr>
          <w:rStyle w:val="Appelnotedebasdep"/>
        </w:rPr>
        <w:footnoteRef/>
      </w:r>
      <w:r>
        <w:t xml:space="preserve"> </w:t>
      </w:r>
      <w:r>
        <w:tab/>
      </w:r>
      <w:r w:rsidRPr="00C92F30">
        <w:t>Franck Degoul, « “L’effet de serf” ou les retentissements de l’esclavage col</w:t>
      </w:r>
      <w:r w:rsidRPr="00C92F30">
        <w:t>o</w:t>
      </w:r>
      <w:r w:rsidRPr="00C92F30">
        <w:t>nial dans l’imaginaire haïtien de la zombification », dans Jacques Hainard, Ph</w:t>
      </w:r>
      <w:r w:rsidRPr="00C92F30">
        <w:t>i</w:t>
      </w:r>
      <w:r w:rsidRPr="00C92F30">
        <w:t xml:space="preserve">lippe Mathez et Olivier Schinz (dir.), </w:t>
      </w:r>
      <w:r w:rsidRPr="00C92F30">
        <w:rPr>
          <w:i/>
        </w:rPr>
        <w:t>Vodou</w:t>
      </w:r>
      <w:r w:rsidRPr="00C92F30">
        <w:t>, Genève, musée d’Ethnographie, 2007, p</w:t>
      </w:r>
      <w:r>
        <w:t>p</w:t>
      </w:r>
      <w:r w:rsidRPr="00C92F30">
        <w:t>. 307-323.</w:t>
      </w:r>
    </w:p>
  </w:footnote>
  <w:footnote w:id="908">
    <w:p w:rsidR="004C50DC" w:rsidRPr="00C92F30" w:rsidRDefault="004C50DC" w:rsidP="004C50DC">
      <w:pPr>
        <w:pStyle w:val="Notedebasdepage"/>
      </w:pPr>
      <w:r w:rsidRPr="00C92F30">
        <w:rPr>
          <w:rStyle w:val="Appelnotedebasdep"/>
          <w:sz w:val="24"/>
        </w:rPr>
        <w:footnoteRef/>
      </w:r>
      <w:r>
        <w:tab/>
      </w:r>
      <w:r w:rsidRPr="00C92F30">
        <w:t xml:space="preserve">Franck Degoul, « Du passé faisons table d’hôte », </w:t>
      </w:r>
      <w:r w:rsidRPr="00C92F30">
        <w:rPr>
          <w:i/>
        </w:rPr>
        <w:t>Ethnologies</w:t>
      </w:r>
      <w:r w:rsidRPr="00C92F30">
        <w:t>, vol. 28, n</w:t>
      </w:r>
      <w:r w:rsidRPr="00C92F30">
        <w:rPr>
          <w:vertAlign w:val="superscript"/>
        </w:rPr>
        <w:t>o</w:t>
      </w:r>
      <w:r w:rsidRPr="00C92F30">
        <w:t> 1, 2006, p. 243.</w:t>
      </w:r>
    </w:p>
  </w:footnote>
  <w:footnote w:id="909">
    <w:p w:rsidR="004C50DC" w:rsidRPr="00C92F30" w:rsidRDefault="004C50DC" w:rsidP="004C50DC">
      <w:pPr>
        <w:pStyle w:val="Notedebasdepage"/>
      </w:pPr>
      <w:r w:rsidRPr="00C92F30">
        <w:rPr>
          <w:rStyle w:val="Appelnotedebasdep"/>
          <w:sz w:val="24"/>
        </w:rPr>
        <w:footnoteRef/>
      </w:r>
      <w:r>
        <w:tab/>
      </w:r>
      <w:r w:rsidRPr="00C92F30">
        <w:t>Ibid.</w:t>
      </w:r>
    </w:p>
  </w:footnote>
  <w:footnote w:id="910">
    <w:p w:rsidR="004C50DC" w:rsidRPr="00C92F30" w:rsidRDefault="004C50DC" w:rsidP="004C50DC">
      <w:pPr>
        <w:pStyle w:val="Notedebasdepage"/>
      </w:pPr>
      <w:r w:rsidRPr="00C92F30">
        <w:rPr>
          <w:rStyle w:val="Appelnotedebasdep"/>
          <w:sz w:val="24"/>
        </w:rPr>
        <w:footnoteRef/>
      </w:r>
      <w:r>
        <w:tab/>
      </w:r>
      <w:r w:rsidRPr="00C92F30">
        <w:t>Lire particulièrement les articles 33, 34, 35 et 40 du Code noir (1685).</w:t>
      </w:r>
    </w:p>
  </w:footnote>
  <w:footnote w:id="911">
    <w:p w:rsidR="004C50DC" w:rsidRDefault="004C50DC">
      <w:pPr>
        <w:pStyle w:val="Notedebasdepage"/>
      </w:pPr>
      <w:r>
        <w:rPr>
          <w:rStyle w:val="Appelnotedebasdep"/>
        </w:rPr>
        <w:footnoteRef/>
      </w:r>
      <w:r>
        <w:t xml:space="preserve"> </w:t>
      </w:r>
      <w:r>
        <w:tab/>
      </w:r>
      <w:r w:rsidRPr="00C92F30">
        <w:t xml:space="preserve">Denis Poizat, « Le vodou, la déficience, la chute », </w:t>
      </w:r>
      <w:r w:rsidRPr="00C92F30">
        <w:rPr>
          <w:i/>
        </w:rPr>
        <w:t>Reliance</w:t>
      </w:r>
      <w:r w:rsidRPr="00C92F30">
        <w:t xml:space="preserve">, vol. 33, n° 29, 2008, p. 13. </w:t>
      </w:r>
    </w:p>
  </w:footnote>
  <w:footnote w:id="912">
    <w:p w:rsidR="004C50DC" w:rsidRPr="00C92F30" w:rsidRDefault="004C50DC" w:rsidP="004C50DC">
      <w:pPr>
        <w:pStyle w:val="Notedebasdepage"/>
      </w:pPr>
      <w:r w:rsidRPr="00C92F30">
        <w:rPr>
          <w:rStyle w:val="Appelnotedebasdep"/>
          <w:sz w:val="24"/>
        </w:rPr>
        <w:footnoteRef/>
      </w:r>
      <w:r>
        <w:tab/>
      </w:r>
      <w:r w:rsidRPr="00C92F30">
        <w:t>Laënnec Hurbon, « La conjonction des imaginaires européens et africains a</w:t>
      </w:r>
      <w:r w:rsidRPr="00C92F30">
        <w:t>u</w:t>
      </w:r>
      <w:r w:rsidRPr="00C92F30">
        <w:t xml:space="preserve">tour du vodou », dans Jacques Hainard, Philippe Mathez et Olivier Schinz (dir.), </w:t>
      </w:r>
      <w:r w:rsidRPr="00C92F30">
        <w:rPr>
          <w:i/>
        </w:rPr>
        <w:t>Vodou</w:t>
      </w:r>
      <w:r w:rsidRPr="00C92F30">
        <w:t>, Genève, musée d’Ethnographie, 2007, p. 105-112.</w:t>
      </w:r>
    </w:p>
  </w:footnote>
  <w:footnote w:id="913">
    <w:p w:rsidR="004C50DC" w:rsidRDefault="004C50DC">
      <w:pPr>
        <w:pStyle w:val="Notedebasdepage"/>
      </w:pPr>
      <w:r>
        <w:rPr>
          <w:rStyle w:val="Appelnotedebasdep"/>
        </w:rPr>
        <w:footnoteRef/>
      </w:r>
      <w:r>
        <w:t xml:space="preserve"> </w:t>
      </w:r>
      <w:r>
        <w:tab/>
      </w:r>
      <w:r w:rsidRPr="00C92F30">
        <w:rPr>
          <w:lang w:val="fr-FR"/>
        </w:rPr>
        <w:t xml:space="preserve">Lewis Ampidu Clorméus, </w:t>
      </w:r>
      <w:r w:rsidRPr="00C92F30">
        <w:rPr>
          <w:i/>
          <w:lang w:val="fr-FR"/>
        </w:rPr>
        <w:t>Entre l’État, les élites et les religions en Haïti. R</w:t>
      </w:r>
      <w:r w:rsidRPr="00C92F30">
        <w:rPr>
          <w:i/>
          <w:lang w:val="fr-FR"/>
        </w:rPr>
        <w:t>e</w:t>
      </w:r>
      <w:r w:rsidRPr="00C92F30">
        <w:rPr>
          <w:i/>
          <w:lang w:val="fr-FR"/>
        </w:rPr>
        <w:t>découvrir la campagne antisuperstitieuse de 1939-1942</w:t>
      </w:r>
      <w:r w:rsidRPr="00C92F30">
        <w:rPr>
          <w:lang w:val="fr-FR"/>
        </w:rPr>
        <w:t>, Thèse de doctorat en</w:t>
      </w:r>
      <w:r>
        <w:rPr>
          <w:lang w:val="fr-FR"/>
        </w:rPr>
        <w:t xml:space="preserve"> </w:t>
      </w:r>
      <w:r w:rsidRPr="00C92F30">
        <w:rPr>
          <w:lang w:val="fr-FR"/>
        </w:rPr>
        <w:t>sociologie, CEIFR/EHESS, 2012, p. 12, cité par Dimitri Béchacq, « Le se</w:t>
      </w:r>
      <w:r w:rsidRPr="00C92F30">
        <w:rPr>
          <w:lang w:val="fr-FR"/>
        </w:rPr>
        <w:t>c</w:t>
      </w:r>
      <w:r w:rsidRPr="00C92F30">
        <w:rPr>
          <w:lang w:val="fr-FR"/>
        </w:rPr>
        <w:t xml:space="preserve">teur vodou en Haïti. Esthétique politique d’un militantisme religieux (1986-2010) », dans Lewis Ampidu Clorméus, </w:t>
      </w:r>
      <w:r w:rsidRPr="00C92F30">
        <w:rPr>
          <w:i/>
          <w:lang w:val="fr-FR"/>
        </w:rPr>
        <w:t>État, religions et politique en Haïti, XVIII</w:t>
      </w:r>
      <w:r w:rsidRPr="00C92F30">
        <w:rPr>
          <w:i/>
          <w:vertAlign w:val="superscript"/>
          <w:lang w:val="fr-FR"/>
        </w:rPr>
        <w:t>e</w:t>
      </w:r>
      <w:r w:rsidRPr="00C92F30">
        <w:rPr>
          <w:i/>
          <w:lang w:val="fr-FR"/>
        </w:rPr>
        <w:t>-XXI</w:t>
      </w:r>
      <w:r w:rsidRPr="00C92F30">
        <w:rPr>
          <w:i/>
          <w:vertAlign w:val="superscript"/>
          <w:lang w:val="fr-FR"/>
        </w:rPr>
        <w:t>e</w:t>
      </w:r>
      <w:r w:rsidRPr="00C92F30">
        <w:rPr>
          <w:i/>
          <w:lang w:val="fr-FR"/>
        </w:rPr>
        <w:t>siècles</w:t>
      </w:r>
      <w:r w:rsidRPr="00C92F30">
        <w:rPr>
          <w:lang w:val="fr-FR"/>
        </w:rPr>
        <w:t xml:space="preserve">,numéro thématique de </w:t>
      </w:r>
      <w:r w:rsidRPr="00C92F30">
        <w:rPr>
          <w:i/>
          <w:lang w:val="fr-FR"/>
        </w:rPr>
        <w:t>Histoire, Monde et Cultures rel</w:t>
      </w:r>
      <w:r w:rsidRPr="00C92F30">
        <w:rPr>
          <w:i/>
          <w:lang w:val="fr-FR"/>
        </w:rPr>
        <w:t>i</w:t>
      </w:r>
      <w:r w:rsidRPr="00C92F30">
        <w:rPr>
          <w:i/>
          <w:lang w:val="fr-FR"/>
        </w:rPr>
        <w:t>gieuses</w:t>
      </w:r>
      <w:r w:rsidRPr="00C92F30">
        <w:rPr>
          <w:lang w:val="fr-FR"/>
        </w:rPr>
        <w:t>, n</w:t>
      </w:r>
      <w:r w:rsidRPr="00C92F30">
        <w:rPr>
          <w:vertAlign w:val="superscript"/>
          <w:lang w:val="fr-FR"/>
        </w:rPr>
        <w:t>o </w:t>
      </w:r>
      <w:r w:rsidRPr="00C92F30">
        <w:rPr>
          <w:lang w:val="fr-FR"/>
        </w:rPr>
        <w:t>29, 2014, p. 102.</w:t>
      </w:r>
    </w:p>
  </w:footnote>
  <w:footnote w:id="914">
    <w:p w:rsidR="004C50DC" w:rsidRDefault="004C50DC">
      <w:pPr>
        <w:pStyle w:val="Notedebasdepage"/>
      </w:pPr>
      <w:r>
        <w:rPr>
          <w:rStyle w:val="Appelnotedebasdep"/>
        </w:rPr>
        <w:footnoteRef/>
      </w:r>
      <w:r>
        <w:t xml:space="preserve"> </w:t>
      </w:r>
      <w:r>
        <w:tab/>
      </w:r>
      <w:r w:rsidRPr="00C92F30">
        <w:t xml:space="preserve">Maximilien Laroche, « Mythe africain et mythe antillais : le personnage du zombi », </w:t>
      </w:r>
      <w:r w:rsidRPr="00C92F30">
        <w:rPr>
          <w:i/>
        </w:rPr>
        <w:t>Revue canadienne des études africaines</w:t>
      </w:r>
      <w:r w:rsidRPr="00C92F30">
        <w:t>, vol. IX, n</w:t>
      </w:r>
      <w:r w:rsidRPr="00C92F30">
        <w:rPr>
          <w:vertAlign w:val="superscript"/>
        </w:rPr>
        <w:t>o</w:t>
      </w:r>
      <w:r w:rsidRPr="00C92F30">
        <w:t xml:space="preserve"> 3, 1975, p. 488 ; voir aussi Franck Degoul, </w:t>
      </w:r>
      <w:r w:rsidRPr="00C92F30">
        <w:rPr>
          <w:i/>
          <w:lang w:val="fr-FR"/>
        </w:rPr>
        <w:t>Dos à la vie, dos à la mort. Une explication ethn</w:t>
      </w:r>
      <w:r w:rsidRPr="00C92F30">
        <w:rPr>
          <w:i/>
          <w:lang w:val="fr-FR"/>
        </w:rPr>
        <w:t>o</w:t>
      </w:r>
      <w:r w:rsidRPr="00C92F30">
        <w:rPr>
          <w:i/>
          <w:lang w:val="fr-FR"/>
        </w:rPr>
        <w:t>graphique des figures de la servitude dans l’imaginaire haïtien de la zombif</w:t>
      </w:r>
      <w:r w:rsidRPr="00C92F30">
        <w:rPr>
          <w:i/>
          <w:lang w:val="fr-FR"/>
        </w:rPr>
        <w:t>i</w:t>
      </w:r>
      <w:r w:rsidRPr="00C92F30">
        <w:rPr>
          <w:i/>
          <w:lang w:val="fr-FR"/>
        </w:rPr>
        <w:t>cation</w:t>
      </w:r>
      <w:r w:rsidRPr="00C92F30">
        <w:rPr>
          <w:lang w:val="fr-FR"/>
        </w:rPr>
        <w:t>, Thèse de doctorat en anthropologie, Université Laval, Québec, 2006, p. 263.</w:t>
      </w:r>
    </w:p>
  </w:footnote>
  <w:footnote w:id="915">
    <w:p w:rsidR="004C50DC" w:rsidRPr="00C92F30" w:rsidRDefault="004C50DC" w:rsidP="004C50DC">
      <w:pPr>
        <w:pStyle w:val="Notedebasdepage"/>
      </w:pPr>
      <w:r w:rsidRPr="00DE648B">
        <w:rPr>
          <w:rStyle w:val="Appelnotedebasdep"/>
        </w:rPr>
        <w:footnoteRef/>
      </w:r>
      <w:r>
        <w:tab/>
      </w:r>
      <w:r w:rsidRPr="00C92F30">
        <w:t>Ibid., p. 262.</w:t>
      </w:r>
    </w:p>
  </w:footnote>
  <w:footnote w:id="916">
    <w:p w:rsidR="004C50DC" w:rsidRDefault="004C50DC">
      <w:pPr>
        <w:pStyle w:val="Notedebasdepage"/>
      </w:pPr>
      <w:r>
        <w:rPr>
          <w:rStyle w:val="Appelnotedebasdep"/>
        </w:rPr>
        <w:footnoteRef/>
      </w:r>
      <w:r>
        <w:t xml:space="preserve"> </w:t>
      </w:r>
      <w:r>
        <w:tab/>
      </w:r>
      <w:r w:rsidRPr="00C92F30">
        <w:t xml:space="preserve">René Depestre, « Les aventures de la créolité. Lettre à Ralph Ludwig », dans Patrick Chamoiseau et al., </w:t>
      </w:r>
      <w:r w:rsidRPr="00C92F30">
        <w:rPr>
          <w:i/>
        </w:rPr>
        <w:t>Écrire la « parole de nuit ».  La nouvelle littér</w:t>
      </w:r>
      <w:r w:rsidRPr="00C92F30">
        <w:rPr>
          <w:i/>
        </w:rPr>
        <w:t>a</w:t>
      </w:r>
      <w:r w:rsidRPr="00C92F30">
        <w:rPr>
          <w:i/>
        </w:rPr>
        <w:t>ture antillaise</w:t>
      </w:r>
      <w:r w:rsidRPr="00C92F30">
        <w:t>, Paris, Gallimard, 1994, p</w:t>
      </w:r>
      <w:r>
        <w:t>p</w:t>
      </w:r>
      <w:r w:rsidRPr="00C92F30">
        <w:t>. 162-163.</w:t>
      </w:r>
    </w:p>
  </w:footnote>
  <w:footnote w:id="917">
    <w:p w:rsidR="004C50DC" w:rsidRDefault="004C50DC">
      <w:pPr>
        <w:pStyle w:val="Notedebasdepage"/>
      </w:pPr>
      <w:r w:rsidRPr="00DE648B">
        <w:rPr>
          <w:rStyle w:val="Appelnotedebasdep"/>
        </w:rPr>
        <w:footnoteRef/>
      </w:r>
      <w:r w:rsidRPr="00DE648B">
        <w:rPr>
          <w:sz w:val="20"/>
        </w:rPr>
        <w:t xml:space="preserve"> </w:t>
      </w:r>
      <w:r>
        <w:tab/>
      </w:r>
      <w:r w:rsidRPr="00C92F30">
        <w:rPr>
          <w:lang w:val="fr-FR"/>
        </w:rPr>
        <w:t>Les Taïnos étaientles premiers habitants de l’île d’</w:t>
      </w:r>
      <w:r w:rsidRPr="00C92F30">
        <w:rPr>
          <w:i/>
          <w:lang w:val="fr-FR"/>
        </w:rPr>
        <w:t>Ayiti.</w:t>
      </w:r>
      <w:r w:rsidRPr="00C92F30">
        <w:rPr>
          <w:lang w:val="fr-FR"/>
        </w:rPr>
        <w:t xml:space="preserve"> On pouvait rencontrer aussi des Taïnos à Cuba, à Saint-Domingue et à Porto-Rico. On remarque d</w:t>
      </w:r>
      <w:r w:rsidRPr="00C92F30">
        <w:rPr>
          <w:lang w:val="fr-FR"/>
        </w:rPr>
        <w:t>e</w:t>
      </w:r>
      <w:r w:rsidRPr="00C92F30">
        <w:rPr>
          <w:lang w:val="fr-FR"/>
        </w:rPr>
        <w:t>puis des annéesune tendance de plus en plus forte à revendiquer l’origine taïno de la culture haïtienne, notamment à travers les mémoires collectives sur les connaissances médicinales, les pratiques gastronomiques et la mode.</w:t>
      </w:r>
    </w:p>
  </w:footnote>
  <w:footnote w:id="918">
    <w:p w:rsidR="004C50DC" w:rsidRPr="00C92F30" w:rsidRDefault="004C50DC" w:rsidP="004C50DC">
      <w:pPr>
        <w:pStyle w:val="Notedebasdepage"/>
      </w:pPr>
      <w:r w:rsidRPr="00DE648B">
        <w:rPr>
          <w:rStyle w:val="Appelnotedebasdep"/>
        </w:rPr>
        <w:footnoteRef/>
      </w:r>
      <w:r>
        <w:tab/>
      </w:r>
      <w:r w:rsidRPr="00C92F30">
        <w:t>Il n’y a pas de raison de mettre en doute la déclaration de Max Beauvoir sur ses contributions et celles du vodou au développement de la médecine mode</w:t>
      </w:r>
      <w:r w:rsidRPr="00C92F30">
        <w:t>r</w:t>
      </w:r>
      <w:r w:rsidRPr="00C92F30">
        <w:t>ne dans le monde. Le chef suprême du vodou revendique aussi ses contrib</w:t>
      </w:r>
      <w:r w:rsidRPr="00C92F30">
        <w:t>u</w:t>
      </w:r>
      <w:r w:rsidRPr="00C92F30">
        <w:t xml:space="preserve">tions dans le développement des pilules contraceptives et de lutte contre l’hypertension artérielle (découverte de la vertu de la plante </w:t>
      </w:r>
      <w:r w:rsidRPr="00C92F30">
        <w:rPr>
          <w:i/>
        </w:rPr>
        <w:t>rauvo</w:t>
      </w:r>
      <w:r w:rsidRPr="00C92F30">
        <w:rPr>
          <w:i/>
        </w:rPr>
        <w:t>l</w:t>
      </w:r>
      <w:r w:rsidRPr="00C92F30">
        <w:rPr>
          <w:i/>
        </w:rPr>
        <w:t>fia serpentina</w:t>
      </w:r>
      <w:r w:rsidRPr="00C92F30">
        <w:t xml:space="preserve">). </w:t>
      </w:r>
    </w:p>
  </w:footnote>
  <w:footnote w:id="919">
    <w:p w:rsidR="004C50DC" w:rsidRPr="00C92F30" w:rsidRDefault="004C50DC" w:rsidP="004C50DC">
      <w:pPr>
        <w:pStyle w:val="Notedebasdepage"/>
      </w:pPr>
      <w:r w:rsidRPr="00DE648B">
        <w:rPr>
          <w:rStyle w:val="Appelnotedebasdep"/>
        </w:rPr>
        <w:footnoteRef/>
      </w:r>
      <w:r>
        <w:tab/>
      </w:r>
      <w:r w:rsidRPr="00C92F30">
        <w:t xml:space="preserve">Dans la religion vodou, le </w:t>
      </w:r>
      <w:r w:rsidRPr="00C92F30">
        <w:rPr>
          <w:i/>
        </w:rPr>
        <w:t xml:space="preserve">houngan </w:t>
      </w:r>
      <w:r w:rsidRPr="00C92F30">
        <w:t xml:space="preserve">et la </w:t>
      </w:r>
      <w:r w:rsidRPr="00C92F30">
        <w:rPr>
          <w:i/>
        </w:rPr>
        <w:t xml:space="preserve">manbo </w:t>
      </w:r>
      <w:r w:rsidRPr="00C92F30">
        <w:t>connaissent les plantes méd</w:t>
      </w:r>
      <w:r w:rsidRPr="00C92F30">
        <w:t>i</w:t>
      </w:r>
      <w:r w:rsidRPr="00C92F30">
        <w:t xml:space="preserve">cinales et ont le pouvoir de communiquer avec elles. Aidés par les </w:t>
      </w:r>
      <w:r w:rsidRPr="00C92F30">
        <w:rPr>
          <w:i/>
        </w:rPr>
        <w:t>lwa</w:t>
      </w:r>
      <w:r w:rsidRPr="00C92F30">
        <w:t>, ils pe</w:t>
      </w:r>
      <w:r w:rsidRPr="00C92F30">
        <w:t>u</w:t>
      </w:r>
      <w:r w:rsidRPr="00C92F30">
        <w:t xml:space="preserve">vent traiter des maladies jusqu’à la guérison.  </w:t>
      </w:r>
    </w:p>
  </w:footnote>
  <w:footnote w:id="920">
    <w:p w:rsidR="004C50DC" w:rsidRPr="00C92F30" w:rsidRDefault="004C50DC" w:rsidP="004C50DC">
      <w:pPr>
        <w:pStyle w:val="Notedebasdepage"/>
      </w:pPr>
      <w:r w:rsidRPr="00DE648B">
        <w:rPr>
          <w:rStyle w:val="Appelnotedebasdep"/>
        </w:rPr>
        <w:footnoteRef/>
      </w:r>
      <w:r>
        <w:tab/>
      </w:r>
      <w:r w:rsidRPr="00C92F30">
        <w:t>Aujourd’hui, son nom est associé à un Centre hospitalier universitaire de ps</w:t>
      </w:r>
      <w:r w:rsidRPr="00C92F30">
        <w:t>y</w:t>
      </w:r>
      <w:r w:rsidRPr="00C92F30">
        <w:t xml:space="preserve">chiatrie Mars et Klein situé au centre de la ville de Port-au-Prince. </w:t>
      </w:r>
    </w:p>
  </w:footnote>
  <w:footnote w:id="921">
    <w:p w:rsidR="004C50DC" w:rsidRPr="00C92F30" w:rsidRDefault="004C50DC" w:rsidP="004C50DC">
      <w:pPr>
        <w:pStyle w:val="Notedebasdepage"/>
      </w:pPr>
      <w:r w:rsidRPr="000A7C76">
        <w:rPr>
          <w:rStyle w:val="Appelnotedebasdep"/>
        </w:rPr>
        <w:footnoteRef/>
      </w:r>
      <w:r>
        <w:rPr>
          <w:rStyle w:val="Accentuation"/>
          <w:bCs/>
          <w:i w:val="0"/>
          <w:shd w:val="clear" w:color="auto" w:fill="FFFFFF"/>
        </w:rPr>
        <w:tab/>
      </w:r>
      <w:r w:rsidRPr="00C92F30">
        <w:t xml:space="preserve">Voir Frantz Fanon, </w:t>
      </w:r>
      <w:hyperlink r:id="rId129" w:history="1">
        <w:r w:rsidRPr="000A7C76">
          <w:rPr>
            <w:rStyle w:val="Lienhypertexte"/>
            <w:i/>
          </w:rPr>
          <w:t>Peau noire, masques blancs</w:t>
        </w:r>
      </w:hyperlink>
      <w:r w:rsidRPr="00C92F30">
        <w:t>, Paris, Seuil, 1952.</w:t>
      </w:r>
    </w:p>
  </w:footnote>
  <w:footnote w:id="922">
    <w:p w:rsidR="004C50DC" w:rsidRPr="00C92F30" w:rsidRDefault="004C50DC" w:rsidP="004C50DC">
      <w:pPr>
        <w:pStyle w:val="Notedebasdepage"/>
      </w:pPr>
      <w:r w:rsidRPr="000A7C76">
        <w:rPr>
          <w:rStyle w:val="Appelnotedebasdep"/>
        </w:rPr>
        <w:footnoteRef/>
      </w:r>
      <w:r>
        <w:tab/>
      </w:r>
      <w:r w:rsidRPr="00C92F30">
        <w:t>Claude Fischler, « Alimentation, cuisine et identité : l’identification des al</w:t>
      </w:r>
      <w:r w:rsidRPr="00C92F30">
        <w:t>i</w:t>
      </w:r>
      <w:r w:rsidRPr="00C92F30">
        <w:t>ments et l’identité du mangeur », dans Pierre Centlivres et Jean-Louis Christ</w:t>
      </w:r>
      <w:r w:rsidRPr="00C92F30">
        <w:t>i</w:t>
      </w:r>
      <w:r w:rsidRPr="00C92F30">
        <w:t xml:space="preserve">nat (dir.), </w:t>
      </w:r>
      <w:r w:rsidRPr="00C92F30">
        <w:rPr>
          <w:i/>
        </w:rPr>
        <w:t>Identité alimentaire et altérité culturelle</w:t>
      </w:r>
      <w:r w:rsidRPr="00C92F30">
        <w:t>, Neuchâtel, Institut d’ethnologie de l’Université de Neuchâtel, 1985, p. 171-172.</w:t>
      </w:r>
    </w:p>
  </w:footnote>
  <w:footnote w:id="923">
    <w:p w:rsidR="004C50DC" w:rsidRDefault="004C50DC">
      <w:pPr>
        <w:pStyle w:val="Notedebasdepage"/>
      </w:pPr>
      <w:r>
        <w:rPr>
          <w:rStyle w:val="Appelnotedebasdep"/>
        </w:rPr>
        <w:footnoteRef/>
      </w:r>
      <w:r>
        <w:t xml:space="preserve"> </w:t>
      </w:r>
      <w:r>
        <w:tab/>
      </w:r>
      <w:r w:rsidRPr="00C92F30">
        <w:rPr>
          <w:rFonts w:eastAsia="Arial Unicode MS" w:cs="Arial Unicode MS"/>
          <w:szCs w:val="24"/>
          <w:lang w:eastAsia="hi-IN" w:bidi="hi-IN"/>
        </w:rPr>
        <w:t xml:space="preserve">Claude Fischler, « Pensée magique et utopie dans la science. De l’incorporation à la diète méditerranéenne », Cahiers de l’Ocha, vol. 5, 1996, p. 1-17, en ligne, </w:t>
      </w:r>
      <w:hyperlink r:id="rId130" w:history="1">
        <w:r w:rsidRPr="00C92F30">
          <w:rPr>
            <w:rFonts w:eastAsia="Arial Unicode MS" w:cs="Arial Unicode MS"/>
            <w:szCs w:val="24"/>
            <w:lang w:eastAsia="hi-IN" w:bidi="hi-IN"/>
          </w:rPr>
          <w:t>https://hal.archives-ouvertes.fr/halshs.../document</w:t>
        </w:r>
      </w:hyperlink>
      <w:r w:rsidRPr="00C92F30">
        <w:rPr>
          <w:rFonts w:eastAsia="Arial Unicode MS" w:cs="Arial Unicode MS"/>
          <w:szCs w:val="24"/>
          <w:lang w:eastAsia="hi-IN" w:bidi="hi-IN"/>
        </w:rPr>
        <w:t>, consulté le 29 janvier 2013.</w:t>
      </w:r>
    </w:p>
  </w:footnote>
  <w:footnote w:id="924">
    <w:p w:rsidR="004C50DC" w:rsidRDefault="004C50DC">
      <w:pPr>
        <w:pStyle w:val="Notedebasdepage"/>
      </w:pPr>
      <w:r>
        <w:rPr>
          <w:rStyle w:val="Appelnotedebasdep"/>
        </w:rPr>
        <w:footnoteRef/>
      </w:r>
      <w:r>
        <w:t xml:space="preserve"> </w:t>
      </w:r>
      <w:r>
        <w:tab/>
      </w:r>
      <w:r w:rsidRPr="00C92F30">
        <w:rPr>
          <w:rFonts w:eastAsia="Arial Unicode MS" w:cs="Arial Unicode MS"/>
          <w:szCs w:val="24"/>
          <w:lang w:eastAsia="hi-IN" w:bidi="hi-IN"/>
        </w:rPr>
        <w:t>Écouter l’entrevue du professeur Laurier Turgeon qui explique ce qui définit le patrimoine alimentaire et le fait de manger ensemble » ; en l</w:t>
      </w:r>
      <w:r w:rsidRPr="00C92F30">
        <w:rPr>
          <w:rFonts w:eastAsia="Arial Unicode MS" w:cs="Arial Unicode MS"/>
          <w:szCs w:val="24"/>
          <w:lang w:eastAsia="hi-IN" w:bidi="hi-IN"/>
        </w:rPr>
        <w:t>i</w:t>
      </w:r>
      <w:r w:rsidRPr="00C92F30">
        <w:rPr>
          <w:rFonts w:eastAsia="Arial Unicode MS" w:cs="Arial Unicode MS"/>
          <w:szCs w:val="24"/>
          <w:lang w:eastAsia="hi-IN" w:bidi="hi-IN"/>
        </w:rPr>
        <w:t>gne,</w:t>
      </w:r>
      <w:hyperlink r:id="rId131" w:history="1">
        <w:r w:rsidRPr="00C92F30">
          <w:rPr>
            <w:rFonts w:eastAsia="Arial Unicode MS" w:cs="Arial Unicode MS"/>
            <w:szCs w:val="24"/>
            <w:lang w:eastAsia="hi-IN" w:bidi="hi-IN"/>
          </w:rPr>
          <w:t>http://mangerensemble.mcq.org/node/479-fra</w:t>
        </w:r>
      </w:hyperlink>
      <w:r w:rsidRPr="00C92F30">
        <w:rPr>
          <w:rFonts w:eastAsia="Arial Unicode MS" w:cs="Arial Unicode MS"/>
          <w:szCs w:val="24"/>
          <w:lang w:eastAsia="hi-IN" w:bidi="hi-IN"/>
        </w:rPr>
        <w:t>, consulté le 9 novembre 2014.</w:t>
      </w:r>
    </w:p>
  </w:footnote>
  <w:footnote w:id="925">
    <w:p w:rsidR="004C50DC" w:rsidRDefault="004C50DC">
      <w:pPr>
        <w:pStyle w:val="Notedebasdepage"/>
      </w:pPr>
      <w:r>
        <w:rPr>
          <w:rStyle w:val="Appelnotedebasdep"/>
        </w:rPr>
        <w:footnoteRef/>
      </w:r>
      <w:r>
        <w:t xml:space="preserve"> </w:t>
      </w:r>
      <w:r>
        <w:tab/>
      </w:r>
      <w:r w:rsidRPr="00C92F30">
        <w:rPr>
          <w:rFonts w:eastAsia="Arial Unicode MS" w:cs="Arial Unicode MS"/>
          <w:szCs w:val="24"/>
          <w:lang w:eastAsia="hi-IN" w:bidi="hi-IN"/>
        </w:rPr>
        <w:t>Sur cette question, voir James Saintène, « Le patrimoine gastronomique ha</w:t>
      </w:r>
      <w:r w:rsidRPr="00C92F30">
        <w:rPr>
          <w:rFonts w:eastAsia="Arial Unicode MS" w:cs="Arial Unicode MS"/>
          <w:szCs w:val="24"/>
          <w:lang w:eastAsia="hi-IN" w:bidi="hi-IN"/>
        </w:rPr>
        <w:t>ï</w:t>
      </w:r>
      <w:r w:rsidRPr="00C92F30">
        <w:rPr>
          <w:rFonts w:eastAsia="Arial Unicode MS" w:cs="Arial Unicode MS"/>
          <w:szCs w:val="24"/>
          <w:lang w:eastAsia="hi-IN" w:bidi="hi-IN"/>
        </w:rPr>
        <w:t>tien :</w:t>
      </w:r>
      <w:r w:rsidRPr="00C92F30">
        <w:t xml:space="preserve"> un marqueur identitaire et un atout pour le développement touristique durable », en ligne,</w:t>
      </w:r>
      <w:r>
        <w:t xml:space="preserve"> </w:t>
      </w:r>
      <w:hyperlink r:id="rId132" w:history="1">
        <w:r w:rsidRPr="00C92F30">
          <w:rPr>
            <w:rStyle w:val="Lienhypertexte"/>
          </w:rPr>
          <w:t>http://lenouvelliste.com/lenouvelliste/article/127340/Le-patrimoine-gastronomique-haitien-un-marqueur-identitaire-et-un-atout-pour-le-developpement-touristique-durable.html</w:t>
        </w:r>
      </w:hyperlink>
      <w:r w:rsidRPr="00C92F30">
        <w:t>, consulté le 8 novembre 2014.</w:t>
      </w:r>
    </w:p>
  </w:footnote>
  <w:footnote w:id="926">
    <w:p w:rsidR="004C50DC" w:rsidRPr="00C92F30" w:rsidRDefault="004C50DC" w:rsidP="004C50DC">
      <w:pPr>
        <w:pStyle w:val="Sansinterligne5"/>
        <w:jc w:val="both"/>
        <w:rPr>
          <w:rFonts w:ascii="Times New Roman" w:hAnsi="Times New Roman"/>
          <w:sz w:val="24"/>
          <w:szCs w:val="20"/>
        </w:rPr>
      </w:pPr>
      <w:r w:rsidRPr="000A7C76">
        <w:rPr>
          <w:rStyle w:val="Appelnotedebasdep"/>
          <w:rFonts w:ascii="Times New Roman" w:hAnsi="Times New Roman"/>
        </w:rPr>
        <w:footnoteRef/>
      </w:r>
      <w:r>
        <w:rPr>
          <w:rFonts w:ascii="Times New Roman" w:hAnsi="Times New Roman"/>
          <w:sz w:val="24"/>
          <w:szCs w:val="20"/>
        </w:rPr>
        <w:tab/>
      </w:r>
      <w:r w:rsidRPr="00C92F30">
        <w:rPr>
          <w:rFonts w:ascii="Times New Roman" w:hAnsi="Times New Roman"/>
          <w:sz w:val="24"/>
          <w:szCs w:val="20"/>
        </w:rPr>
        <w:t>Laurier Turgeon, op. cit.</w:t>
      </w:r>
    </w:p>
  </w:footnote>
  <w:footnote w:id="927">
    <w:p w:rsidR="004C50DC" w:rsidRPr="00C92F30" w:rsidRDefault="004C50DC" w:rsidP="004C50DC">
      <w:pPr>
        <w:pStyle w:val="Notedebasdepage"/>
        <w:rPr>
          <w:lang w:val="en-CA"/>
        </w:rPr>
      </w:pPr>
      <w:r w:rsidRPr="000A7C76">
        <w:rPr>
          <w:rStyle w:val="Appelnotedebasdep"/>
        </w:rPr>
        <w:footnoteRef/>
      </w:r>
      <w:r>
        <w:rPr>
          <w:lang w:val="en-CA"/>
        </w:rPr>
        <w:tab/>
      </w:r>
      <w:r w:rsidRPr="00C92F30">
        <w:rPr>
          <w:lang w:val="en-CA"/>
        </w:rPr>
        <w:t>Ibid.</w:t>
      </w:r>
    </w:p>
  </w:footnote>
  <w:footnote w:id="928">
    <w:p w:rsidR="004C50DC" w:rsidRPr="00C92F30" w:rsidRDefault="004C50DC" w:rsidP="004C50DC">
      <w:pPr>
        <w:pStyle w:val="Notedebasdepage"/>
      </w:pPr>
      <w:r w:rsidRPr="000A7C76">
        <w:rPr>
          <w:rStyle w:val="Appelnotedebasdep"/>
        </w:rPr>
        <w:footnoteRef/>
      </w:r>
      <w:r>
        <w:tab/>
      </w:r>
      <w:r w:rsidRPr="00C92F30">
        <w:t>Le stipe est le faux-tronc, ou tige, du palmier.</w:t>
      </w:r>
    </w:p>
  </w:footnote>
  <w:footnote w:id="929">
    <w:p w:rsidR="004C50DC" w:rsidRDefault="004C50DC">
      <w:pPr>
        <w:pStyle w:val="Notedebasdepage"/>
      </w:pPr>
      <w:r>
        <w:rPr>
          <w:rStyle w:val="Appelnotedebasdep"/>
        </w:rPr>
        <w:footnoteRef/>
      </w:r>
      <w:r>
        <w:t xml:space="preserve"> </w:t>
      </w:r>
      <w:r>
        <w:tab/>
      </w:r>
      <w:r w:rsidRPr="00C92F30">
        <w:t>Liliane Pierre-Paul, « Haïti-Insolite : la soupe “joumou” ou la revanche des va-nu-pieds de 1804 », 1</w:t>
      </w:r>
      <w:r w:rsidRPr="00C92F30">
        <w:rPr>
          <w:vertAlign w:val="superscript"/>
        </w:rPr>
        <w:t>er</w:t>
      </w:r>
      <w:r w:rsidRPr="00C92F30">
        <w:t xml:space="preserve"> janvier </w:t>
      </w:r>
      <w:r>
        <w:t>2008, en ligne,</w:t>
      </w:r>
      <w:r>
        <w:br/>
      </w:r>
      <w:hyperlink r:id="rId133" w:history="1">
        <w:r w:rsidRPr="00C92F30">
          <w:rPr>
            <w:rStyle w:val="Lienhypertexte"/>
            <w:color w:val="auto"/>
          </w:rPr>
          <w:t>http://radiokiskeya.com/spip.php?breve1605</w:t>
        </w:r>
      </w:hyperlink>
      <w:r w:rsidRPr="00C92F30">
        <w:t>, consulté le 08 novembre 2014.</w:t>
      </w:r>
    </w:p>
  </w:footnote>
  <w:footnote w:id="930">
    <w:p w:rsidR="004C50DC" w:rsidRPr="00C92F30" w:rsidRDefault="004C50DC" w:rsidP="004C50DC">
      <w:pPr>
        <w:pStyle w:val="Notedebasdepage"/>
      </w:pPr>
      <w:r w:rsidRPr="000A7C76">
        <w:rPr>
          <w:rStyle w:val="Appelnotedebasdep"/>
        </w:rPr>
        <w:footnoteRef/>
      </w:r>
      <w:r>
        <w:tab/>
      </w:r>
      <w:r w:rsidRPr="00C92F30">
        <w:t>Guetchine Alexis, « La soupe joumou », en ligne,</w:t>
      </w:r>
      <w:r>
        <w:br/>
      </w:r>
      <w:hyperlink r:id="rId134" w:history="1">
        <w:r w:rsidRPr="00C92F30">
          <w:rPr>
            <w:rStyle w:val="Lienhypertexte"/>
            <w:color w:val="auto"/>
          </w:rPr>
          <w:t>http://www.ipimh.ulaval.ca/fiche-soupe-joumou-36.html</w:t>
        </w:r>
      </w:hyperlink>
      <w:r w:rsidRPr="00C92F30">
        <w:t>, consulté le 24 oct</w:t>
      </w:r>
      <w:r w:rsidRPr="00C92F30">
        <w:t>o</w:t>
      </w:r>
      <w:r w:rsidRPr="00C92F30">
        <w:t>bre 2014.</w:t>
      </w:r>
    </w:p>
  </w:footnote>
  <w:footnote w:id="931">
    <w:p w:rsidR="004C50DC" w:rsidRDefault="004C50DC">
      <w:pPr>
        <w:pStyle w:val="Notedebasdepage"/>
      </w:pPr>
      <w:r>
        <w:rPr>
          <w:rStyle w:val="Appelnotedebasdep"/>
        </w:rPr>
        <w:footnoteRef/>
      </w:r>
      <w:r>
        <w:t xml:space="preserve"> </w:t>
      </w:r>
      <w:r>
        <w:tab/>
      </w:r>
      <w:r w:rsidRPr="00C92F30">
        <w:rPr>
          <w:lang w:val="fr-FR"/>
        </w:rPr>
        <w:t xml:space="preserve">Voir les fiches « Production de la cassave », « Préparation de banbocha », respectivement mars 2013 et octobre 2014, IPIMH, en ligne, </w:t>
      </w:r>
      <w:hyperlink r:id="rId135" w:history="1">
        <w:r w:rsidRPr="00C92F30">
          <w:rPr>
            <w:rStyle w:val="Lienhypertexte"/>
            <w:lang w:val="fr-FR"/>
          </w:rPr>
          <w:t>http://www.ipimh.ulaval.ca/fiche-soupe-joumou-36.html</w:t>
        </w:r>
      </w:hyperlink>
      <w:r w:rsidRPr="00C92F30">
        <w:rPr>
          <w:lang w:val="fr-FR"/>
        </w:rPr>
        <w:t>, consulté le 24 oct</w:t>
      </w:r>
      <w:r w:rsidRPr="00C92F30">
        <w:rPr>
          <w:lang w:val="fr-FR"/>
        </w:rPr>
        <w:t>o</w:t>
      </w:r>
      <w:r w:rsidRPr="00C92F30">
        <w:rPr>
          <w:lang w:val="fr-FR"/>
        </w:rPr>
        <w:t>bre 2014.</w:t>
      </w:r>
    </w:p>
  </w:footnote>
  <w:footnote w:id="932">
    <w:p w:rsidR="004C50DC" w:rsidRDefault="004C50DC">
      <w:pPr>
        <w:pStyle w:val="Notedebasdepage"/>
      </w:pPr>
      <w:r>
        <w:rPr>
          <w:rStyle w:val="Appelnotedebasdep"/>
        </w:rPr>
        <w:footnoteRef/>
      </w:r>
      <w:r>
        <w:t xml:space="preserve"> </w:t>
      </w:r>
      <w:r>
        <w:tab/>
      </w:r>
      <w:r w:rsidRPr="00C92F30">
        <w:rPr>
          <w:lang w:val="fr-FR"/>
        </w:rPr>
        <w:t>Voir la fiche « </w:t>
      </w:r>
      <w:r w:rsidRPr="00C92F30">
        <w:rPr>
          <w:i/>
          <w:lang w:val="fr-FR"/>
        </w:rPr>
        <w:t>Atoutou tèt manyòk</w:t>
      </w:r>
      <w:r w:rsidRPr="00C92F30">
        <w:rPr>
          <w:lang w:val="fr-FR"/>
        </w:rPr>
        <w:t> », en ligne,</w:t>
      </w:r>
      <w:r>
        <w:rPr>
          <w:lang w:val="fr-FR"/>
        </w:rPr>
        <w:br/>
      </w:r>
      <w:hyperlink r:id="rId136" w:history="1">
        <w:r w:rsidRPr="00C92F30">
          <w:rPr>
            <w:rStyle w:val="Lienhypertexte"/>
            <w:lang w:val="fr-FR"/>
          </w:rPr>
          <w:t>http://www.ipimh.ulaval.ca/fiche-soupe-joumou-36.html</w:t>
        </w:r>
      </w:hyperlink>
      <w:r w:rsidRPr="00C92F30">
        <w:rPr>
          <w:lang w:val="fr-FR"/>
        </w:rPr>
        <w:t>, consulté le 24 oct</w:t>
      </w:r>
      <w:r w:rsidRPr="00C92F30">
        <w:rPr>
          <w:lang w:val="fr-FR"/>
        </w:rPr>
        <w:t>o</w:t>
      </w:r>
      <w:r w:rsidRPr="00C92F30">
        <w:rPr>
          <w:lang w:val="fr-FR"/>
        </w:rPr>
        <w:t>bre 2014.</w:t>
      </w:r>
    </w:p>
  </w:footnote>
  <w:footnote w:id="933">
    <w:p w:rsidR="004C50DC" w:rsidRPr="00C92F30" w:rsidRDefault="004C50DC" w:rsidP="004C50DC">
      <w:pPr>
        <w:pStyle w:val="Notedebasdepage"/>
      </w:pPr>
      <w:r w:rsidRPr="000A7C76">
        <w:rPr>
          <w:rStyle w:val="Appelnotedebasdep"/>
        </w:rPr>
        <w:footnoteRef/>
      </w:r>
      <w:r>
        <w:tab/>
      </w:r>
      <w:r w:rsidRPr="00C92F30">
        <w:t xml:space="preserve">Pain à base de farine de manioc. </w:t>
      </w:r>
    </w:p>
  </w:footnote>
  <w:footnote w:id="934">
    <w:p w:rsidR="004C50DC" w:rsidRDefault="004C50DC">
      <w:pPr>
        <w:pStyle w:val="Notedebasdepage"/>
      </w:pPr>
      <w:r>
        <w:rPr>
          <w:rStyle w:val="Appelnotedebasdep"/>
        </w:rPr>
        <w:footnoteRef/>
      </w:r>
      <w:r>
        <w:t xml:space="preserve"> </w:t>
      </w:r>
      <w:r>
        <w:tab/>
      </w:r>
      <w:r w:rsidRPr="00C92F30">
        <w:t xml:space="preserve">Jean-Baptiste Labat, r.p., </w:t>
      </w:r>
      <w:r w:rsidRPr="00C92F30">
        <w:rPr>
          <w:i/>
        </w:rPr>
        <w:t>Nouveau Voyage aux isles Françoises de l’Amérique</w:t>
      </w:r>
      <w:r w:rsidRPr="00C92F30">
        <w:t xml:space="preserve">, tome III, </w:t>
      </w:r>
      <w:r w:rsidRPr="00C92F30">
        <w:rPr>
          <w:lang w:val="fr-FR"/>
        </w:rPr>
        <w:t xml:space="preserve">La Haye, P. Husson, </w:t>
      </w:r>
      <w:r w:rsidRPr="00C92F30">
        <w:t>1724, p. 410.</w:t>
      </w:r>
    </w:p>
  </w:footnote>
  <w:footnote w:id="935">
    <w:p w:rsidR="004C50DC" w:rsidRPr="00C92F30" w:rsidRDefault="004C50DC" w:rsidP="004C50DC">
      <w:pPr>
        <w:pStyle w:val="Notedebasdepage"/>
      </w:pPr>
      <w:r w:rsidRPr="00C92F30">
        <w:rPr>
          <w:rStyle w:val="Appelnotedebasdep"/>
          <w:sz w:val="24"/>
        </w:rPr>
        <w:footnoteRef/>
      </w:r>
      <w:r>
        <w:rPr>
          <w:lang w:eastAsia="fr-FR"/>
        </w:rPr>
        <w:tab/>
      </w:r>
      <w:r w:rsidRPr="00C92F30">
        <w:rPr>
          <w:lang w:eastAsia="fr-FR"/>
        </w:rPr>
        <w:t>Marcel Dorigny et Bernard Gainot, op. cit., p. 43.</w:t>
      </w:r>
    </w:p>
  </w:footnote>
  <w:footnote w:id="936">
    <w:p w:rsidR="004C50DC" w:rsidRPr="00C92F30" w:rsidRDefault="004C50DC" w:rsidP="004C50DC">
      <w:pPr>
        <w:pStyle w:val="Notedebasdepage"/>
      </w:pPr>
      <w:r w:rsidRPr="00C92F30">
        <w:rPr>
          <w:rStyle w:val="Appelnotedebasdep"/>
          <w:sz w:val="24"/>
        </w:rPr>
        <w:footnoteRef/>
      </w:r>
      <w:r>
        <w:tab/>
      </w:r>
      <w:r w:rsidRPr="00C92F30">
        <w:t>Gabriel Debien,</w:t>
      </w:r>
      <w:r w:rsidRPr="00C92F30">
        <w:rPr>
          <w:rStyle w:val="apple-converted-space"/>
        </w:rPr>
        <w:t> « </w:t>
      </w:r>
      <w:r w:rsidRPr="00C92F30">
        <w:rPr>
          <w:rStyle w:val="Accentuation"/>
          <w:i w:val="0"/>
        </w:rPr>
        <w:t xml:space="preserve">Les esclaves », dans Pierre Pluchon (dir.), </w:t>
      </w:r>
      <w:r w:rsidRPr="00C92F30">
        <w:rPr>
          <w:rStyle w:val="Accentuation"/>
        </w:rPr>
        <w:t>Histoire des A</w:t>
      </w:r>
      <w:r w:rsidRPr="00C92F30">
        <w:rPr>
          <w:rStyle w:val="Accentuation"/>
        </w:rPr>
        <w:t>n</w:t>
      </w:r>
      <w:r w:rsidRPr="00C92F30">
        <w:rPr>
          <w:rStyle w:val="Accentuation"/>
        </w:rPr>
        <w:t>tilles et de la Guyane</w:t>
      </w:r>
      <w:r w:rsidRPr="00C92F30">
        <w:rPr>
          <w:rStyle w:val="Accentuation"/>
          <w:i w:val="0"/>
        </w:rPr>
        <w:t xml:space="preserve">, Toulouse, Privat, 1982, p. 141-161, en ligne, </w:t>
      </w:r>
      <w:hyperlink r:id="rId137" w:history="1">
        <w:r w:rsidRPr="00C92F30">
          <w:rPr>
            <w:rStyle w:val="Lienhypertexte"/>
            <w:color w:val="auto"/>
          </w:rPr>
          <w:t>http://www.ghcaraibe.org/debien/NHC210bis-htm.htm</w:t>
        </w:r>
      </w:hyperlink>
      <w:r w:rsidRPr="00C92F30">
        <w:rPr>
          <w:rStyle w:val="Accentuation"/>
          <w:i w:val="0"/>
        </w:rPr>
        <w:t>, consulté le 22 nove</w:t>
      </w:r>
      <w:r w:rsidRPr="00C92F30">
        <w:rPr>
          <w:rStyle w:val="Accentuation"/>
          <w:i w:val="0"/>
        </w:rPr>
        <w:t>m</w:t>
      </w:r>
      <w:r w:rsidRPr="00C92F30">
        <w:rPr>
          <w:rStyle w:val="Accentuation"/>
          <w:i w:val="0"/>
        </w:rPr>
        <w:t>bre 2015.</w:t>
      </w:r>
    </w:p>
  </w:footnote>
  <w:footnote w:id="937">
    <w:p w:rsidR="004C50DC" w:rsidRDefault="004C50DC">
      <w:pPr>
        <w:pStyle w:val="Notedebasdepage"/>
      </w:pPr>
      <w:r>
        <w:rPr>
          <w:rStyle w:val="Appelnotedebasdep"/>
        </w:rPr>
        <w:footnoteRef/>
      </w:r>
      <w:r>
        <w:t xml:space="preserve"> </w:t>
      </w:r>
      <w:r>
        <w:tab/>
      </w:r>
      <w:r w:rsidRPr="00C92F30">
        <w:t xml:space="preserve">Gabriel Debien, </w:t>
      </w:r>
      <w:r w:rsidRPr="00C92F30">
        <w:rPr>
          <w:rStyle w:val="Accentuation"/>
        </w:rPr>
        <w:t>Les esclaves aux Antilles françaises, XVIIe-XVIIIe</w:t>
      </w:r>
      <w:r w:rsidRPr="00C92F30">
        <w:rPr>
          <w:rStyle w:val="apple-converted-space"/>
          <w:i/>
          <w:iCs/>
        </w:rPr>
        <w:t> </w:t>
      </w:r>
      <w:r w:rsidRPr="00C92F30">
        <w:rPr>
          <w:rStyle w:val="Accentuation"/>
        </w:rPr>
        <w:t>siècles</w:t>
      </w:r>
      <w:r w:rsidRPr="00C92F30">
        <w:t xml:space="preserve">, Fort de France et Basse-Terre, Société d’Histoire de la Martinique, 1974, p. 298.  </w:t>
      </w:r>
    </w:p>
  </w:footnote>
  <w:footnote w:id="938">
    <w:p w:rsidR="004C50DC" w:rsidRPr="00C92F30" w:rsidRDefault="004C50DC" w:rsidP="004C50DC">
      <w:pPr>
        <w:pStyle w:val="Notedebasdepage"/>
      </w:pPr>
      <w:r w:rsidRPr="00C92F30">
        <w:rPr>
          <w:rStyle w:val="Appelnotedebasdep"/>
          <w:sz w:val="24"/>
        </w:rPr>
        <w:footnoteRef/>
      </w:r>
      <w:r>
        <w:tab/>
      </w:r>
      <w:r w:rsidRPr="00C92F30">
        <w:t>Gabriel Debien,</w:t>
      </w:r>
      <w:r w:rsidRPr="00C92F30">
        <w:rPr>
          <w:rStyle w:val="apple-converted-space"/>
        </w:rPr>
        <w:t> « </w:t>
      </w:r>
      <w:r w:rsidRPr="00C92F30">
        <w:rPr>
          <w:rStyle w:val="Accentuation"/>
          <w:i w:val="0"/>
        </w:rPr>
        <w:t>Les esclaves », op. cit.</w:t>
      </w:r>
    </w:p>
  </w:footnote>
  <w:footnote w:id="939">
    <w:p w:rsidR="004C50DC" w:rsidRPr="00C92F30" w:rsidRDefault="004C50DC" w:rsidP="004C50DC">
      <w:pPr>
        <w:pStyle w:val="Notedebasdepage"/>
      </w:pPr>
      <w:r w:rsidRPr="000A7C76">
        <w:rPr>
          <w:rStyle w:val="Appelnotedebasdep"/>
        </w:rPr>
        <w:footnoteRef/>
      </w:r>
      <w:r>
        <w:tab/>
      </w:r>
      <w:r w:rsidRPr="00C92F30">
        <w:t xml:space="preserve">Gabriel Debien, « La nourriture des esclaves sur les plantations des Antilles françaises aux </w:t>
      </w:r>
      <w:r w:rsidRPr="00C92F30">
        <w:rPr>
          <w:rStyle w:val="Accentuation"/>
          <w:i w:val="0"/>
        </w:rPr>
        <w:t>XVIIe et XVIIIesiècles </w:t>
      </w:r>
      <w:r w:rsidRPr="00C92F30">
        <w:t xml:space="preserve">», </w:t>
      </w:r>
      <w:r w:rsidRPr="00C92F30">
        <w:rPr>
          <w:i/>
        </w:rPr>
        <w:t>Notes d’histoire coloniale</w:t>
      </w:r>
      <w:r w:rsidRPr="00C92F30">
        <w:t>, 1964, vol. 4, n</w:t>
      </w:r>
      <w:r w:rsidRPr="00C92F30">
        <w:rPr>
          <w:vertAlign w:val="superscript"/>
        </w:rPr>
        <w:t>o</w:t>
      </w:r>
      <w:r w:rsidRPr="00C92F30">
        <w:t> 2, p. 25.</w:t>
      </w:r>
    </w:p>
  </w:footnote>
  <w:footnote w:id="940">
    <w:p w:rsidR="004C50DC" w:rsidRPr="00C92F30" w:rsidRDefault="004C50DC" w:rsidP="004C50DC">
      <w:pPr>
        <w:pStyle w:val="Notedebasdepage"/>
      </w:pPr>
      <w:r w:rsidRPr="000A7C76">
        <w:rPr>
          <w:rStyle w:val="Appelnotedebasdep"/>
        </w:rPr>
        <w:footnoteRef/>
      </w:r>
      <w:r>
        <w:tab/>
      </w:r>
      <w:r w:rsidRPr="00C92F30">
        <w:t xml:space="preserve">Vertus Saint-Louis, </w:t>
      </w:r>
      <w:r w:rsidRPr="00C92F30">
        <w:rPr>
          <w:i/>
        </w:rPr>
        <w:t>Système colonial et problèmes d’alimentation. Saint-Domingue au XVIII</w:t>
      </w:r>
      <w:r w:rsidRPr="00C92F30">
        <w:rPr>
          <w:i/>
          <w:vertAlign w:val="superscript"/>
        </w:rPr>
        <w:t>e</w:t>
      </w:r>
      <w:r w:rsidRPr="00C92F30">
        <w:rPr>
          <w:i/>
        </w:rPr>
        <w:t xml:space="preserve"> siècle</w:t>
      </w:r>
      <w:r w:rsidRPr="00C92F30">
        <w:t>, Port-au-Prince, Bibliothèque universitaire haïtie</w:t>
      </w:r>
      <w:r w:rsidRPr="00C92F30">
        <w:t>n</w:t>
      </w:r>
      <w:r w:rsidRPr="00C92F30">
        <w:t>ne, Montréal, CIDIHCA, 1999, p. 77.</w:t>
      </w:r>
    </w:p>
  </w:footnote>
  <w:footnote w:id="941">
    <w:p w:rsidR="004C50DC" w:rsidRPr="00C92F30" w:rsidRDefault="004C50DC" w:rsidP="004C50DC">
      <w:pPr>
        <w:pStyle w:val="Notedebasdepage"/>
      </w:pPr>
      <w:r w:rsidRPr="000A7C76">
        <w:rPr>
          <w:rStyle w:val="Appelnotedebasdep"/>
        </w:rPr>
        <w:footnoteRef/>
      </w:r>
      <w:r>
        <w:tab/>
      </w:r>
      <w:r w:rsidRPr="00C92F30">
        <w:t>Vertus Saint-Louis, op. cit., p. 202.</w:t>
      </w:r>
    </w:p>
  </w:footnote>
  <w:footnote w:id="942">
    <w:p w:rsidR="004C50DC" w:rsidRDefault="004C50DC">
      <w:pPr>
        <w:pStyle w:val="Notedebasdepage"/>
      </w:pPr>
      <w:r>
        <w:rPr>
          <w:rStyle w:val="Appelnotedebasdep"/>
        </w:rPr>
        <w:footnoteRef/>
      </w:r>
      <w:r>
        <w:t xml:space="preserve"> </w:t>
      </w:r>
      <w:r>
        <w:tab/>
      </w:r>
      <w:r w:rsidRPr="00C92F30">
        <w:rPr>
          <w:lang w:val="fr-FR"/>
        </w:rPr>
        <w:t xml:space="preserve">Moreau de Saint-Méry, </w:t>
      </w:r>
      <w:r w:rsidRPr="00C92F30">
        <w:rPr>
          <w:i/>
          <w:lang w:val="fr-FR"/>
        </w:rPr>
        <w:t>Description de la partie française de l’Isle de Saint-Domingue</w:t>
      </w:r>
      <w:r w:rsidRPr="00C92F30">
        <w:rPr>
          <w:lang w:val="fr-FR"/>
        </w:rPr>
        <w:t>, Paris, Société française histoire d’outre-mer, vol.</w:t>
      </w:r>
      <w:r w:rsidRPr="00C92F30">
        <w:t xml:space="preserve"> 1, </w:t>
      </w:r>
      <w:r w:rsidRPr="00C92F30">
        <w:rPr>
          <w:lang w:val="fr-FR"/>
        </w:rPr>
        <w:t>(1r</w:t>
      </w:r>
      <w:r w:rsidRPr="00C92F30">
        <w:rPr>
          <w:vertAlign w:val="superscript"/>
          <w:lang w:val="fr-FR"/>
        </w:rPr>
        <w:t>e</w:t>
      </w:r>
      <w:r w:rsidRPr="00C92F30">
        <w:rPr>
          <w:lang w:val="fr-FR"/>
        </w:rPr>
        <w:t xml:space="preserve">  éd. 1797), 1984, </w:t>
      </w:r>
      <w:r w:rsidRPr="00C92F30">
        <w:t xml:space="preserve">p. 534, </w:t>
      </w:r>
      <w:r w:rsidRPr="00C92F30">
        <w:rPr>
          <w:lang w:val="fr-FR"/>
        </w:rPr>
        <w:t xml:space="preserve">cité </w:t>
      </w:r>
      <w:r w:rsidRPr="00C92F30">
        <w:t>p</w:t>
      </w:r>
      <w:r w:rsidRPr="00C92F30">
        <w:rPr>
          <w:lang w:val="fr-FR"/>
        </w:rPr>
        <w:t xml:space="preserve">ar </w:t>
      </w:r>
      <w:r w:rsidRPr="00C92F30">
        <w:t>Hénock Trouillot</w:t>
      </w:r>
      <w:r w:rsidRPr="00C92F30">
        <w:rPr>
          <w:lang w:val="fr-FR"/>
        </w:rPr>
        <w:t xml:space="preserve">, </w:t>
      </w:r>
      <w:r w:rsidRPr="00C92F30">
        <w:t>« La condition des Nè</w:t>
      </w:r>
      <w:r w:rsidRPr="00C92F30">
        <w:rPr>
          <w:lang w:val="fr-FR"/>
        </w:rPr>
        <w:t>gres d</w:t>
      </w:r>
      <w:r w:rsidRPr="00C92F30">
        <w:rPr>
          <w:lang w:val="fr-FR"/>
        </w:rPr>
        <w:t>o</w:t>
      </w:r>
      <w:r w:rsidRPr="00C92F30">
        <w:rPr>
          <w:lang w:val="fr-FR"/>
        </w:rPr>
        <w:t>me</w:t>
      </w:r>
      <w:r w:rsidRPr="00C92F30">
        <w:rPr>
          <w:lang w:val="fr-FR"/>
        </w:rPr>
        <w:t>s</w:t>
      </w:r>
      <w:r w:rsidRPr="00C92F30">
        <w:rPr>
          <w:lang w:val="fr-FR"/>
        </w:rPr>
        <w:t>tiques à Saint-Domingue</w:t>
      </w:r>
      <w:r w:rsidRPr="00C92F30">
        <w:t> »</w:t>
      </w:r>
      <w:r w:rsidRPr="00C92F30">
        <w:rPr>
          <w:lang w:val="fr-FR"/>
        </w:rPr>
        <w:t xml:space="preserve">, </w:t>
      </w:r>
      <w:r w:rsidRPr="00C92F30">
        <w:rPr>
          <w:i/>
        </w:rPr>
        <w:t>R</w:t>
      </w:r>
      <w:r w:rsidRPr="00C92F30">
        <w:rPr>
          <w:i/>
          <w:lang w:val="fr-FR"/>
        </w:rPr>
        <w:t>evue de la Société haïtienne d’histoire et de géogr</w:t>
      </w:r>
      <w:r w:rsidRPr="00C92F30">
        <w:rPr>
          <w:i/>
          <w:lang w:val="fr-FR"/>
        </w:rPr>
        <w:t>a</w:t>
      </w:r>
      <w:r w:rsidRPr="00C92F30">
        <w:rPr>
          <w:i/>
          <w:lang w:val="fr-FR"/>
        </w:rPr>
        <w:t xml:space="preserve">phie, </w:t>
      </w:r>
      <w:r w:rsidRPr="00C92F30">
        <w:rPr>
          <w:lang w:val="fr-FR"/>
        </w:rPr>
        <w:t>vol. 28, n</w:t>
      </w:r>
      <w:r w:rsidRPr="00C92F30">
        <w:rPr>
          <w:vertAlign w:val="superscript"/>
          <w:lang w:val="fr-FR"/>
        </w:rPr>
        <w:t>o</w:t>
      </w:r>
      <w:r w:rsidRPr="00C92F30">
        <w:rPr>
          <w:lang w:val="fr-FR"/>
        </w:rPr>
        <w:t xml:space="preserve"> 99, 1955, p. 5 ; voir aussi </w:t>
      </w:r>
      <w:r w:rsidRPr="00C92F30">
        <w:t>Vertus Saint-Louis, op. cit., p. 145.</w:t>
      </w:r>
    </w:p>
  </w:footnote>
  <w:footnote w:id="943">
    <w:p w:rsidR="004C50DC" w:rsidRDefault="004C50DC">
      <w:pPr>
        <w:pStyle w:val="Notedebasdepage"/>
      </w:pPr>
      <w:r>
        <w:rPr>
          <w:rStyle w:val="Appelnotedebasdep"/>
        </w:rPr>
        <w:footnoteRef/>
      </w:r>
      <w:r>
        <w:t xml:space="preserve"> </w:t>
      </w:r>
      <w:r>
        <w:tab/>
      </w:r>
      <w:r w:rsidRPr="00C92F30">
        <w:t xml:space="preserve">Voir </w:t>
      </w:r>
      <w:r w:rsidRPr="00C92F30">
        <w:rPr>
          <w:lang w:val="fr-FR"/>
        </w:rPr>
        <w:t xml:space="preserve">Médecins du monde, « Crises et conflits. </w:t>
      </w:r>
      <w:r w:rsidRPr="00C92F30">
        <w:t>Intervenir dans les situ</w:t>
      </w:r>
      <w:r w:rsidRPr="00C92F30">
        <w:t>a</w:t>
      </w:r>
      <w:r w:rsidRPr="00C92F30">
        <w:t>tions humanitaires d’urgence. Catastrophes naturelles et réponse aux urgences liées aux conflits », en ligne,</w:t>
      </w:r>
      <w:r>
        <w:br/>
      </w:r>
      <w:r>
        <w:tab/>
      </w:r>
      <w:hyperlink r:id="rId138" w:history="1">
        <w:r w:rsidRPr="00C92F30">
          <w:rPr>
            <w:rStyle w:val="Lienhypertexte"/>
            <w:lang w:val="fr-FR"/>
          </w:rPr>
          <w:t>http://www.medecinsdumonde.org/Nos-Combats/Priorites-d-action/Crises-et-conflits</w:t>
        </w:r>
      </w:hyperlink>
      <w:r w:rsidRPr="00C92F30">
        <w:rPr>
          <w:lang w:val="fr-FR"/>
        </w:rPr>
        <w:t>, consulté le 2 janvier 2016.</w:t>
      </w:r>
    </w:p>
  </w:footnote>
  <w:footnote w:id="944">
    <w:p w:rsidR="004C50DC" w:rsidRPr="00C92F30" w:rsidRDefault="004C50DC" w:rsidP="004C50DC">
      <w:pPr>
        <w:pStyle w:val="Notedebasdepage"/>
      </w:pPr>
      <w:r w:rsidRPr="000A7C76">
        <w:rPr>
          <w:rStyle w:val="Appelnotedebasdep"/>
        </w:rPr>
        <w:footnoteRef/>
      </w:r>
      <w:r>
        <w:tab/>
      </w:r>
      <w:r w:rsidRPr="00C92F30">
        <w:t xml:space="preserve">Jacinthe Bessière, </w:t>
      </w:r>
      <w:r w:rsidRPr="00C92F30">
        <w:rPr>
          <w:i/>
        </w:rPr>
        <w:t>Innovation et patrimoine alimentaire en espace rural</w:t>
      </w:r>
      <w:r w:rsidRPr="00C92F30">
        <w:t>, Ve</w:t>
      </w:r>
      <w:r w:rsidRPr="00C92F30">
        <w:t>r</w:t>
      </w:r>
      <w:r w:rsidRPr="00C92F30">
        <w:t>sailles, Quae, 2012, p. 38.</w:t>
      </w:r>
    </w:p>
  </w:footnote>
  <w:footnote w:id="945">
    <w:p w:rsidR="004C50DC" w:rsidRPr="00C92F30" w:rsidRDefault="004C50DC" w:rsidP="004C50DC">
      <w:pPr>
        <w:pStyle w:val="Notedebasdepage"/>
      </w:pPr>
      <w:r w:rsidRPr="000A7C76">
        <w:rPr>
          <w:rStyle w:val="Appelnotedebasdep"/>
        </w:rPr>
        <w:footnoteRef/>
      </w:r>
      <w:r>
        <w:tab/>
      </w:r>
      <w:r w:rsidRPr="00C92F30">
        <w:t>Michel Corvin, Dictionnaire encyclopédique du théâtre à travers le monde, P</w:t>
      </w:r>
      <w:r w:rsidRPr="00C92F30">
        <w:t>a</w:t>
      </w:r>
      <w:r w:rsidRPr="00C92F30">
        <w:t>ris, Bordas, 2008.</w:t>
      </w:r>
    </w:p>
  </w:footnote>
  <w:footnote w:id="946">
    <w:p w:rsidR="004C50DC" w:rsidRDefault="004C50DC">
      <w:pPr>
        <w:pStyle w:val="Notedebasdepage"/>
      </w:pPr>
      <w:r>
        <w:rPr>
          <w:rStyle w:val="Appelnotedebasdep"/>
        </w:rPr>
        <w:footnoteRef/>
      </w:r>
      <w:r>
        <w:t xml:space="preserve"> </w:t>
      </w:r>
      <w:r>
        <w:tab/>
      </w:r>
      <w:r w:rsidRPr="00C92F30">
        <w:t xml:space="preserve">Sarah Gensburger, « Les figures du juste et du résistant et l’évolution de la mémoire historique française de l’occupation », </w:t>
      </w:r>
      <w:r w:rsidRPr="00C92F30">
        <w:rPr>
          <w:i/>
        </w:rPr>
        <w:t>Revue française de science pol</w:t>
      </w:r>
      <w:r w:rsidRPr="00C92F30">
        <w:rPr>
          <w:i/>
        </w:rPr>
        <w:t>i</w:t>
      </w:r>
      <w:r w:rsidRPr="00C92F30">
        <w:rPr>
          <w:i/>
        </w:rPr>
        <w:t>tique</w:t>
      </w:r>
      <w:r w:rsidRPr="00C92F30">
        <w:t>, vol. 52, n</w:t>
      </w:r>
      <w:r w:rsidRPr="00C92F30">
        <w:rPr>
          <w:vertAlign w:val="superscript"/>
        </w:rPr>
        <w:t>os</w:t>
      </w:r>
      <w:r w:rsidRPr="00C92F30">
        <w:t> 2-3, 2002, p. 291-322, en ligne, DOI : </w:t>
      </w:r>
      <w:hyperlink r:id="rId139" w:history="1">
        <w:r w:rsidRPr="00C92F30">
          <w:rPr>
            <w:rStyle w:val="Lienhypertexte"/>
          </w:rPr>
          <w:t>10.3406/rfsp.2002.403712</w:t>
        </w:r>
      </w:hyperlink>
      <w:r w:rsidRPr="00C92F30">
        <w:t> ; voir aussi Olivier Pulvar, « Mémoire, m</w:t>
      </w:r>
      <w:r w:rsidRPr="00C92F30">
        <w:t>é</w:t>
      </w:r>
      <w:r w:rsidRPr="00C92F30">
        <w:t>diat</w:t>
      </w:r>
      <w:r w:rsidRPr="00C92F30">
        <w:t>i</w:t>
      </w:r>
      <w:r w:rsidRPr="00C92F30">
        <w:t xml:space="preserve">sation et construction des identités », </w:t>
      </w:r>
      <w:r w:rsidRPr="00C92F30">
        <w:rPr>
          <w:i/>
        </w:rPr>
        <w:t>Études caribéennes</w:t>
      </w:r>
      <w:r w:rsidRPr="00C92F30">
        <w:t>, n</w:t>
      </w:r>
      <w:r w:rsidRPr="00C92F30">
        <w:rPr>
          <w:vertAlign w:val="superscript"/>
        </w:rPr>
        <w:t>o</w:t>
      </w:r>
      <w:r w:rsidRPr="00C92F30">
        <w:t xml:space="preserve"> 5, 2006, en ligne, </w:t>
      </w:r>
      <w:hyperlink r:id="rId140" w:history="1">
        <w:r w:rsidRPr="00C92F30">
          <w:rPr>
            <w:rStyle w:val="Lienhypertexte"/>
          </w:rPr>
          <w:t>http://etudescaribeennes.revues.org/390</w:t>
        </w:r>
      </w:hyperlink>
      <w:r w:rsidRPr="00C92F30">
        <w:t> ; DOI : 10.4000/etudescaribeennes.390</w:t>
      </w:r>
    </w:p>
  </w:footnote>
  <w:footnote w:id="947">
    <w:p w:rsidR="004C50DC" w:rsidRDefault="004C50DC">
      <w:pPr>
        <w:pStyle w:val="Notedebasdepage"/>
      </w:pPr>
      <w:r>
        <w:rPr>
          <w:rStyle w:val="Appelnotedebasdep"/>
        </w:rPr>
        <w:footnoteRef/>
      </w:r>
      <w:r>
        <w:t xml:space="preserve"> </w:t>
      </w:r>
      <w:r>
        <w:tab/>
      </w:r>
      <w:r w:rsidRPr="00C92F30">
        <w:t xml:space="preserve">Pascal Ory, « La commémoration qu’on mérite », </w:t>
      </w:r>
      <w:r w:rsidRPr="00C92F30">
        <w:rPr>
          <w:i/>
        </w:rPr>
        <w:t>Les lieux de mémoire, M</w:t>
      </w:r>
      <w:r w:rsidRPr="00C92F30">
        <w:rPr>
          <w:i/>
        </w:rPr>
        <w:t>a</w:t>
      </w:r>
      <w:r w:rsidRPr="00C92F30">
        <w:rPr>
          <w:i/>
        </w:rPr>
        <w:t>gazine littéraire</w:t>
      </w:r>
      <w:r w:rsidRPr="00C92F30">
        <w:t>, n</w:t>
      </w:r>
      <w:r w:rsidRPr="00C92F30">
        <w:rPr>
          <w:vertAlign w:val="superscript"/>
        </w:rPr>
        <w:t>o</w:t>
      </w:r>
      <w:r w:rsidRPr="00C92F30">
        <w:t> 307, février 1993, p</w:t>
      </w:r>
      <w:r>
        <w:t>p</w:t>
      </w:r>
      <w:r w:rsidRPr="00C92F30">
        <w:t>. 38-47.</w:t>
      </w:r>
    </w:p>
  </w:footnote>
  <w:footnote w:id="948">
    <w:p w:rsidR="004C50DC" w:rsidRDefault="004C50DC">
      <w:pPr>
        <w:pStyle w:val="Notedebasdepage"/>
      </w:pPr>
      <w:r>
        <w:rPr>
          <w:rStyle w:val="Appelnotedebasdep"/>
        </w:rPr>
        <w:footnoteRef/>
      </w:r>
      <w:r>
        <w:t xml:space="preserve"> </w:t>
      </w:r>
      <w:r>
        <w:tab/>
      </w:r>
      <w:r w:rsidRPr="00C92F30">
        <w:t xml:space="preserve">Maurice Halbwachs, </w:t>
      </w:r>
      <w:hyperlink r:id="rId141" w:history="1">
        <w:r w:rsidRPr="000A7C76">
          <w:rPr>
            <w:rStyle w:val="Lienhypertexte"/>
            <w:i/>
          </w:rPr>
          <w:t>La mémoire collective</w:t>
        </w:r>
      </w:hyperlink>
      <w:r w:rsidRPr="00C92F30">
        <w:t xml:space="preserve">, Paris, </w:t>
      </w:r>
      <w:r w:rsidRPr="00C92F30">
        <w:rPr>
          <w:rFonts w:eastAsia="Calibri"/>
        </w:rPr>
        <w:t>Albin, Michel</w:t>
      </w:r>
      <w:r w:rsidRPr="00C92F30">
        <w:t>, 1997.</w:t>
      </w:r>
    </w:p>
  </w:footnote>
  <w:footnote w:id="949">
    <w:p w:rsidR="004C50DC" w:rsidRDefault="004C50DC">
      <w:pPr>
        <w:pStyle w:val="Notedebasdepage"/>
      </w:pPr>
      <w:r>
        <w:rPr>
          <w:rStyle w:val="Appelnotedebasdep"/>
        </w:rPr>
        <w:footnoteRef/>
      </w:r>
      <w:r>
        <w:t xml:space="preserve"> </w:t>
      </w:r>
      <w:r>
        <w:tab/>
      </w:r>
      <w:r w:rsidRPr="00C92F30">
        <w:t xml:space="preserve">Édith Wainwright, </w:t>
      </w:r>
      <w:r w:rsidRPr="00C92F30">
        <w:rPr>
          <w:i/>
        </w:rPr>
        <w:t xml:space="preserve">Culture haïtienne à travers des textes choisis. Manuel d’enseignement, </w:t>
      </w:r>
      <w:r w:rsidRPr="00C92F30">
        <w:t>Coconut Creek, Educa Vision Inc., 2001</w:t>
      </w:r>
      <w:r w:rsidRPr="00C92F30">
        <w:rPr>
          <w:i/>
        </w:rPr>
        <w:t>,</w:t>
      </w:r>
      <w:r w:rsidRPr="00C92F30">
        <w:t xml:space="preserve"> p. 153 ; voir aussi Léon-François Hoffmann, « Histoire, mythe et idéologie. Le serment du Bois-Caïman » dans Léon-François Hoffmann, </w:t>
      </w:r>
      <w:r w:rsidRPr="00C92F30">
        <w:rPr>
          <w:i/>
        </w:rPr>
        <w:t>Haïti. Lettres et l'être</w:t>
      </w:r>
      <w:r w:rsidRPr="00C92F30">
        <w:t xml:space="preserve">, Toronto, GREF, 1992, p. 267-301 ; Franck Sylvain, </w:t>
      </w:r>
      <w:r w:rsidRPr="00C92F30">
        <w:rPr>
          <w:i/>
        </w:rPr>
        <w:t>Le serment du Bois-Caïman et la première Pentecôte</w:t>
      </w:r>
      <w:r w:rsidRPr="00C92F30">
        <w:t>, Port-au-Prince, Henri Deschamps, 1979, p. 7.</w:t>
      </w:r>
    </w:p>
  </w:footnote>
  <w:footnote w:id="950">
    <w:p w:rsidR="004C50DC" w:rsidRPr="00C92F30" w:rsidRDefault="004C50DC" w:rsidP="004C50DC">
      <w:pPr>
        <w:pStyle w:val="Notedebasdepage"/>
      </w:pPr>
      <w:r w:rsidRPr="000A7C76">
        <w:rPr>
          <w:rStyle w:val="Appelnotedebasdep"/>
        </w:rPr>
        <w:footnoteRef/>
      </w:r>
      <w:r>
        <w:tab/>
      </w:r>
      <w:r w:rsidRPr="00C92F30">
        <w:t xml:space="preserve">Beaubrun Ardouin, </w:t>
      </w:r>
      <w:r w:rsidRPr="00C92F30">
        <w:rPr>
          <w:i/>
          <w:lang w:eastAsia="fr-FR"/>
        </w:rPr>
        <w:t>Études sur l’histoire d’Haïti</w:t>
      </w:r>
      <w:r w:rsidRPr="00C92F30">
        <w:rPr>
          <w:lang w:eastAsia="fr-FR"/>
        </w:rPr>
        <w:t xml:space="preserve">, </w:t>
      </w:r>
      <w:r w:rsidRPr="00C92F30">
        <w:rPr>
          <w:i/>
          <w:lang w:eastAsia="fr-FR"/>
        </w:rPr>
        <w:t>suivies de la vie du général J.M. Borgella</w:t>
      </w:r>
      <w:r w:rsidRPr="00C92F30">
        <w:rPr>
          <w:lang w:eastAsia="fr-FR"/>
        </w:rPr>
        <w:t>, tome I, Paris, Dezobry et E. Magdeleine, 1853,</w:t>
      </w:r>
      <w:r w:rsidRPr="00C92F30">
        <w:t xml:space="preserve"> p. 235.</w:t>
      </w:r>
    </w:p>
  </w:footnote>
  <w:footnote w:id="951">
    <w:p w:rsidR="004C50DC" w:rsidRDefault="004C50DC">
      <w:pPr>
        <w:pStyle w:val="Notedebasdepage"/>
      </w:pPr>
      <w:r>
        <w:rPr>
          <w:rStyle w:val="Appelnotedebasdep"/>
        </w:rPr>
        <w:footnoteRef/>
      </w:r>
      <w:r>
        <w:t xml:space="preserve"> </w:t>
      </w:r>
      <w:r>
        <w:tab/>
      </w:r>
      <w:r w:rsidRPr="00C92F30">
        <w:t xml:space="preserve">Rachel Beauvoir-Dominiqueet Eddy Lubin, </w:t>
      </w:r>
      <w:r w:rsidRPr="00C92F30">
        <w:rPr>
          <w:i/>
        </w:rPr>
        <w:t>Investigations autour du site hi</w:t>
      </w:r>
      <w:r w:rsidRPr="00C92F30">
        <w:rPr>
          <w:i/>
        </w:rPr>
        <w:t>s</w:t>
      </w:r>
      <w:r w:rsidRPr="00C92F30">
        <w:rPr>
          <w:i/>
        </w:rPr>
        <w:t xml:space="preserve">torique du Bois-Caïman, </w:t>
      </w:r>
      <w:r w:rsidRPr="00C92F30">
        <w:t>Rapport, Cap-Haïtien, janvier 2000.</w:t>
      </w:r>
    </w:p>
  </w:footnote>
  <w:footnote w:id="952">
    <w:p w:rsidR="004C50DC" w:rsidRDefault="004C50DC">
      <w:pPr>
        <w:pStyle w:val="Notedebasdepage"/>
      </w:pPr>
      <w:r>
        <w:rPr>
          <w:rStyle w:val="Appelnotedebasdep"/>
        </w:rPr>
        <w:footnoteRef/>
      </w:r>
      <w:r>
        <w:t xml:space="preserve"> </w:t>
      </w:r>
      <w:r>
        <w:tab/>
      </w:r>
      <w:r w:rsidRPr="00C92F30">
        <w:t xml:space="preserve">Voir Moïse Yverose et al., </w:t>
      </w:r>
      <w:r w:rsidRPr="00C92F30">
        <w:rPr>
          <w:i/>
        </w:rPr>
        <w:t>Bois-Caïman</w:t>
      </w:r>
      <w:r w:rsidRPr="00C92F30">
        <w:t>, en l</w:t>
      </w:r>
      <w:r w:rsidRPr="00C92F30">
        <w:t>i</w:t>
      </w:r>
      <w:r w:rsidRPr="00C92F30">
        <w:t>gne,</w:t>
      </w:r>
      <w:r>
        <w:t xml:space="preserve"> </w:t>
      </w:r>
      <w:hyperlink r:id="rId142" w:history="1">
        <w:r w:rsidRPr="00C92F30">
          <w:rPr>
            <w:rStyle w:val="Lienhypertexte"/>
          </w:rPr>
          <w:t>http://www.ipimh.ulaval.ca/fiche-bois-caiman-30.html</w:t>
        </w:r>
      </w:hyperlink>
      <w:r w:rsidRPr="00C92F30">
        <w:t>, 2013, consulté le 11 février 2014.</w:t>
      </w:r>
    </w:p>
  </w:footnote>
  <w:footnote w:id="953">
    <w:p w:rsidR="004C50DC" w:rsidRDefault="004C50DC">
      <w:pPr>
        <w:pStyle w:val="Notedebasdepage"/>
      </w:pPr>
      <w:r>
        <w:rPr>
          <w:rStyle w:val="Appelnotedebasdep"/>
        </w:rPr>
        <w:footnoteRef/>
      </w:r>
      <w:r>
        <w:t xml:space="preserve"> </w:t>
      </w:r>
      <w:r>
        <w:tab/>
      </w:r>
      <w:r w:rsidRPr="00C92F30">
        <w:t xml:space="preserve">Ibid. ; voir aussi Adolfo Perez Esquivel à la 3e APC, mercredi 20 août 2003, en ligne, </w:t>
      </w:r>
      <w:hyperlink r:id="rId143" w:anchor=".VR6tv_nF-8A" w:history="1">
        <w:r w:rsidRPr="00C92F30">
          <w:rPr>
            <w:rStyle w:val="Lienhypertexte"/>
          </w:rPr>
          <w:t>http://www.alterpresse.org/spip.php?article664#.VR6tv_nF-8A</w:t>
        </w:r>
      </w:hyperlink>
      <w:r w:rsidRPr="00C92F30">
        <w:t xml:space="preserve">, consulté 12 février 2014. </w:t>
      </w:r>
    </w:p>
  </w:footnote>
  <w:footnote w:id="954">
    <w:p w:rsidR="004C50DC" w:rsidRDefault="004C50DC">
      <w:pPr>
        <w:pStyle w:val="Notedebasdepage"/>
      </w:pPr>
      <w:r>
        <w:rPr>
          <w:rStyle w:val="Appelnotedebasdep"/>
        </w:rPr>
        <w:footnoteRef/>
      </w:r>
      <w:r>
        <w:t xml:space="preserve"> </w:t>
      </w:r>
      <w:r>
        <w:tab/>
      </w:r>
      <w:r w:rsidRPr="00C92F30">
        <w:t>UNESCO, Commémorations, en ligne,</w:t>
      </w:r>
      <w:r>
        <w:br/>
      </w:r>
      <w:r w:rsidRPr="00C92F30">
        <w:t>http://www.unesco.org/new/fr/culture/themes/dialogue/the-slave-route/right-box/related-information/commemorations/</w:t>
      </w:r>
    </w:p>
  </w:footnote>
  <w:footnote w:id="955">
    <w:p w:rsidR="004C50DC" w:rsidRPr="00C92F30" w:rsidRDefault="004C50DC" w:rsidP="004C50DC">
      <w:pPr>
        <w:pStyle w:val="Notedebasdepage"/>
      </w:pPr>
      <w:r w:rsidRPr="000A7C76">
        <w:rPr>
          <w:rStyle w:val="Appelnotedebasdep"/>
        </w:rPr>
        <w:footnoteRef/>
      </w:r>
      <w:r>
        <w:tab/>
      </w:r>
      <w:r w:rsidRPr="00C92F30">
        <w:t>Voir la Constitution haïtienne de 1987, article 2 : « Les couleurs nationales sont : le bleu et le rouge » ; article 3 : « L’emblème de la Nation haïtienne est le drapeau qui répond à la disposition suivante :</w:t>
      </w:r>
    </w:p>
    <w:p w:rsidR="004C50DC" w:rsidRPr="00C92F30" w:rsidRDefault="004C50DC" w:rsidP="004C50DC">
      <w:pPr>
        <w:pStyle w:val="Notedebasdepage"/>
      </w:pPr>
      <w:r>
        <w:tab/>
      </w:r>
      <w:r w:rsidRPr="00C92F30">
        <w:t>Deux (2) bandes d’étoffe d’égales dimensions : l’une bleue en haut, l’autre rouge en bas, placées horizontalement ;</w:t>
      </w:r>
    </w:p>
    <w:p w:rsidR="004C50DC" w:rsidRPr="00C92F30" w:rsidRDefault="004C50DC" w:rsidP="004C50DC">
      <w:pPr>
        <w:pStyle w:val="Notedebasdepage"/>
      </w:pPr>
      <w:r>
        <w:tab/>
      </w:r>
      <w:r w:rsidRPr="00C92F30">
        <w:t>Au centre, sur un carré d’étoffe blanche, sont disposées les Armes de la Rép</w:t>
      </w:r>
      <w:r w:rsidRPr="00C92F30">
        <w:t>u</w:t>
      </w:r>
      <w:r w:rsidRPr="00C92F30">
        <w:t>bl</w:t>
      </w:r>
      <w:r w:rsidRPr="00C92F30">
        <w:t>i</w:t>
      </w:r>
      <w:r w:rsidRPr="00C92F30">
        <w:t>que ;</w:t>
      </w:r>
    </w:p>
    <w:p w:rsidR="004C50DC" w:rsidRPr="00C92F30" w:rsidRDefault="004C50DC" w:rsidP="004C50DC">
      <w:pPr>
        <w:pStyle w:val="Notedebasdepage"/>
      </w:pPr>
      <w:r>
        <w:tab/>
      </w:r>
      <w:r w:rsidRPr="00C92F30">
        <w:t>Les Armes de la République sont : Le palmiste surmonté du bonnet de la L</w:t>
      </w:r>
      <w:r w:rsidRPr="00C92F30">
        <w:t>i</w:t>
      </w:r>
      <w:r w:rsidRPr="00C92F30">
        <w:t>berté ombrageant de ses Palmes un Trophée d’armes avec la Légende : L’union fait la force ».</w:t>
      </w:r>
    </w:p>
  </w:footnote>
  <w:footnote w:id="956">
    <w:p w:rsidR="004C50DC" w:rsidRPr="00C92F30" w:rsidRDefault="004C50DC" w:rsidP="004C50DC">
      <w:pPr>
        <w:pStyle w:val="Notedebasdepage"/>
      </w:pPr>
      <w:r w:rsidRPr="000A7C76">
        <w:rPr>
          <w:rStyle w:val="Appelnotedebasdep"/>
        </w:rPr>
        <w:footnoteRef/>
      </w:r>
      <w:r>
        <w:tab/>
      </w:r>
      <w:r w:rsidRPr="00C92F30">
        <w:t>« L’hymne national est la Dessalinienne » (article 4.1, Constitution de 1987).</w:t>
      </w:r>
    </w:p>
  </w:footnote>
  <w:footnote w:id="957">
    <w:p w:rsidR="004C50DC" w:rsidRPr="00C92F30" w:rsidRDefault="004C50DC" w:rsidP="004C50DC">
      <w:pPr>
        <w:pStyle w:val="Notedebasdepage"/>
      </w:pPr>
      <w:r w:rsidRPr="000A7C76">
        <w:rPr>
          <w:rStyle w:val="Appelnotedebasdep"/>
        </w:rPr>
        <w:footnoteRef/>
      </w:r>
      <w:r>
        <w:tab/>
      </w:r>
      <w:r w:rsidRPr="00C92F30">
        <w:t xml:space="preserve">Olivier Pulvar, « Mémoire, médiatisation et construction des identités », </w:t>
      </w:r>
      <w:r w:rsidRPr="00C92F30">
        <w:rPr>
          <w:i/>
        </w:rPr>
        <w:t>Ét</w:t>
      </w:r>
      <w:r w:rsidRPr="00C92F30">
        <w:rPr>
          <w:i/>
        </w:rPr>
        <w:t>u</w:t>
      </w:r>
      <w:r w:rsidRPr="00C92F30">
        <w:rPr>
          <w:i/>
        </w:rPr>
        <w:t>des caribéennes</w:t>
      </w:r>
      <w:r w:rsidRPr="00C92F30">
        <w:t xml:space="preserve">, en ligne, </w:t>
      </w:r>
      <w:hyperlink r:id="rId144" w:history="1">
        <w:r w:rsidRPr="00C92F30">
          <w:rPr>
            <w:rStyle w:val="Lienhypertexte"/>
            <w:color w:val="auto"/>
          </w:rPr>
          <w:t>http://etudescaribeennes.revues.org/390</w:t>
        </w:r>
      </w:hyperlink>
      <w:r w:rsidRPr="00C92F30">
        <w:t> ; DOI : 10.4000/etudescaribeennes.390, consulté le 15 novembre 2014.</w:t>
      </w:r>
    </w:p>
  </w:footnote>
  <w:footnote w:id="958">
    <w:p w:rsidR="004C50DC" w:rsidRPr="00C92F30" w:rsidRDefault="004C50DC" w:rsidP="004C50DC">
      <w:pPr>
        <w:pStyle w:val="Notedebasdepage"/>
      </w:pPr>
      <w:r w:rsidRPr="000A7C76">
        <w:rPr>
          <w:rStyle w:val="Appelnotedebasdep"/>
        </w:rPr>
        <w:footnoteRef/>
      </w:r>
      <w:r>
        <w:tab/>
      </w:r>
      <w:r w:rsidRPr="00C92F30">
        <w:t>Le 18 mai célèbre aussi la fête de l’Université en Haïti.</w:t>
      </w:r>
    </w:p>
  </w:footnote>
  <w:footnote w:id="959">
    <w:p w:rsidR="004C50DC" w:rsidRDefault="004C50DC">
      <w:pPr>
        <w:pStyle w:val="Notedebasdepage"/>
      </w:pPr>
      <w:r>
        <w:rPr>
          <w:rStyle w:val="Appelnotedebasdep"/>
        </w:rPr>
        <w:footnoteRef/>
      </w:r>
      <w:r>
        <w:t xml:space="preserve"> </w:t>
      </w:r>
      <w:r>
        <w:tab/>
      </w:r>
      <w:r w:rsidRPr="00C92F30">
        <w:t>Élisabeth Landi, « La bataille de Vertières (18 novembre 1803) », en l</w:t>
      </w:r>
      <w:r w:rsidRPr="00C92F30">
        <w:t>i</w:t>
      </w:r>
      <w:r w:rsidRPr="00C92F30">
        <w:t>gne, http://www.serge-letchimy.fr/2012/11/14/4752/.</w:t>
      </w:r>
    </w:p>
  </w:footnote>
  <w:footnote w:id="960">
    <w:p w:rsidR="004C50DC" w:rsidRDefault="004C50DC">
      <w:pPr>
        <w:pStyle w:val="Notedebasdepage"/>
      </w:pPr>
      <w:r>
        <w:rPr>
          <w:rStyle w:val="Appelnotedebasdep"/>
        </w:rPr>
        <w:footnoteRef/>
      </w:r>
      <w:r>
        <w:t xml:space="preserve"> </w:t>
      </w:r>
      <w:r>
        <w:tab/>
      </w:r>
      <w:r w:rsidRPr="00C92F30">
        <w:t>Ces propos ont été recueillis lors de la 6</w:t>
      </w:r>
      <w:r w:rsidRPr="00C92F30">
        <w:rPr>
          <w:vertAlign w:val="superscript"/>
        </w:rPr>
        <w:t>e</w:t>
      </w:r>
      <w:r w:rsidRPr="00C92F30">
        <w:t xml:space="preserve"> édition annuelle de l’École d’été sur le thème « Afrodescendances, cultures et citoyenneté » qui s’est tenue du 23 au 30 août 2015 à l’Université Laval, Québec ; Jean-Pierre Le Glaunec pr</w:t>
      </w:r>
      <w:r w:rsidRPr="00C92F30">
        <w:t>é</w:t>
      </w:r>
      <w:r w:rsidRPr="00C92F30">
        <w:t>sentait sa communication intitulée : « La bataille de Vertières, 18 novembre 1803, ou le jour où le droit à l’afrodescendance et à la citoyenneté a triomphé dans les Amér</w:t>
      </w:r>
      <w:r w:rsidRPr="00C92F30">
        <w:t>i</w:t>
      </w:r>
      <w:r w:rsidRPr="00C92F30">
        <w:t>ques », le 24 août 2015.</w:t>
      </w:r>
    </w:p>
  </w:footnote>
  <w:footnote w:id="961">
    <w:p w:rsidR="004C50DC" w:rsidRDefault="004C50DC">
      <w:pPr>
        <w:pStyle w:val="Notedebasdepage"/>
      </w:pPr>
      <w:r>
        <w:rPr>
          <w:rStyle w:val="Appelnotedebasdep"/>
        </w:rPr>
        <w:footnoteRef/>
      </w:r>
      <w:r>
        <w:t xml:space="preserve"> </w:t>
      </w:r>
      <w:r>
        <w:tab/>
      </w:r>
      <w:r w:rsidRPr="00C92F30">
        <w:t>Idem.</w:t>
      </w:r>
    </w:p>
  </w:footnote>
  <w:footnote w:id="962">
    <w:p w:rsidR="004C50DC" w:rsidRDefault="004C50DC">
      <w:pPr>
        <w:pStyle w:val="Notedebasdepage"/>
      </w:pPr>
      <w:r>
        <w:rPr>
          <w:rStyle w:val="Appelnotedebasdep"/>
        </w:rPr>
        <w:footnoteRef/>
      </w:r>
      <w:r>
        <w:t xml:space="preserve"> </w:t>
      </w:r>
      <w:r>
        <w:tab/>
      </w:r>
      <w:r w:rsidRPr="00C92F30">
        <w:t xml:space="preserve">Aimé Césaire, </w:t>
      </w:r>
      <w:r w:rsidRPr="00C92F30">
        <w:rPr>
          <w:i/>
        </w:rPr>
        <w:t>Cahier d’un retour au pays natal</w:t>
      </w:r>
      <w:r w:rsidRPr="00C92F30">
        <w:t xml:space="preserve">, revue </w:t>
      </w:r>
      <w:r w:rsidRPr="00C92F30">
        <w:rPr>
          <w:i/>
          <w:iCs/>
        </w:rPr>
        <w:t>Volontés</w:t>
      </w:r>
      <w:r w:rsidRPr="00C92F30">
        <w:t>, Paris, Pr</w:t>
      </w:r>
      <w:r w:rsidRPr="00C92F30">
        <w:t>é</w:t>
      </w:r>
      <w:r w:rsidRPr="00C92F30">
        <w:t>sence Africaine, [</w:t>
      </w:r>
      <w:r w:rsidRPr="00C92F30">
        <w:rPr>
          <w:iCs/>
        </w:rPr>
        <w:t>1939]</w:t>
      </w:r>
      <w:r>
        <w:rPr>
          <w:iCs/>
        </w:rPr>
        <w:t xml:space="preserve"> </w:t>
      </w:r>
      <w:r w:rsidRPr="00C92F30">
        <w:t>1983</w:t>
      </w:r>
      <w:r w:rsidRPr="00C92F30">
        <w:rPr>
          <w:iCs/>
        </w:rPr>
        <w:t xml:space="preserve">, </w:t>
      </w:r>
      <w:r w:rsidRPr="00C92F30">
        <w:t>p. 24.</w:t>
      </w:r>
    </w:p>
  </w:footnote>
  <w:footnote w:id="963">
    <w:p w:rsidR="004C50DC" w:rsidRPr="00C92F30" w:rsidRDefault="004C50DC" w:rsidP="004C50DC">
      <w:pPr>
        <w:pStyle w:val="Notedebasdepage"/>
      </w:pPr>
      <w:r w:rsidRPr="00C92F30">
        <w:rPr>
          <w:rStyle w:val="Appelnotedebasdep"/>
          <w:sz w:val="24"/>
        </w:rPr>
        <w:footnoteRef/>
      </w:r>
      <w:r>
        <w:tab/>
      </w:r>
      <w:r w:rsidRPr="00C92F30">
        <w:t xml:space="preserve">Jean-Pierre Le Glaunec, </w:t>
      </w:r>
      <w:r w:rsidRPr="00C92F30">
        <w:rPr>
          <w:i/>
        </w:rPr>
        <w:t>L’armée indigène. La défaite de Napoléon en Haïti</w:t>
      </w:r>
      <w:r w:rsidRPr="00C92F30">
        <w:t xml:space="preserve">, Montréal, Lux, 2014, p. 161. </w:t>
      </w:r>
    </w:p>
  </w:footnote>
  <w:footnote w:id="964">
    <w:p w:rsidR="004C50DC" w:rsidRPr="00C92F30" w:rsidRDefault="004C50DC" w:rsidP="004C50DC">
      <w:pPr>
        <w:pStyle w:val="Notedebasdepage"/>
      </w:pPr>
      <w:r w:rsidRPr="00C92F30">
        <w:rPr>
          <w:rStyle w:val="Appelnotedebasdep"/>
          <w:sz w:val="24"/>
        </w:rPr>
        <w:footnoteRef/>
      </w:r>
      <w:r>
        <w:tab/>
      </w:r>
      <w:r w:rsidRPr="00C92F30">
        <w:t>Ibid., p. 167.</w:t>
      </w:r>
    </w:p>
  </w:footnote>
  <w:footnote w:id="965">
    <w:p w:rsidR="004C50DC" w:rsidRDefault="004C50DC">
      <w:pPr>
        <w:pStyle w:val="Notedebasdepage"/>
      </w:pPr>
      <w:r>
        <w:rPr>
          <w:rStyle w:val="Appelnotedebasdep"/>
        </w:rPr>
        <w:footnoteRef/>
      </w:r>
      <w:r>
        <w:t xml:space="preserve"> </w:t>
      </w:r>
      <w:r>
        <w:tab/>
      </w:r>
      <w:r w:rsidRPr="00C92F30">
        <w:rPr>
          <w:lang w:val="fr-FR"/>
        </w:rPr>
        <w:t xml:space="preserve">Un écrivain comme Edmond Laforest s’est distingué par son poème « Thrène pour Haïti », publié dans </w:t>
      </w:r>
      <w:r w:rsidRPr="00C92F30">
        <w:rPr>
          <w:i/>
          <w:lang w:val="fr-FR"/>
        </w:rPr>
        <w:t>Le Nouvelliste</w:t>
      </w:r>
      <w:r w:rsidRPr="00C92F30">
        <w:rPr>
          <w:lang w:val="fr-FR"/>
        </w:rPr>
        <w:t>, le 3 août 1915 ; voir aussi Jean-Pierre Le Glaunec, op. cit., p. 171.</w:t>
      </w:r>
    </w:p>
  </w:footnote>
  <w:footnote w:id="966">
    <w:p w:rsidR="004C50DC" w:rsidRPr="00C92F30" w:rsidRDefault="004C50DC" w:rsidP="004C50DC">
      <w:pPr>
        <w:pStyle w:val="Notedebasdepage"/>
      </w:pPr>
      <w:r w:rsidRPr="00C92F30">
        <w:rPr>
          <w:rStyle w:val="Appelnotedebasdep"/>
          <w:sz w:val="24"/>
        </w:rPr>
        <w:footnoteRef/>
      </w:r>
      <w:r>
        <w:tab/>
      </w:r>
      <w:r w:rsidRPr="00C92F30">
        <w:t xml:space="preserve">Ibid. </w:t>
      </w:r>
    </w:p>
  </w:footnote>
  <w:footnote w:id="967">
    <w:p w:rsidR="004C50DC" w:rsidRPr="00C92F30" w:rsidRDefault="004C50DC" w:rsidP="004C50DC">
      <w:pPr>
        <w:pStyle w:val="Notedebasdepage"/>
      </w:pPr>
      <w:r w:rsidRPr="00C92F30">
        <w:rPr>
          <w:rStyle w:val="Appelnotedebasdep"/>
          <w:sz w:val="24"/>
        </w:rPr>
        <w:footnoteRef/>
      </w:r>
      <w:r>
        <w:tab/>
      </w:r>
      <w:r w:rsidRPr="00C92F30">
        <w:t xml:space="preserve">Colonel P. Cham, « Vertières ou l’héroïsme », </w:t>
      </w:r>
      <w:r w:rsidRPr="00C92F30">
        <w:rPr>
          <w:i/>
        </w:rPr>
        <w:t>Le Matin</w:t>
      </w:r>
      <w:r w:rsidRPr="00C92F30">
        <w:t>, 8-9 mars 1953, cité par Jean-Pierre Le Glaunec, ibid., p. 179.</w:t>
      </w:r>
    </w:p>
  </w:footnote>
  <w:footnote w:id="968">
    <w:p w:rsidR="004C50DC" w:rsidRPr="00C92F30" w:rsidRDefault="004C50DC" w:rsidP="004C50DC">
      <w:pPr>
        <w:pStyle w:val="Notedebasdepage"/>
      </w:pPr>
      <w:r w:rsidRPr="000A7C76">
        <w:rPr>
          <w:rStyle w:val="Appelnotedebasdep"/>
        </w:rPr>
        <w:footnoteRef/>
      </w:r>
      <w:r>
        <w:rPr>
          <w:bdr w:val="none" w:sz="0" w:space="0" w:color="auto" w:frame="1"/>
        </w:rPr>
        <w:tab/>
      </w:r>
      <w:r w:rsidRPr="00C92F30">
        <w:rPr>
          <w:bdr w:val="none" w:sz="0" w:space="0" w:color="auto" w:frame="1"/>
        </w:rPr>
        <w:t xml:space="preserve">Édouard Peloux, </w:t>
      </w:r>
      <w:r w:rsidRPr="00C92F30">
        <w:rPr>
          <w:i/>
          <w:bdr w:val="none" w:sz="0" w:space="0" w:color="auto" w:frame="1"/>
        </w:rPr>
        <w:t>Il était une fois Haïti… 50 ans de photographies</w:t>
      </w:r>
      <w:r w:rsidRPr="00C92F30">
        <w:rPr>
          <w:bdr w:val="none" w:sz="0" w:space="0" w:color="auto" w:frame="1"/>
        </w:rPr>
        <w:t xml:space="preserve">, Banque de la République d’Haïti/Grissom Company, 2009, cité par </w:t>
      </w:r>
      <w:r w:rsidRPr="00C92F30">
        <w:t>Jean-Pierre Le Gla</w:t>
      </w:r>
      <w:r w:rsidRPr="00C92F30">
        <w:t>u</w:t>
      </w:r>
      <w:r w:rsidRPr="00C92F30">
        <w:t>nec, ibid., p. 185.</w:t>
      </w:r>
    </w:p>
  </w:footnote>
  <w:footnote w:id="969">
    <w:p w:rsidR="004C50DC" w:rsidRPr="00C92F30" w:rsidRDefault="004C50DC" w:rsidP="004C50DC">
      <w:pPr>
        <w:pStyle w:val="Notedebasdepage"/>
      </w:pPr>
      <w:r w:rsidRPr="000A7C76">
        <w:rPr>
          <w:rStyle w:val="Appelnotedebasdep"/>
        </w:rPr>
        <w:footnoteRef/>
      </w:r>
      <w:r>
        <w:tab/>
      </w:r>
      <w:r w:rsidRPr="00C92F30">
        <w:t>Voir annexe VIII.</w:t>
      </w:r>
    </w:p>
  </w:footnote>
  <w:footnote w:id="970">
    <w:p w:rsidR="004C50DC" w:rsidRPr="00C92F30" w:rsidRDefault="004C50DC" w:rsidP="004C50DC">
      <w:pPr>
        <w:pStyle w:val="Notedebasdepage"/>
      </w:pPr>
      <w:r w:rsidRPr="000A7C76">
        <w:rPr>
          <w:rStyle w:val="Appelnotedebasdep"/>
        </w:rPr>
        <w:footnoteRef/>
      </w:r>
      <w:r>
        <w:tab/>
      </w:r>
      <w:r w:rsidRPr="00C92F30">
        <w:t>Jean-Pierre Le Glaunec, op. cit., p. 188-189.</w:t>
      </w:r>
    </w:p>
  </w:footnote>
  <w:footnote w:id="971">
    <w:p w:rsidR="004C50DC" w:rsidRPr="00C92F30" w:rsidRDefault="004C50DC" w:rsidP="004C50DC">
      <w:pPr>
        <w:pStyle w:val="Notedebasdepage"/>
      </w:pPr>
      <w:r w:rsidRPr="000D7D9B">
        <w:rPr>
          <w:rStyle w:val="Appelnotedebasdep"/>
        </w:rPr>
        <w:footnoteRef/>
      </w:r>
      <w:r>
        <w:tab/>
      </w:r>
      <w:r w:rsidRPr="00C92F30">
        <w:t>La ville des Gonaïves se trouve dans le département de l’Artibonite.</w:t>
      </w:r>
    </w:p>
  </w:footnote>
  <w:footnote w:id="972">
    <w:p w:rsidR="004C50DC" w:rsidRDefault="004C50DC">
      <w:pPr>
        <w:pStyle w:val="Notedebasdepage"/>
      </w:pPr>
      <w:r>
        <w:rPr>
          <w:rStyle w:val="Appelnotedebasdep"/>
        </w:rPr>
        <w:footnoteRef/>
      </w:r>
      <w:r>
        <w:t xml:space="preserve"> </w:t>
      </w:r>
      <w:r>
        <w:tab/>
      </w:r>
      <w:r w:rsidRPr="00C92F30">
        <w:t>Me Marjorie A. Brunache est consul général de la République d’Haïti à Bo</w:t>
      </w:r>
      <w:r w:rsidRPr="00C92F30">
        <w:t>s</w:t>
      </w:r>
      <w:r w:rsidRPr="00C92F30">
        <w:t>ton. Il a tenu ces propos le 1</w:t>
      </w:r>
      <w:r w:rsidRPr="00C92F30">
        <w:rPr>
          <w:vertAlign w:val="superscript"/>
        </w:rPr>
        <w:t>er</w:t>
      </w:r>
      <w:r w:rsidRPr="00C92F30">
        <w:t xml:space="preserve"> janvier 2014 lors de la commémoration de l’Indépendance haïtienne à Boston ; voir </w:t>
      </w:r>
      <w:r w:rsidRPr="00C92F30">
        <w:rPr>
          <w:i/>
        </w:rPr>
        <w:t>Le Nouvelliste</w:t>
      </w:r>
      <w:r w:rsidRPr="00C92F30">
        <w:t>, « </w:t>
      </w:r>
      <w:r w:rsidRPr="00C92F30">
        <w:rPr>
          <w:lang w:eastAsia="en-CA"/>
        </w:rPr>
        <w:t>La diaspora ha</w:t>
      </w:r>
      <w:r w:rsidRPr="00C92F30">
        <w:rPr>
          <w:lang w:eastAsia="en-CA"/>
        </w:rPr>
        <w:t>ï</w:t>
      </w:r>
      <w:r w:rsidRPr="00C92F30">
        <w:rPr>
          <w:lang w:eastAsia="en-CA"/>
        </w:rPr>
        <w:t>tienne commémore les 210 ans de l’Indépendance d’Haïti », 6 janvier 2014, en l</w:t>
      </w:r>
      <w:r w:rsidRPr="00C92F30">
        <w:rPr>
          <w:lang w:eastAsia="en-CA"/>
        </w:rPr>
        <w:t>i</w:t>
      </w:r>
      <w:r w:rsidRPr="00C92F30">
        <w:rPr>
          <w:lang w:eastAsia="en-CA"/>
        </w:rPr>
        <w:t>gne,</w:t>
      </w:r>
      <w:r>
        <w:rPr>
          <w:lang w:eastAsia="en-CA"/>
        </w:rPr>
        <w:t xml:space="preserve"> </w:t>
      </w:r>
      <w:hyperlink r:id="rId145" w:history="1">
        <w:r w:rsidRPr="00C92F30">
          <w:rPr>
            <w:rStyle w:val="Lienhypertexte"/>
            <w:lang w:eastAsia="en-CA"/>
          </w:rPr>
          <w:t>http://lenouvelliste.com/lenouvelliste/article/125887/La-diaspora-haitienne-commemore-les-210-ans-de-lindependance-dHaiti.html</w:t>
        </w:r>
      </w:hyperlink>
      <w:r w:rsidRPr="00C92F30">
        <w:rPr>
          <w:lang w:eastAsia="en-CA"/>
        </w:rPr>
        <w:t>, consulté le 16 novembre 2014.</w:t>
      </w:r>
    </w:p>
  </w:footnote>
  <w:footnote w:id="973">
    <w:p w:rsidR="004C50DC" w:rsidRDefault="004C50DC">
      <w:pPr>
        <w:pStyle w:val="Notedebasdepage"/>
      </w:pPr>
      <w:r>
        <w:rPr>
          <w:rStyle w:val="Appelnotedebasdep"/>
        </w:rPr>
        <w:footnoteRef/>
      </w:r>
      <w:r>
        <w:t xml:space="preserve"> </w:t>
      </w:r>
      <w:r>
        <w:tab/>
      </w:r>
      <w:r w:rsidRPr="00C92F30">
        <w:t>Ces propos ont été tenus par le cardinal Sean Patrick O’Malley dans la cath</w:t>
      </w:r>
      <w:r w:rsidRPr="00C92F30">
        <w:t>é</w:t>
      </w:r>
      <w:r w:rsidRPr="00C92F30">
        <w:t>drale Holy Cross de la ville de  Boston lors d’une messe dite le 1</w:t>
      </w:r>
      <w:r w:rsidRPr="00C92F30">
        <w:rPr>
          <w:vertAlign w:val="superscript"/>
        </w:rPr>
        <w:t>er</w:t>
      </w:r>
      <w:r w:rsidRPr="00C92F30">
        <w:t xml:space="preserve"> janvier 2014 devant des centaines de Haïtiens réunis pour l’occasion ; voir </w:t>
      </w:r>
      <w:r w:rsidRPr="00C92F30">
        <w:rPr>
          <w:i/>
        </w:rPr>
        <w:t>Le nouve</w:t>
      </w:r>
      <w:r w:rsidRPr="00C92F30">
        <w:rPr>
          <w:i/>
        </w:rPr>
        <w:t>l</w:t>
      </w:r>
      <w:r w:rsidRPr="00C92F30">
        <w:rPr>
          <w:i/>
        </w:rPr>
        <w:t>liste</w:t>
      </w:r>
      <w:r w:rsidRPr="00C92F30">
        <w:t>, ibid</w:t>
      </w:r>
      <w:r w:rsidRPr="00C92F30">
        <w:rPr>
          <w:lang w:eastAsia="en-CA"/>
        </w:rPr>
        <w:t>.</w:t>
      </w:r>
    </w:p>
  </w:footnote>
  <w:footnote w:id="974">
    <w:p w:rsidR="004C50DC" w:rsidRPr="00C92F30" w:rsidRDefault="004C50DC" w:rsidP="004C50DC">
      <w:pPr>
        <w:pStyle w:val="Notedebasdepage"/>
      </w:pPr>
      <w:r w:rsidRPr="000D7D9B">
        <w:rPr>
          <w:rStyle w:val="Appelnotedebasdep"/>
        </w:rPr>
        <w:footnoteRef/>
      </w:r>
      <w:r>
        <w:tab/>
      </w:r>
      <w:r w:rsidRPr="00C92F30">
        <w:t>Discours du président René Préval prononcé le 1er janvier 2010 aux Gonaïves (Nord) à l’occasion du 206e anniversaire de l’Indépendance haïtienne.</w:t>
      </w:r>
    </w:p>
  </w:footnote>
  <w:footnote w:id="975">
    <w:p w:rsidR="004C50DC" w:rsidRPr="00C92F30" w:rsidRDefault="004C50DC" w:rsidP="004C50DC">
      <w:pPr>
        <w:pStyle w:val="Notedebasdepage"/>
      </w:pPr>
      <w:r w:rsidRPr="00385956">
        <w:rPr>
          <w:rStyle w:val="Appelnotedebasdep"/>
        </w:rPr>
        <w:footnoteRef/>
      </w:r>
      <w:r>
        <w:tab/>
      </w:r>
      <w:r w:rsidRPr="00C92F30">
        <w:t xml:space="preserve">Joël Candau, </w:t>
      </w:r>
      <w:r w:rsidRPr="00C92F30">
        <w:rPr>
          <w:i/>
        </w:rPr>
        <w:t>Anthropologie de la mémoire</w:t>
      </w:r>
      <w:r w:rsidRPr="00C92F30">
        <w:t>, op. cit., p. 91-92. Pour Joël Ca</w:t>
      </w:r>
      <w:r w:rsidRPr="00C92F30">
        <w:t>n</w:t>
      </w:r>
      <w:r w:rsidRPr="00C92F30">
        <w:t>dau, ces critères peuvent être les liens affectifs, un sentiment d’urgence, le souci d’édification des générations futures, des sollicitations technologiques (influences des médias), un intérêt religieux, intellectuel, esthétique, polit</w:t>
      </w:r>
      <w:r w:rsidRPr="00C92F30">
        <w:t>i</w:t>
      </w:r>
      <w:r w:rsidRPr="00C92F30">
        <w:t xml:space="preserve">que ou économique, ou encore l’ancienneté de l’objet ; ils peuvent tout aussi bien être absents.  </w:t>
      </w:r>
    </w:p>
  </w:footnote>
  <w:footnote w:id="976">
    <w:p w:rsidR="004C50DC" w:rsidRPr="00C92F30" w:rsidRDefault="004C50DC" w:rsidP="004C50DC">
      <w:pPr>
        <w:pStyle w:val="Notedebasdepage"/>
      </w:pPr>
      <w:r w:rsidRPr="00385956">
        <w:rPr>
          <w:rStyle w:val="Appelnotedebasdep"/>
        </w:rPr>
        <w:footnoteRef/>
      </w:r>
      <w:r>
        <w:tab/>
      </w:r>
      <w:r w:rsidRPr="00C92F30">
        <w:t>Ibid., p. 91. Comme effets, Joël Candau identifie la muséification, la folklor</w:t>
      </w:r>
      <w:r w:rsidRPr="00C92F30">
        <w:t>i</w:t>
      </w:r>
      <w:r w:rsidRPr="00C92F30">
        <w:t>sation, la fossilisation et la mise en vitrine de tout.</w:t>
      </w:r>
    </w:p>
  </w:footnote>
  <w:footnote w:id="977">
    <w:p w:rsidR="004C50DC" w:rsidRDefault="004C50DC">
      <w:pPr>
        <w:pStyle w:val="Notedebasdepage"/>
      </w:pPr>
      <w:r>
        <w:rPr>
          <w:rStyle w:val="Appelnotedebasdep"/>
        </w:rPr>
        <w:footnoteRef/>
      </w:r>
      <w:r>
        <w:t xml:space="preserve"> </w:t>
      </w:r>
      <w:r>
        <w:tab/>
      </w:r>
      <w:r w:rsidRPr="00C92F30">
        <w:t xml:space="preserve">Voir Paul Ricœur, </w:t>
      </w:r>
      <w:r w:rsidRPr="00C92F30">
        <w:rPr>
          <w:i/>
        </w:rPr>
        <w:t>La mémoire, l’histoire, l’oubli</w:t>
      </w:r>
      <w:r w:rsidRPr="00C92F30">
        <w:t>, op. cit., p. 5.</w:t>
      </w:r>
    </w:p>
  </w:footnote>
  <w:footnote w:id="978">
    <w:p w:rsidR="004C50DC" w:rsidRDefault="004C50DC">
      <w:pPr>
        <w:pStyle w:val="Notedebasdepage"/>
      </w:pPr>
      <w:r>
        <w:rPr>
          <w:rStyle w:val="Appelnotedebasdep"/>
        </w:rPr>
        <w:footnoteRef/>
      </w:r>
      <w:r>
        <w:t xml:space="preserve"> </w:t>
      </w:r>
      <w:r>
        <w:tab/>
      </w:r>
      <w:r w:rsidRPr="00C92F30">
        <w:rPr>
          <w:lang w:val="en-US"/>
        </w:rPr>
        <w:t>Richard Price, « Monuments and silent screamings : a view from Marti</w:t>
      </w:r>
      <w:r w:rsidRPr="00C92F30">
        <w:rPr>
          <w:lang w:val="en-US"/>
        </w:rPr>
        <w:t>n</w:t>
      </w:r>
      <w:r w:rsidRPr="00C92F30">
        <w:rPr>
          <w:lang w:val="en-US"/>
        </w:rPr>
        <w:t>ique »,</w:t>
      </w:r>
      <w:r w:rsidRPr="00C92F30">
        <w:rPr>
          <w:rStyle w:val="apple-converted-space"/>
          <w:lang w:val="en-US"/>
        </w:rPr>
        <w:t xml:space="preserve"> dans </w:t>
      </w:r>
      <w:r w:rsidRPr="00C92F30">
        <w:rPr>
          <w:lang w:val="en-US"/>
        </w:rPr>
        <w:t>Gert Oostindie</w:t>
      </w:r>
      <w:r w:rsidRPr="00C92F30">
        <w:rPr>
          <w:rStyle w:val="apple-converted-space"/>
          <w:lang w:val="en-US"/>
        </w:rPr>
        <w:t xml:space="preserve"> (dir.), </w:t>
      </w:r>
      <w:r w:rsidRPr="00C92F30">
        <w:rPr>
          <w:rStyle w:val="Accentuation"/>
          <w:lang w:val="en-US"/>
        </w:rPr>
        <w:t>Facing up to the Past : Perspectives on the Commemoration of Slavery from Africa, the Americas and Europe</w:t>
      </w:r>
      <w:r w:rsidRPr="00C92F30">
        <w:rPr>
          <w:lang w:val="en-US"/>
        </w:rPr>
        <w:t>, Kingston, Ian Randle, 2001, p. 59.</w:t>
      </w:r>
    </w:p>
  </w:footnote>
  <w:footnote w:id="979">
    <w:p w:rsidR="004C50DC" w:rsidRDefault="004C50DC">
      <w:pPr>
        <w:pStyle w:val="Notedebasdepage"/>
      </w:pPr>
      <w:r>
        <w:rPr>
          <w:rStyle w:val="Appelnotedebasdep"/>
        </w:rPr>
        <w:footnoteRef/>
      </w:r>
      <w:r>
        <w:t xml:space="preserve"> </w:t>
      </w:r>
      <w:r>
        <w:tab/>
      </w:r>
      <w:r w:rsidRPr="00C92F30">
        <w:rPr>
          <w:rStyle w:val="apple-converted-space"/>
          <w:color w:val="auto"/>
          <w:lang w:val="en-US"/>
        </w:rPr>
        <w:t xml:space="preserve">Mamadou Diouf (dir.), </w:t>
      </w:r>
      <w:r w:rsidRPr="00385956">
        <w:rPr>
          <w:rStyle w:val="apple-converted-space"/>
          <w:i/>
          <w:color w:val="auto"/>
          <w:lang w:val="en-US"/>
        </w:rPr>
        <w:t>L’historiographie indienne en débat. Colonialisme, n</w:t>
      </w:r>
      <w:r w:rsidRPr="00385956">
        <w:rPr>
          <w:rStyle w:val="apple-converted-space"/>
          <w:i/>
          <w:color w:val="auto"/>
          <w:lang w:val="en-US"/>
        </w:rPr>
        <w:t>a</w:t>
      </w:r>
      <w:r w:rsidRPr="00385956">
        <w:rPr>
          <w:rStyle w:val="apple-converted-space"/>
          <w:i/>
          <w:color w:val="auto"/>
          <w:lang w:val="en-US"/>
        </w:rPr>
        <w:t>tionalisme et sociétés postcoloniales</w:t>
      </w:r>
      <w:r w:rsidRPr="00C92F30">
        <w:rPr>
          <w:rStyle w:val="apple-converted-space"/>
          <w:color w:val="auto"/>
          <w:lang w:val="en-US"/>
        </w:rPr>
        <w:t xml:space="preserve">, Paris, Karthala, 1999, p. 5. </w:t>
      </w:r>
    </w:p>
  </w:footnote>
  <w:footnote w:id="980">
    <w:p w:rsidR="004C50DC" w:rsidRDefault="004C50DC">
      <w:pPr>
        <w:pStyle w:val="Notedebasdepage"/>
      </w:pPr>
      <w:r>
        <w:rPr>
          <w:rStyle w:val="Appelnotedebasdep"/>
        </w:rPr>
        <w:footnoteRef/>
      </w:r>
      <w:r>
        <w:t xml:space="preserve"> </w:t>
      </w:r>
      <w:r>
        <w:tab/>
      </w:r>
      <w:r w:rsidRPr="00C92F30">
        <w:rPr>
          <w:rStyle w:val="apple-converted-space"/>
          <w:color w:val="auto"/>
          <w:lang w:val="en-US"/>
        </w:rPr>
        <w:t xml:space="preserve">Samuel Tomei, « Un retour sur la question coloniale. Leçons de morale de l’histoire », </w:t>
      </w:r>
      <w:r w:rsidRPr="00C92F30">
        <w:rPr>
          <w:rStyle w:val="apple-converted-space"/>
          <w:i/>
          <w:iCs/>
          <w:color w:val="auto"/>
          <w:lang w:val="en-US"/>
        </w:rPr>
        <w:t>Le Monde diplomatique</w:t>
      </w:r>
      <w:r w:rsidRPr="00C92F30">
        <w:rPr>
          <w:rStyle w:val="apple-converted-space"/>
          <w:color w:val="auto"/>
          <w:lang w:val="en-US"/>
        </w:rPr>
        <w:t>, novembre 2001, p. 28 ; voir aussi Chri</w:t>
      </w:r>
      <w:r w:rsidRPr="00C92F30">
        <w:rPr>
          <w:rStyle w:val="apple-converted-space"/>
          <w:color w:val="auto"/>
          <w:lang w:val="en-US"/>
        </w:rPr>
        <w:t>s</w:t>
      </w:r>
      <w:r w:rsidRPr="00C92F30">
        <w:rPr>
          <w:rStyle w:val="apple-converted-space"/>
          <w:color w:val="auto"/>
          <w:lang w:val="en-US"/>
        </w:rPr>
        <w:t xml:space="preserve">tine Chivallon, « L’émergence récente de la mémoire de l’esclavage dans l’espace public… », </w:t>
      </w:r>
      <w:r w:rsidRPr="00C92F30">
        <w:rPr>
          <w:rStyle w:val="apple-converted-space"/>
          <w:iCs/>
          <w:color w:val="auto"/>
          <w:lang w:val="en-US"/>
        </w:rPr>
        <w:t>op. cit.</w:t>
      </w:r>
    </w:p>
  </w:footnote>
  <w:footnote w:id="981">
    <w:p w:rsidR="004C50DC" w:rsidRDefault="004C50DC">
      <w:pPr>
        <w:pStyle w:val="Notedebasdepage"/>
      </w:pPr>
      <w:r>
        <w:rPr>
          <w:rStyle w:val="Appelnotedebasdep"/>
        </w:rPr>
        <w:footnoteRef/>
      </w:r>
      <w:r>
        <w:t xml:space="preserve"> </w:t>
      </w:r>
      <w:r>
        <w:tab/>
      </w:r>
      <w:r w:rsidRPr="00C92F30">
        <w:rPr>
          <w:rStyle w:val="apple-converted-space"/>
          <w:color w:val="auto"/>
          <w:lang w:val="en-US"/>
        </w:rPr>
        <w:t>Voir Édouard Pommier, Le Débat, no 65, mai-août 1991, p. 147, cité par Joël Candau, Anthropologie de la mémoire, op.cit., p. 92.</w:t>
      </w:r>
    </w:p>
  </w:footnote>
  <w:footnote w:id="982">
    <w:p w:rsidR="004C50DC" w:rsidRDefault="004C50DC">
      <w:pPr>
        <w:pStyle w:val="Notedebasdepage"/>
      </w:pPr>
      <w:r>
        <w:rPr>
          <w:rStyle w:val="Appelnotedebasdep"/>
        </w:rPr>
        <w:footnoteRef/>
      </w:r>
      <w:r>
        <w:t xml:space="preserve"> </w:t>
      </w:r>
      <w:r>
        <w:tab/>
      </w:r>
      <w:r w:rsidRPr="00C92F30">
        <w:rPr>
          <w:rStyle w:val="apple-converted-space"/>
          <w:color w:val="auto"/>
          <w:lang w:val="en-US"/>
        </w:rPr>
        <w:t>À ce propos, voir GillesBertheau, « Les enjeux de la mémoire dans</w:t>
      </w:r>
      <w:r w:rsidRPr="00C92F30">
        <w:rPr>
          <w:rStyle w:val="apple-converted-space"/>
          <w:i/>
          <w:iCs/>
          <w:color w:val="auto"/>
          <w:lang w:val="en-US"/>
        </w:rPr>
        <w:t>The Co</w:t>
      </w:r>
      <w:r w:rsidRPr="00C92F30">
        <w:rPr>
          <w:rStyle w:val="apple-converted-space"/>
          <w:i/>
          <w:iCs/>
          <w:color w:val="auto"/>
          <w:lang w:val="en-US"/>
        </w:rPr>
        <w:t>n</w:t>
      </w:r>
      <w:r w:rsidRPr="00C92F30">
        <w:rPr>
          <w:rStyle w:val="apple-converted-space"/>
          <w:i/>
          <w:iCs/>
          <w:color w:val="auto"/>
          <w:lang w:val="en-US"/>
        </w:rPr>
        <w:t>spiracy and Tragedy of Byron</w:t>
      </w:r>
      <w:r w:rsidRPr="00C92F30">
        <w:rPr>
          <w:rStyle w:val="apple-converted-space"/>
          <w:color w:val="auto"/>
          <w:lang w:val="en-US"/>
        </w:rPr>
        <w:t xml:space="preserve">de George Chapman (1608) », </w:t>
      </w:r>
      <w:r w:rsidRPr="00C92F30">
        <w:rPr>
          <w:rStyle w:val="apple-converted-space"/>
          <w:i/>
          <w:iCs/>
          <w:color w:val="auto"/>
          <w:lang w:val="en-US"/>
        </w:rPr>
        <w:t>Actes des co</w:t>
      </w:r>
      <w:r w:rsidRPr="00C92F30">
        <w:rPr>
          <w:rStyle w:val="apple-converted-space"/>
          <w:i/>
          <w:iCs/>
          <w:color w:val="auto"/>
          <w:lang w:val="en-US"/>
        </w:rPr>
        <w:t>n</w:t>
      </w:r>
      <w:r w:rsidRPr="00C92F30">
        <w:rPr>
          <w:rStyle w:val="apple-converted-space"/>
          <w:i/>
          <w:iCs/>
          <w:color w:val="auto"/>
          <w:lang w:val="en-US"/>
        </w:rPr>
        <w:t>grès de la Société française Shakespeare</w:t>
      </w:r>
      <w:r w:rsidRPr="00C92F30">
        <w:rPr>
          <w:rStyle w:val="apple-converted-space"/>
          <w:color w:val="auto"/>
          <w:lang w:val="en-US"/>
        </w:rPr>
        <w:t>, no 30, 2013, en ligne,</w:t>
      </w:r>
      <w:hyperlink r:id="rId146" w:history="1">
        <w:r w:rsidRPr="00C92F30">
          <w:rPr>
            <w:rStyle w:val="apple-converted-space"/>
            <w:lang w:val="en-US"/>
          </w:rPr>
          <w:t>http://shakespeare.revues.org/1919</w:t>
        </w:r>
      </w:hyperlink>
      <w:r w:rsidRPr="00C92F30">
        <w:rPr>
          <w:rStyle w:val="apple-converted-space"/>
          <w:color w:val="auto"/>
          <w:lang w:val="en-US"/>
        </w:rPr>
        <w:t>, consulté le 14 juin 2015. Ici Gille</w:t>
      </w:r>
      <w:r w:rsidRPr="00C92F30">
        <w:rPr>
          <w:rStyle w:val="apple-converted-space"/>
          <w:color w:val="auto"/>
          <w:lang w:val="en-US"/>
        </w:rPr>
        <w:t>s</w:t>
      </w:r>
      <w:r w:rsidRPr="00C92F30">
        <w:rPr>
          <w:rStyle w:val="apple-converted-space"/>
          <w:color w:val="auto"/>
          <w:lang w:val="en-US"/>
        </w:rPr>
        <w:t>Bertheau reprend un énoncé de Paul Ricœur, l’ars memoriae, qu’il</w:t>
      </w:r>
      <w:r w:rsidRPr="00C92F30">
        <w:t xml:space="preserve"> d</w:t>
      </w:r>
      <w:r w:rsidRPr="00C92F30">
        <w:t>é</w:t>
      </w:r>
      <w:r w:rsidRPr="00C92F30">
        <w:t xml:space="preserve">finit lui-même comme un « déni outrancier de l’oubli ». Paul Ricœur, </w:t>
      </w:r>
      <w:r w:rsidRPr="00C92F30">
        <w:rPr>
          <w:i/>
        </w:rPr>
        <w:t>La mémoire, l’histoire et l’oubli</w:t>
      </w:r>
      <w:r w:rsidRPr="00C92F30">
        <w:t xml:space="preserve">, op. cit., p. 79. </w:t>
      </w:r>
    </w:p>
  </w:footnote>
  <w:footnote w:id="983">
    <w:p w:rsidR="004C50DC" w:rsidRDefault="004C50DC">
      <w:pPr>
        <w:pStyle w:val="Notedebasdepage"/>
      </w:pPr>
      <w:r>
        <w:rPr>
          <w:rStyle w:val="Appelnotedebasdep"/>
        </w:rPr>
        <w:footnoteRef/>
      </w:r>
      <w:r>
        <w:t xml:space="preserve"> </w:t>
      </w:r>
      <w:r>
        <w:tab/>
      </w:r>
      <w:r w:rsidRPr="00C92F30">
        <w:t xml:space="preserve">Michel Foucault, </w:t>
      </w:r>
      <w:r w:rsidRPr="00C92F30">
        <w:rPr>
          <w:i/>
        </w:rPr>
        <w:t>Il faut défendre la société.Cours du 28 janvier 1976</w:t>
      </w:r>
      <w:r w:rsidRPr="00C92F30">
        <w:t>, Paris, Gallimard, Seuil, 1997, p. 63.</w:t>
      </w:r>
    </w:p>
  </w:footnote>
  <w:footnote w:id="984">
    <w:p w:rsidR="004C50DC" w:rsidRDefault="004C50DC">
      <w:pPr>
        <w:pStyle w:val="Notedebasdepage"/>
      </w:pPr>
      <w:r>
        <w:rPr>
          <w:rStyle w:val="Appelnotedebasdep"/>
        </w:rPr>
        <w:footnoteRef/>
      </w:r>
      <w:r>
        <w:t xml:space="preserve"> </w:t>
      </w:r>
      <w:r>
        <w:tab/>
      </w:r>
      <w:r w:rsidRPr="00C92F30">
        <w:t>Ibid.</w:t>
      </w:r>
    </w:p>
  </w:footnote>
  <w:footnote w:id="985">
    <w:p w:rsidR="004C50DC" w:rsidRDefault="004C50DC">
      <w:pPr>
        <w:pStyle w:val="Notedebasdepage"/>
      </w:pPr>
      <w:r>
        <w:rPr>
          <w:rStyle w:val="Appelnotedebasdep"/>
        </w:rPr>
        <w:footnoteRef/>
      </w:r>
      <w:r>
        <w:t xml:space="preserve"> </w:t>
      </w:r>
      <w:r>
        <w:tab/>
      </w:r>
      <w:r w:rsidRPr="00C92F30">
        <w:t>« La déclaration explicite du témoin […] le dit bien : “J’y étais”.L’imparfait grammatical marque le temps, tandis que l’adverbe marque l’espace » ; Paul Ri</w:t>
      </w:r>
      <w:r w:rsidRPr="00C92F30">
        <w:t>c</w:t>
      </w:r>
      <w:r w:rsidRPr="00C92F30">
        <w:t>œur, op. cit., 2000, p. 183. </w:t>
      </w:r>
    </w:p>
  </w:footnote>
  <w:footnote w:id="986">
    <w:p w:rsidR="004C50DC" w:rsidRPr="00C92F30" w:rsidRDefault="004C50DC" w:rsidP="004C50DC">
      <w:pPr>
        <w:pStyle w:val="Notedebasdepage"/>
      </w:pPr>
      <w:r w:rsidRPr="00385956">
        <w:rPr>
          <w:rStyle w:val="Appelnotedebasdep"/>
        </w:rPr>
        <w:footnoteRef/>
      </w:r>
      <w:r>
        <w:tab/>
      </w:r>
      <w:r w:rsidRPr="00C92F30">
        <w:t xml:space="preserve">Michel Foucault, </w:t>
      </w:r>
      <w:r w:rsidRPr="00C92F30">
        <w:rPr>
          <w:i/>
        </w:rPr>
        <w:t>op. cit</w:t>
      </w:r>
      <w:r w:rsidRPr="00C92F30">
        <w:t>., p. 61.</w:t>
      </w:r>
    </w:p>
  </w:footnote>
  <w:footnote w:id="987">
    <w:p w:rsidR="004C50DC" w:rsidRDefault="004C50DC">
      <w:pPr>
        <w:pStyle w:val="Notedebasdepage"/>
      </w:pPr>
      <w:r>
        <w:rPr>
          <w:rStyle w:val="Appelnotedebasdep"/>
        </w:rPr>
        <w:footnoteRef/>
      </w:r>
      <w:r>
        <w:t xml:space="preserve"> </w:t>
      </w:r>
      <w:r>
        <w:tab/>
      </w:r>
      <w:r w:rsidRPr="00C92F30">
        <w:t xml:space="preserve">Alain Turnier, </w:t>
      </w:r>
      <w:r w:rsidRPr="00C92F30">
        <w:rPr>
          <w:i/>
        </w:rPr>
        <w:t>Quand la nation demande des comptes</w:t>
      </w:r>
      <w:r w:rsidRPr="00C92F30">
        <w:t>, Port-au-Prince, Le N</w:t>
      </w:r>
      <w:r w:rsidRPr="00C92F30">
        <w:t>a</w:t>
      </w:r>
      <w:r w:rsidRPr="00C92F30">
        <w:t>tal, 1989 ; l’essentiel de cet ouvrage fait ressortir les multiples questionn</w:t>
      </w:r>
      <w:r w:rsidRPr="00C92F30">
        <w:t>e</w:t>
      </w:r>
      <w:r w:rsidRPr="00C92F30">
        <w:t xml:space="preserve">ments d’un peuple qui se fourvoie dans les dérives de ses dirigeants. </w:t>
      </w:r>
    </w:p>
  </w:footnote>
  <w:footnote w:id="988">
    <w:p w:rsidR="004C50DC" w:rsidRPr="00C92F30" w:rsidRDefault="004C50DC" w:rsidP="004C50DC">
      <w:pPr>
        <w:pStyle w:val="Notedebasdepage"/>
      </w:pPr>
      <w:r w:rsidRPr="00385956">
        <w:rPr>
          <w:rStyle w:val="Appelnotedebasdep"/>
        </w:rPr>
        <w:footnoteRef/>
      </w:r>
      <w:r>
        <w:tab/>
      </w:r>
      <w:r w:rsidRPr="00C92F30">
        <w:t xml:space="preserve">Paul Ricœur, </w:t>
      </w:r>
      <w:r w:rsidRPr="00C92F30">
        <w:rPr>
          <w:i/>
        </w:rPr>
        <w:t>Soi-même comme un autre</w:t>
      </w:r>
      <w:r w:rsidRPr="00C92F30">
        <w:t>, op. cit., p. 196.</w:t>
      </w:r>
    </w:p>
  </w:footnote>
  <w:footnote w:id="989">
    <w:p w:rsidR="004C50DC" w:rsidRDefault="004C50DC">
      <w:pPr>
        <w:pStyle w:val="Notedebasdepage"/>
      </w:pPr>
      <w:r>
        <w:rPr>
          <w:rStyle w:val="Appelnotedebasdep"/>
        </w:rPr>
        <w:footnoteRef/>
      </w:r>
      <w:r>
        <w:t xml:space="preserve"> </w:t>
      </w:r>
      <w:r>
        <w:tab/>
      </w:r>
      <w:r w:rsidRPr="00C92F30">
        <w:t>Christian Poirier, « Mémoire collective, identité et politique. La société qu</w:t>
      </w:r>
      <w:r w:rsidRPr="00C92F30">
        <w:t>é</w:t>
      </w:r>
      <w:r w:rsidRPr="00C92F30">
        <w:t xml:space="preserve">bécoise et sa relation problématique avec le passé », dans Inès Molinaro et Christopher Rolfe (dir.), </w:t>
      </w:r>
      <w:r w:rsidRPr="00C92F30">
        <w:rPr>
          <w:i/>
          <w:iCs/>
        </w:rPr>
        <w:t>Focus on Québec (II).Further Essays on Québécois Society and Culture</w:t>
      </w:r>
      <w:r w:rsidRPr="00C92F30">
        <w:t>, Édimbourg, GRECF, 2000, p. 73-87 ; voir aussi Christ</w:t>
      </w:r>
      <w:r w:rsidRPr="00C92F30">
        <w:t>i</w:t>
      </w:r>
      <w:r w:rsidRPr="00C92F30">
        <w:t xml:space="preserve">ne Chivallon, « L’émergence récente de la mémoire de l’esclavage dans l’espace public… », </w:t>
      </w:r>
      <w:r w:rsidRPr="00C92F30">
        <w:rPr>
          <w:i/>
        </w:rPr>
        <w:t>op. cit</w:t>
      </w:r>
      <w:r w:rsidRPr="00C92F30">
        <w:t>.</w:t>
      </w:r>
    </w:p>
  </w:footnote>
  <w:footnote w:id="990">
    <w:p w:rsidR="004C50DC" w:rsidRDefault="004C50DC">
      <w:pPr>
        <w:pStyle w:val="Notedebasdepage"/>
      </w:pPr>
      <w:r>
        <w:rPr>
          <w:rStyle w:val="Appelnotedebasdep"/>
        </w:rPr>
        <w:footnoteRef/>
      </w:r>
      <w:r>
        <w:t xml:space="preserve"> </w:t>
      </w:r>
      <w:r>
        <w:tab/>
      </w:r>
      <w:r w:rsidRPr="00385956">
        <w:rPr>
          <w:i/>
        </w:rPr>
        <w:t>Ibid</w:t>
      </w:r>
      <w:r w:rsidRPr="00C92F30">
        <w:t>.</w:t>
      </w:r>
    </w:p>
  </w:footnote>
  <w:footnote w:id="991">
    <w:p w:rsidR="004C50DC" w:rsidRDefault="004C50DC">
      <w:pPr>
        <w:pStyle w:val="Notedebasdepage"/>
      </w:pPr>
      <w:r>
        <w:rPr>
          <w:rStyle w:val="Appelnotedebasdep"/>
        </w:rPr>
        <w:footnoteRef/>
      </w:r>
      <w:r>
        <w:t xml:space="preserve"> </w:t>
      </w:r>
      <w:r>
        <w:tab/>
      </w:r>
      <w:r w:rsidRPr="00C92F30">
        <w:t xml:space="preserve">Ernest Renan, conférence faite à la Sorbonne (1882), sur l’idée de nation ou de patrie, cité par Henri Marion, </w:t>
      </w:r>
      <w:r w:rsidRPr="00385956">
        <w:rPr>
          <w:i/>
        </w:rPr>
        <w:t>Leçons de morale</w:t>
      </w:r>
      <w:r w:rsidRPr="00C92F30">
        <w:t>, Paris, Armand Colin et Cie, 1884, p. 328.</w:t>
      </w:r>
    </w:p>
  </w:footnote>
  <w:footnote w:id="992">
    <w:p w:rsidR="004C50DC" w:rsidRPr="00C92F30" w:rsidRDefault="004C50DC" w:rsidP="004C50DC">
      <w:pPr>
        <w:pStyle w:val="Notedebasdepage"/>
      </w:pPr>
      <w:r w:rsidRPr="00385956">
        <w:rPr>
          <w:rStyle w:val="Appelnotedebasdep"/>
        </w:rPr>
        <w:footnoteRef/>
      </w:r>
      <w:r>
        <w:tab/>
      </w:r>
      <w:r w:rsidRPr="00C92F30">
        <w:t xml:space="preserve">Christine Chivallon, « L’émergence récente de la mémoire de l’esclavage dans l’espace public… », op. cit. </w:t>
      </w:r>
    </w:p>
  </w:footnote>
  <w:footnote w:id="993">
    <w:p w:rsidR="004C50DC" w:rsidRPr="00C92F30" w:rsidRDefault="004C50DC" w:rsidP="004C50DC">
      <w:pPr>
        <w:pStyle w:val="Notedebasdepage"/>
      </w:pPr>
      <w:r w:rsidRPr="00385956">
        <w:rPr>
          <w:rStyle w:val="Appelnotedebasdep"/>
        </w:rPr>
        <w:footnoteRef/>
      </w:r>
      <w:r>
        <w:tab/>
      </w:r>
      <w:r w:rsidRPr="00C92F30">
        <w:t xml:space="preserve">Pierre Nora, </w:t>
      </w:r>
      <w:r w:rsidRPr="00C92F30">
        <w:rPr>
          <w:i/>
          <w:iCs/>
        </w:rPr>
        <w:t>Les Lieux de mémoire</w:t>
      </w:r>
      <w:r w:rsidRPr="00C92F30">
        <w:t>, tome I (</w:t>
      </w:r>
      <w:r w:rsidRPr="00C92F30">
        <w:rPr>
          <w:i/>
          <w:iCs/>
        </w:rPr>
        <w:t>La République</w:t>
      </w:r>
      <w:r w:rsidRPr="00C92F30">
        <w:t>), Paris, Gallimard, 1984, p. VIII.</w:t>
      </w:r>
    </w:p>
  </w:footnote>
  <w:footnote w:id="994">
    <w:p w:rsidR="004C50DC" w:rsidRDefault="004C50DC">
      <w:pPr>
        <w:pStyle w:val="Notedebasdepage"/>
      </w:pPr>
      <w:r>
        <w:rPr>
          <w:rStyle w:val="Appelnotedebasdep"/>
        </w:rPr>
        <w:footnoteRef/>
      </w:r>
      <w:r>
        <w:t xml:space="preserve"> </w:t>
      </w:r>
      <w:r>
        <w:tab/>
      </w:r>
      <w:hyperlink r:id="rId147" w:tgtFrame="_blank" w:history="1">
        <w:r w:rsidRPr="00C92F30">
          <w:rPr>
            <w:rStyle w:val="Lienhypertexte"/>
          </w:rPr>
          <w:t>Leslie François Manigat, entrevue à Télémax, Émission Profil du 30 septe</w:t>
        </w:r>
        <w:r w:rsidRPr="00C92F30">
          <w:rPr>
            <w:rStyle w:val="Lienhypertexte"/>
          </w:rPr>
          <w:t>m</w:t>
        </w:r>
        <w:r w:rsidRPr="00C92F30">
          <w:rPr>
            <w:rStyle w:val="Lienhypertexte"/>
          </w:rPr>
          <w:t>bre 1999</w:t>
        </w:r>
      </w:hyperlink>
      <w:r w:rsidRPr="00C92F30">
        <w:t xml:space="preserve">, </w:t>
      </w:r>
      <w:hyperlink r:id="rId148" w:history="1">
        <w:r w:rsidRPr="00C92F30">
          <w:rPr>
            <w:rStyle w:val="Lienhypertexte"/>
          </w:rPr>
          <w:t>https://www.youtube.com/watch?v=b7tOpUJA-YY</w:t>
        </w:r>
      </w:hyperlink>
      <w:r w:rsidRPr="00C92F30">
        <w:t>,</w:t>
      </w:r>
      <w:r w:rsidRPr="00C92F30">
        <w:rPr>
          <w:rFonts w:cs="Arial Unicode MS"/>
          <w:szCs w:val="24"/>
        </w:rPr>
        <w:t xml:space="preserve"> 6 octobre 2014, consulté le 12 mars 2015.</w:t>
      </w:r>
    </w:p>
  </w:footnote>
  <w:footnote w:id="995">
    <w:p w:rsidR="004C50DC" w:rsidRPr="00C92F30" w:rsidRDefault="004C50DC" w:rsidP="004C50DC">
      <w:pPr>
        <w:pStyle w:val="Notedebasdepage"/>
      </w:pPr>
      <w:r w:rsidRPr="00385956">
        <w:rPr>
          <w:rStyle w:val="Appelnotedebasdep"/>
        </w:rPr>
        <w:footnoteRef/>
      </w:r>
      <w:r>
        <w:tab/>
      </w:r>
      <w:r w:rsidRPr="00C92F30">
        <w:t xml:space="preserve">Il fait allusion à la présence des forces militaires de la Mission des Nations unies pour la stabilisation en Haïti (MINUSTAH) depuis 2004. </w:t>
      </w:r>
    </w:p>
  </w:footnote>
  <w:footnote w:id="996">
    <w:p w:rsidR="004C50DC" w:rsidRDefault="004C50DC">
      <w:pPr>
        <w:pStyle w:val="Notedebasdepage"/>
      </w:pPr>
      <w:r>
        <w:rPr>
          <w:rStyle w:val="Appelnotedebasdep"/>
        </w:rPr>
        <w:footnoteRef/>
      </w:r>
      <w:r>
        <w:t xml:space="preserve"> </w:t>
      </w:r>
      <w:r>
        <w:tab/>
      </w:r>
      <w:r w:rsidRPr="00C92F30">
        <w:rPr>
          <w:lang w:val="fr-FR"/>
        </w:rPr>
        <w:t>Voir la vidéo de Bayyinah Bello parlant de Jean-Jacques Dessalines</w:t>
      </w:r>
      <w:r w:rsidRPr="00C92F30">
        <w:t xml:space="preserve">, en ligne, </w:t>
      </w:r>
      <w:hyperlink r:id="rId149" w:history="1">
        <w:r w:rsidRPr="00C92F30">
          <w:rPr>
            <w:rStyle w:val="Lienhypertexte"/>
            <w:lang w:val="fr-FR"/>
          </w:rPr>
          <w:t>https://www.youtube.com/watch?v=fqdhtoi_ZgM</w:t>
        </w:r>
      </w:hyperlink>
      <w:r w:rsidRPr="00C92F30">
        <w:rPr>
          <w:lang w:val="fr-FR"/>
        </w:rPr>
        <w:t>, 18 mai 2013.</w:t>
      </w:r>
    </w:p>
  </w:footnote>
  <w:footnote w:id="997">
    <w:p w:rsidR="004C50DC" w:rsidRDefault="004C50DC">
      <w:pPr>
        <w:pStyle w:val="Notedebasdepage"/>
      </w:pPr>
      <w:r>
        <w:rPr>
          <w:rStyle w:val="Appelnotedebasdep"/>
        </w:rPr>
        <w:footnoteRef/>
      </w:r>
      <w:r>
        <w:t xml:space="preserve"> </w:t>
      </w:r>
      <w:r>
        <w:tab/>
      </w:r>
      <w:r w:rsidRPr="00C92F30">
        <w:t xml:space="preserve">Moreau de Saint-Méry, </w:t>
      </w:r>
      <w:r w:rsidRPr="00C92F30">
        <w:rPr>
          <w:i/>
        </w:rPr>
        <w:t>op. cit</w:t>
      </w:r>
      <w:r w:rsidRPr="00C92F30">
        <w:t>., 1958, p</w:t>
      </w:r>
      <w:r>
        <w:t>p</w:t>
      </w:r>
      <w:r w:rsidRPr="00C92F30">
        <w:t>. 49-59.</w:t>
      </w:r>
    </w:p>
  </w:footnote>
  <w:footnote w:id="998">
    <w:p w:rsidR="004C50DC" w:rsidRDefault="004C50DC">
      <w:pPr>
        <w:pStyle w:val="Notedebasdepage"/>
      </w:pPr>
      <w:r>
        <w:rPr>
          <w:rStyle w:val="Appelnotedebasdep"/>
        </w:rPr>
        <w:footnoteRef/>
      </w:r>
      <w:r>
        <w:t xml:space="preserve"> </w:t>
      </w:r>
      <w:r>
        <w:tab/>
      </w:r>
      <w:r w:rsidRPr="00C92F30">
        <w:t xml:space="preserve">Dans le même sens qu’a soutenu Jean-Daniel Reynaud, </w:t>
      </w:r>
      <w:r w:rsidRPr="00C92F30">
        <w:rPr>
          <w:i/>
        </w:rPr>
        <w:t>Le conflit, la négoci</w:t>
      </w:r>
      <w:r w:rsidRPr="00C92F30">
        <w:rPr>
          <w:i/>
        </w:rPr>
        <w:t>a</w:t>
      </w:r>
      <w:r w:rsidRPr="00C92F30">
        <w:rPr>
          <w:i/>
        </w:rPr>
        <w:t>tion et la règle</w:t>
      </w:r>
      <w:r w:rsidRPr="00C92F30">
        <w:t xml:space="preserve">, Toulouse, Octarès, 1999, p. 20 ; voir aussi Jean-Daniel </w:t>
      </w:r>
      <w:r w:rsidRPr="00C92F30">
        <w:rPr>
          <w:rFonts w:eastAsia="Arial Unicode MS" w:cs="Mangal"/>
          <w:lang w:eastAsia="hi-IN" w:bidi="hi-IN"/>
        </w:rPr>
        <w:t>R</w:t>
      </w:r>
      <w:r w:rsidRPr="00C92F30">
        <w:rPr>
          <w:rFonts w:eastAsia="Arial Unicode MS" w:cs="Mangal"/>
          <w:lang w:eastAsia="hi-IN" w:bidi="hi-IN"/>
        </w:rPr>
        <w:t>e</w:t>
      </w:r>
      <w:r w:rsidRPr="00C92F30">
        <w:rPr>
          <w:rFonts w:eastAsia="Arial Unicode MS" w:cs="Mangal"/>
          <w:lang w:eastAsia="hi-IN" w:bidi="hi-IN"/>
        </w:rPr>
        <w:t>ynaud, Les Règles du jeu. L’action collective et la régulation sociale, Armand Colin, P</w:t>
      </w:r>
      <w:r w:rsidRPr="00C92F30">
        <w:rPr>
          <w:rFonts w:eastAsia="Arial Unicode MS" w:cs="Mangal"/>
          <w:lang w:eastAsia="hi-IN" w:bidi="hi-IN"/>
        </w:rPr>
        <w:t>a</w:t>
      </w:r>
      <w:r w:rsidRPr="00C92F30">
        <w:rPr>
          <w:rFonts w:eastAsia="Arial Unicode MS" w:cs="Mangal"/>
          <w:lang w:eastAsia="hi-IN" w:bidi="hi-IN"/>
        </w:rPr>
        <w:t>ris, 1997.</w:t>
      </w:r>
    </w:p>
  </w:footnote>
  <w:footnote w:id="999">
    <w:p w:rsidR="004C50DC" w:rsidRDefault="004C50DC">
      <w:pPr>
        <w:pStyle w:val="Notedebasdepage"/>
      </w:pPr>
      <w:r>
        <w:rPr>
          <w:rStyle w:val="Appelnotedebasdep"/>
        </w:rPr>
        <w:footnoteRef/>
      </w:r>
      <w:r>
        <w:t xml:space="preserve"> </w:t>
      </w:r>
      <w:r>
        <w:tab/>
      </w:r>
      <w:r w:rsidRPr="00C92F30">
        <w:t>Cette idée est aussi partagée par des historiens, des politologues ou des soci</w:t>
      </w:r>
      <w:r w:rsidRPr="00C92F30">
        <w:t>o</w:t>
      </w:r>
      <w:r w:rsidRPr="00C92F30">
        <w:t xml:space="preserve">logues comme Françoise Vergès, « Aimé Césaire et la lutte inachevée », </w:t>
      </w:r>
      <w:r w:rsidRPr="00C92F30">
        <w:rPr>
          <w:i/>
        </w:rPr>
        <w:t>Alea</w:t>
      </w:r>
      <w:r w:rsidRPr="00C92F30">
        <w:t>, vol 11, n</w:t>
      </w:r>
      <w:r w:rsidRPr="00C92F30">
        <w:rPr>
          <w:vertAlign w:val="superscript"/>
        </w:rPr>
        <w:t>o</w:t>
      </w:r>
      <w:r w:rsidRPr="00C92F30">
        <w:t xml:space="preserve"> 1, Janeiro, juin 2009, p.24-34; Dominique Rogers, « De l'origine du préjugé de couleur en Haïti », </w:t>
      </w:r>
      <w:r w:rsidRPr="00C92F30">
        <w:rPr>
          <w:i/>
        </w:rPr>
        <w:t>Outre-Mers</w:t>
      </w:r>
      <w:r w:rsidRPr="00C92F30">
        <w:t xml:space="preserve">, </w:t>
      </w:r>
      <w:r w:rsidRPr="00C92F30">
        <w:rPr>
          <w:rStyle w:val="collection"/>
        </w:rPr>
        <w:t>n</w:t>
      </w:r>
      <w:r w:rsidRPr="00C92F30">
        <w:rPr>
          <w:rStyle w:val="collection"/>
          <w:vertAlign w:val="superscript"/>
        </w:rPr>
        <w:t>os</w:t>
      </w:r>
      <w:r w:rsidRPr="00C92F30">
        <w:rPr>
          <w:rStyle w:val="collection"/>
        </w:rPr>
        <w:t>. </w:t>
      </w:r>
      <w:r w:rsidRPr="00C92F30">
        <w:rPr>
          <w:rStyle w:val="documentyear"/>
        </w:rPr>
        <w:t xml:space="preserve">340-34, 2003, </w:t>
      </w:r>
      <w:r w:rsidRPr="00C92F30">
        <w:rPr>
          <w:rStyle w:val="documentpagerange"/>
        </w:rPr>
        <w:t>p. 83-101;</w:t>
      </w:r>
      <w:r w:rsidRPr="00C92F30">
        <w:t xml:space="preserve"> Fra</w:t>
      </w:r>
      <w:r w:rsidRPr="00C92F30">
        <w:t>n</w:t>
      </w:r>
      <w:r w:rsidRPr="00C92F30">
        <w:t xml:space="preserve">klin Midy, « Vers l’indépendance des colonies d’esclaves des Amériques. L’exception haïtienne », dans Marcel Dorigny (dir.), </w:t>
      </w:r>
      <w:r w:rsidRPr="00C92F30">
        <w:rPr>
          <w:i/>
        </w:rPr>
        <w:t>Haïti, première républ</w:t>
      </w:r>
      <w:r w:rsidRPr="00C92F30">
        <w:rPr>
          <w:i/>
        </w:rPr>
        <w:t>i</w:t>
      </w:r>
      <w:r w:rsidRPr="00C92F30">
        <w:rPr>
          <w:i/>
        </w:rPr>
        <w:t>que noire,</w:t>
      </w:r>
      <w:r w:rsidRPr="00C92F30">
        <w:t xml:space="preserve"> Paris, SFHOM-APECE, 2003, p. 121-138; Marcel Dorigny, « De Saint-Domingue à Haïti : une nation issue de l'esclavage », </w:t>
      </w:r>
      <w:r w:rsidRPr="00C92F30">
        <w:rPr>
          <w:i/>
        </w:rPr>
        <w:t>Outre-Mers,</w:t>
      </w:r>
      <w:r w:rsidRPr="00C92F30">
        <w:t xml:space="preserve"> </w:t>
      </w:r>
      <w:r w:rsidRPr="00C92F30">
        <w:rPr>
          <w:rStyle w:val="documentyear"/>
        </w:rPr>
        <w:t>2003, n</w:t>
      </w:r>
      <w:r w:rsidRPr="00C92F30">
        <w:rPr>
          <w:rStyle w:val="documentyear"/>
          <w:vertAlign w:val="superscript"/>
        </w:rPr>
        <w:t>os</w:t>
      </w:r>
      <w:r w:rsidRPr="00C92F30">
        <w:rPr>
          <w:rStyle w:val="documentyear"/>
        </w:rPr>
        <w:t xml:space="preserve"> 340-341,</w:t>
      </w:r>
      <w:r w:rsidRPr="00C92F30">
        <w:rPr>
          <w:rStyle w:val="documentpagerange"/>
        </w:rPr>
        <w:t xml:space="preserve"> p. 5-13; </w:t>
      </w:r>
      <w:r w:rsidRPr="00C92F30">
        <w:t>Laennec Hurbon (dir.),</w:t>
      </w:r>
      <w:r w:rsidRPr="00C92F30">
        <w:rPr>
          <w:i/>
        </w:rPr>
        <w:t xml:space="preserve"> L'insurrection des esclaves de Saint-Domingue, 22-23 août 1791</w:t>
      </w:r>
      <w:r w:rsidRPr="00C92F30">
        <w:t xml:space="preserve">, Paris, Karthala, 2000 ; </w:t>
      </w:r>
      <w:r w:rsidRPr="00C92F30">
        <w:rPr>
          <w:i/>
        </w:rPr>
        <w:t xml:space="preserve">Comprendre Haïti. Essai sur l’État, la nation, la culture, </w:t>
      </w:r>
      <w:r w:rsidRPr="00C92F30">
        <w:t>Paris, Karthala</w:t>
      </w:r>
      <w:r w:rsidRPr="00C92F30">
        <w:rPr>
          <w:rFonts w:cs="Arial Unicode MS"/>
          <w:szCs w:val="24"/>
        </w:rPr>
        <w:t>, 1987.</w:t>
      </w:r>
    </w:p>
  </w:footnote>
  <w:footnote w:id="1000">
    <w:p w:rsidR="004C50DC" w:rsidRPr="00C92F30" w:rsidRDefault="004C50DC" w:rsidP="004C50DC">
      <w:pPr>
        <w:pStyle w:val="Notedebasdepage"/>
      </w:pPr>
      <w:r w:rsidRPr="00385956">
        <w:rPr>
          <w:rStyle w:val="Appelnotedebasdep"/>
        </w:rPr>
        <w:footnoteRef/>
      </w:r>
      <w:r>
        <w:tab/>
      </w:r>
      <w:r w:rsidRPr="00C92F30">
        <w:t>Voir l’article 14 de la Constitution de 1805 : « Toute acception de couleur parmi les enfants d’une seule et même famille, dont chef de l’État est le père, d</w:t>
      </w:r>
      <w:r w:rsidRPr="00C92F30">
        <w:t>e</w:t>
      </w:r>
      <w:r w:rsidRPr="00C92F30">
        <w:t>vra nécessairement cesser, les Haïtiens ne seront désormais connus que sous la dénomination générique de noirs ».</w:t>
      </w:r>
    </w:p>
  </w:footnote>
  <w:footnote w:id="1001">
    <w:p w:rsidR="004C50DC" w:rsidRPr="00C92F30" w:rsidRDefault="004C50DC" w:rsidP="004C50DC">
      <w:pPr>
        <w:pStyle w:val="Notedebasdepage"/>
      </w:pPr>
      <w:r w:rsidRPr="00385956">
        <w:rPr>
          <w:rStyle w:val="Appelnotedebasdep"/>
        </w:rPr>
        <w:footnoteRef/>
      </w:r>
      <w:r>
        <w:tab/>
      </w:r>
      <w:r w:rsidRPr="00C92F30">
        <w:t xml:space="preserve">Voir par exemple Henri Tajfel, « Social Identity and Intergroup Behaviour », </w:t>
      </w:r>
      <w:r w:rsidRPr="00C92F30">
        <w:rPr>
          <w:i/>
        </w:rPr>
        <w:t xml:space="preserve">Social Science Information, </w:t>
      </w:r>
      <w:r w:rsidRPr="00C92F30">
        <w:t>vol. 3, 1974, p. 65-93 ; Henri Tajfel,</w:t>
      </w:r>
      <w:r w:rsidRPr="00C92F30">
        <w:rPr>
          <w:i/>
        </w:rPr>
        <w:t xml:space="preserve"> The Social Psychology of minorities. (Minority Rights Group Report 38), </w:t>
      </w:r>
      <w:r w:rsidRPr="00C92F30">
        <w:t>Londres, Min</w:t>
      </w:r>
      <w:r w:rsidRPr="00C92F30">
        <w:t>o</w:t>
      </w:r>
      <w:r w:rsidRPr="00C92F30">
        <w:t>rity Rights Group, 1978 ; Henri Tajfel et John C Turner</w:t>
      </w:r>
      <w:r w:rsidRPr="00C92F30">
        <w:rPr>
          <w:i/>
        </w:rPr>
        <w:t xml:space="preserve">, </w:t>
      </w:r>
      <w:r w:rsidRPr="00C92F30">
        <w:t>« TheSocial Identity Theory of Intergroup Behaviour »</w:t>
      </w:r>
      <w:r w:rsidRPr="00C92F30">
        <w:rPr>
          <w:i/>
        </w:rPr>
        <w:t xml:space="preserve">, </w:t>
      </w:r>
      <w:r w:rsidRPr="00C92F30">
        <w:t>dans Stephen Worchel et William G. Au</w:t>
      </w:r>
      <w:r w:rsidRPr="00C92F30">
        <w:t>s</w:t>
      </w:r>
      <w:r w:rsidRPr="00C92F30">
        <w:t>tin</w:t>
      </w:r>
      <w:r w:rsidRPr="00C92F30">
        <w:rPr>
          <w:i/>
        </w:rPr>
        <w:t xml:space="preserve">, Psychology of Intergroup Relations, </w:t>
      </w:r>
      <w:r w:rsidRPr="00C92F30">
        <w:t>Chicago, Nelson-Hall Publishers, 1986, cités par Leigh Oakes, « Le français comme “langue publique comm</w:t>
      </w:r>
      <w:r w:rsidRPr="00C92F30">
        <w:t>u</w:t>
      </w:r>
      <w:r w:rsidRPr="00C92F30">
        <w:t>ne” au Québec »</w:t>
      </w:r>
      <w:r w:rsidRPr="00C92F30">
        <w:rPr>
          <w:i/>
        </w:rPr>
        <w:t>, Globe. Revue internationale d’études qu</w:t>
      </w:r>
      <w:r w:rsidRPr="00C92F30">
        <w:rPr>
          <w:i/>
        </w:rPr>
        <w:t>é</w:t>
      </w:r>
      <w:r w:rsidRPr="00C92F30">
        <w:rPr>
          <w:i/>
        </w:rPr>
        <w:t xml:space="preserve">bécoises, </w:t>
      </w:r>
      <w:r w:rsidRPr="00C92F30">
        <w:t>vol. 7, n</w:t>
      </w:r>
      <w:r w:rsidRPr="00C92F30">
        <w:rPr>
          <w:vertAlign w:val="superscript"/>
        </w:rPr>
        <w:t>o</w:t>
      </w:r>
      <w:r w:rsidRPr="00C92F30">
        <w:t> 2, 2004, p. 165</w:t>
      </w:r>
      <w:r w:rsidRPr="00C92F30">
        <w:rPr>
          <w:i/>
        </w:rPr>
        <w:t>.</w:t>
      </w:r>
    </w:p>
  </w:footnote>
  <w:footnote w:id="1002">
    <w:p w:rsidR="004C50DC" w:rsidRDefault="004C50DC">
      <w:pPr>
        <w:pStyle w:val="Notedebasdepage"/>
      </w:pPr>
      <w:r>
        <w:rPr>
          <w:rStyle w:val="Appelnotedebasdep"/>
        </w:rPr>
        <w:footnoteRef/>
      </w:r>
      <w:r>
        <w:t xml:space="preserve"> </w:t>
      </w:r>
      <w:r>
        <w:tab/>
      </w:r>
      <w:r w:rsidRPr="00C92F30">
        <w:rPr>
          <w:lang w:val="en-US"/>
        </w:rPr>
        <w:t xml:space="preserve">Lire Albert Bandura, </w:t>
      </w:r>
      <w:r w:rsidRPr="00C92F30">
        <w:rPr>
          <w:i/>
          <w:lang w:val="en-US"/>
        </w:rPr>
        <w:t>In social learning theory</w:t>
      </w:r>
      <w:r w:rsidRPr="00C92F30">
        <w:rPr>
          <w:lang w:val="en-US"/>
        </w:rPr>
        <w:t>, Englewood Cliffs, NJ: Pre</w:t>
      </w:r>
      <w:r w:rsidRPr="00C92F30">
        <w:rPr>
          <w:lang w:val="en-US"/>
        </w:rPr>
        <w:t>n</w:t>
      </w:r>
      <w:r w:rsidRPr="00C92F30">
        <w:rPr>
          <w:lang w:val="en-US"/>
        </w:rPr>
        <w:t>tice Hall, 1977.</w:t>
      </w:r>
    </w:p>
  </w:footnote>
  <w:footnote w:id="1003">
    <w:p w:rsidR="004C50DC" w:rsidRDefault="004C50DC">
      <w:pPr>
        <w:pStyle w:val="Notedebasdepage"/>
      </w:pPr>
      <w:r>
        <w:rPr>
          <w:rStyle w:val="Appelnotedebasdep"/>
        </w:rPr>
        <w:footnoteRef/>
      </w:r>
      <w:r>
        <w:t xml:space="preserve"> </w:t>
      </w:r>
      <w:r>
        <w:tab/>
      </w:r>
      <w:r w:rsidRPr="00C92F30">
        <w:t>L’Unité centrale des renseignements financiers (UCREF) a été créée confo</w:t>
      </w:r>
      <w:r w:rsidRPr="00C92F30">
        <w:t>r</w:t>
      </w:r>
      <w:r w:rsidRPr="00C92F30">
        <w:t>mément au prescrit de l’article 3.1.1 de la loi du 21 f</w:t>
      </w:r>
      <w:r w:rsidRPr="00C92F30">
        <w:t>é</w:t>
      </w:r>
      <w:r w:rsidRPr="00C92F30">
        <w:t>vrier 2001(</w:t>
      </w:r>
      <w:r w:rsidRPr="00C92F30">
        <w:rPr>
          <w:i/>
        </w:rPr>
        <w:t>Moniteur</w:t>
      </w:r>
      <w:r w:rsidRPr="00C92F30">
        <w:t>n</w:t>
      </w:r>
      <w:r w:rsidRPr="00C92F30">
        <w:rPr>
          <w:vertAlign w:val="superscript"/>
        </w:rPr>
        <w:t>o</w:t>
      </w:r>
      <w:r w:rsidRPr="00C92F30">
        <w:t> 30 du jeudi 5 avril 2001). Il est placé sous l’autorité du Comité national de lutte contre le blanchiment des avoirs (CNLBA). Sa mi</w:t>
      </w:r>
      <w:r w:rsidRPr="00C92F30">
        <w:t>s</w:t>
      </w:r>
      <w:r w:rsidRPr="00C92F30">
        <w:t xml:space="preserve">sion consiste à lutter contre le blanchiment des avoirs provenant du trafic de drogue et autres infractions connexes. </w:t>
      </w:r>
    </w:p>
  </w:footnote>
  <w:footnote w:id="1004">
    <w:p w:rsidR="004C50DC" w:rsidRDefault="004C50DC">
      <w:pPr>
        <w:pStyle w:val="Notedebasdepage"/>
      </w:pPr>
      <w:r>
        <w:rPr>
          <w:rStyle w:val="Appelnotedebasdep"/>
        </w:rPr>
        <w:footnoteRef/>
      </w:r>
      <w:r>
        <w:t xml:space="preserve"> </w:t>
      </w:r>
      <w:r>
        <w:tab/>
      </w:r>
      <w:r w:rsidRPr="00C92F30">
        <w:t>L’Unité de lutte contre la corruption (ULCC) a été créée par le décret du 8 septembre 2004 (</w:t>
      </w:r>
      <w:r w:rsidRPr="00C92F30">
        <w:rPr>
          <w:i/>
        </w:rPr>
        <w:t xml:space="preserve">Moniteur </w:t>
      </w:r>
      <w:r w:rsidRPr="00C92F30">
        <w:t>n</w:t>
      </w:r>
      <w:r w:rsidRPr="00C92F30">
        <w:rPr>
          <w:vertAlign w:val="superscript"/>
        </w:rPr>
        <w:t>o</w:t>
      </w:r>
      <w:r w:rsidRPr="00C92F30">
        <w:t> 61 du lundi 13 septembre 2004). C’est une inst</w:t>
      </w:r>
      <w:r w:rsidRPr="00C92F30">
        <w:t>i</w:t>
      </w:r>
      <w:r w:rsidRPr="00C92F30">
        <w:t>tution autonome, placée sous la tutelle du Ministère de l’Économie et des F</w:t>
      </w:r>
      <w:r w:rsidRPr="00C92F30">
        <w:t>i</w:t>
      </w:r>
      <w:r w:rsidRPr="00C92F30">
        <w:t>nances. Sa mission est de combattre la corruption sous toutes ses formes au sein de l’administration publique (réf : article 2) ; voir, en ligne,</w:t>
      </w:r>
      <w:r w:rsidRPr="00C92F30">
        <w:rPr>
          <w:shd w:val="clear" w:color="auto" w:fill="FFFFFF"/>
        </w:rPr>
        <w:t xml:space="preserve"> </w:t>
      </w:r>
      <w:hyperlink r:id="rId150" w:history="1">
        <w:r w:rsidRPr="00C92F30">
          <w:rPr>
            <w:rStyle w:val="Lienhypertexte"/>
          </w:rPr>
          <w:t>www.oas.org/juridico/PDFs/XXI_hti.doc</w:t>
        </w:r>
      </w:hyperlink>
      <w:r w:rsidRPr="00C92F30">
        <w:t>.</w:t>
      </w:r>
    </w:p>
  </w:footnote>
  <w:footnote w:id="1005">
    <w:p w:rsidR="004C50DC" w:rsidRDefault="004C50DC">
      <w:pPr>
        <w:pStyle w:val="Notedebasdepage"/>
      </w:pPr>
      <w:r>
        <w:rPr>
          <w:rStyle w:val="Appelnotedebasdep"/>
        </w:rPr>
        <w:footnoteRef/>
      </w:r>
      <w:r>
        <w:t xml:space="preserve"> </w:t>
      </w:r>
      <w:r>
        <w:tab/>
      </w:r>
      <w:r w:rsidRPr="00C92F30">
        <w:t xml:space="preserve">François Hartog, </w:t>
      </w:r>
      <w:r w:rsidRPr="00C92F30">
        <w:rPr>
          <w:i/>
        </w:rPr>
        <w:t xml:space="preserve">Régimes d’historicité. Présentisme et expérience du temps, </w:t>
      </w:r>
      <w:r w:rsidRPr="00C92F30">
        <w:t xml:space="preserve">Paris, Seuil, 2003 ; voir aussi Bertrand Lessault, « F. Hartog.Régimes d’historicité. Présentisme et expérience du temps », </w:t>
      </w:r>
      <w:r w:rsidRPr="00C92F30">
        <w:rPr>
          <w:i/>
        </w:rPr>
        <w:t>L’orientation scolaire et pr</w:t>
      </w:r>
      <w:r w:rsidRPr="00C92F30">
        <w:rPr>
          <w:i/>
        </w:rPr>
        <w:t>o</w:t>
      </w:r>
      <w:r w:rsidRPr="00C92F30">
        <w:rPr>
          <w:i/>
        </w:rPr>
        <w:t>fessionnelle</w:t>
      </w:r>
      <w:r w:rsidRPr="00C92F30">
        <w:t>, vol. 33, n</w:t>
      </w:r>
      <w:r w:rsidRPr="00C92F30">
        <w:rPr>
          <w:vertAlign w:val="superscript"/>
        </w:rPr>
        <w:t>o</w:t>
      </w:r>
      <w:r w:rsidRPr="00C92F30">
        <w:t> 3, 2004, en ligne,</w:t>
      </w:r>
      <w:r>
        <w:t xml:space="preserve"> </w:t>
      </w:r>
      <w:hyperlink r:id="rId151" w:history="1">
        <w:r w:rsidRPr="00C92F30">
          <w:rPr>
            <w:rStyle w:val="Lienhypertexte"/>
          </w:rPr>
          <w:t>http://osp.revues.org/752</w:t>
        </w:r>
      </w:hyperlink>
      <w:r w:rsidRPr="00C92F30">
        <w:t>, consulté le 12 juin 2015.</w:t>
      </w:r>
    </w:p>
  </w:footnote>
  <w:footnote w:id="1006">
    <w:p w:rsidR="004C50DC" w:rsidRPr="00C92F30" w:rsidRDefault="004C50DC" w:rsidP="004C50DC">
      <w:pPr>
        <w:pStyle w:val="Notedebasdepage"/>
      </w:pPr>
      <w:r w:rsidRPr="00385956">
        <w:rPr>
          <w:rStyle w:val="Appelnotedebasdep"/>
        </w:rPr>
        <w:footnoteRef/>
      </w:r>
      <w:r>
        <w:tab/>
        <w:t>François Hartog, op. cit.</w:t>
      </w:r>
    </w:p>
  </w:footnote>
  <w:footnote w:id="1007">
    <w:p w:rsidR="004C50DC" w:rsidRDefault="004C50DC">
      <w:pPr>
        <w:pStyle w:val="Notedebasdepage"/>
      </w:pPr>
      <w:r>
        <w:rPr>
          <w:rStyle w:val="Appelnotedebasdep"/>
        </w:rPr>
        <w:footnoteRef/>
      </w:r>
      <w:r>
        <w:t xml:space="preserve"> </w:t>
      </w:r>
      <w:r>
        <w:tab/>
      </w:r>
      <w:r w:rsidRPr="00C92F30">
        <w:t xml:space="preserve">Voir Leslie-François Manigat, </w:t>
      </w:r>
      <w:hyperlink r:id="rId152" w:history="1">
        <w:r w:rsidRPr="00C92F30">
          <w:rPr>
            <w:i/>
          </w:rPr>
          <w:t>La crise haïtienne contemporaine. Rétrospect</w:t>
        </w:r>
        <w:r w:rsidRPr="00C92F30">
          <w:rPr>
            <w:i/>
          </w:rPr>
          <w:t>i</w:t>
        </w:r>
        <w:r w:rsidRPr="00C92F30">
          <w:rPr>
            <w:i/>
          </w:rPr>
          <w:t>ve et perspective dans la saisie du point de vue critique d’aujourd’hui. Une le</w:t>
        </w:r>
        <w:r w:rsidRPr="00C92F30">
          <w:rPr>
            <w:i/>
          </w:rPr>
          <w:t>c</w:t>
        </w:r>
        <w:r w:rsidRPr="00C92F30">
          <w:rPr>
            <w:i/>
          </w:rPr>
          <w:t>ture d’historien-politologue,</w:t>
        </w:r>
        <w:r w:rsidRPr="00C92F30">
          <w:t>en ligne,</w:t>
        </w:r>
        <w:r>
          <w:br/>
        </w:r>
      </w:hyperlink>
      <w:hyperlink r:id="rId153" w:history="1">
        <w:r w:rsidRPr="00C92F30">
          <w:rPr>
            <w:rStyle w:val="Lienhypertexte"/>
          </w:rPr>
          <w:t>https://archive.org/stream/lacrisehaitienne00mani/lacrisehaitienne00mani_djvu.txt</w:t>
        </w:r>
      </w:hyperlink>
      <w:r w:rsidRPr="00C92F30">
        <w:t>, consulté le 6 juin 2015.</w:t>
      </w:r>
    </w:p>
  </w:footnote>
  <w:footnote w:id="1008">
    <w:p w:rsidR="004C50DC" w:rsidRDefault="004C50DC">
      <w:pPr>
        <w:pStyle w:val="Notedebasdepage"/>
      </w:pPr>
      <w:r>
        <w:rPr>
          <w:rStyle w:val="Appelnotedebasdep"/>
        </w:rPr>
        <w:footnoteRef/>
      </w:r>
      <w:r>
        <w:t xml:space="preserve"> </w:t>
      </w:r>
      <w:r>
        <w:tab/>
      </w:r>
      <w:r w:rsidRPr="00C92F30">
        <w:t xml:space="preserve">Voir Jean-Marc Piotte, </w:t>
      </w:r>
      <w:hyperlink r:id="rId154" w:history="1">
        <w:r w:rsidRPr="00377F88">
          <w:rPr>
            <w:rStyle w:val="Lienhypertexte"/>
            <w:i/>
          </w:rPr>
          <w:t>La pensée politique de Gramsci</w:t>
        </w:r>
      </w:hyperlink>
      <w:r w:rsidRPr="00C92F30">
        <w:rPr>
          <w:i/>
        </w:rPr>
        <w:t xml:space="preserve">, </w:t>
      </w:r>
      <w:r w:rsidRPr="00C92F30">
        <w:t>Montréal, Parti-pris, 1970, p. 55.</w:t>
      </w:r>
    </w:p>
  </w:footnote>
  <w:footnote w:id="1009">
    <w:p w:rsidR="004C50DC" w:rsidRDefault="004C50DC">
      <w:pPr>
        <w:pStyle w:val="Notedebasdepage"/>
      </w:pPr>
      <w:r>
        <w:rPr>
          <w:rStyle w:val="Appelnotedebasdep"/>
        </w:rPr>
        <w:footnoteRef/>
      </w:r>
      <w:r>
        <w:t xml:space="preserve"> </w:t>
      </w:r>
      <w:r>
        <w:tab/>
      </w:r>
      <w:r w:rsidRPr="00C92F30">
        <w:t>Pierre Bourdieu voit dans les conditions de l’habitus, « cette sorte de soumi</w:t>
      </w:r>
      <w:r w:rsidRPr="00C92F30">
        <w:t>s</w:t>
      </w:r>
      <w:r w:rsidRPr="00C92F30">
        <w:t xml:space="preserve">sion immédiate à l’ordre qui incline à faire de nécessité vertu, c’est-à-dire à refuser le refusé et à vouloir l’inévitable » ; Pierre Bourdieu, </w:t>
      </w:r>
      <w:r w:rsidRPr="00C92F30">
        <w:rPr>
          <w:i/>
        </w:rPr>
        <w:t>Le sens pratique</w:t>
      </w:r>
      <w:r w:rsidRPr="00C92F30">
        <w:t>, Paris, Minuit, 1980, p. 90.</w:t>
      </w:r>
    </w:p>
  </w:footnote>
  <w:footnote w:id="1010">
    <w:p w:rsidR="004C50DC" w:rsidRDefault="004C50DC">
      <w:pPr>
        <w:pStyle w:val="Notedebasdepage"/>
      </w:pPr>
      <w:r>
        <w:rPr>
          <w:rStyle w:val="Appelnotedebasdep"/>
        </w:rPr>
        <w:footnoteRef/>
      </w:r>
      <w:r>
        <w:t xml:space="preserve"> </w:t>
      </w:r>
      <w:r>
        <w:tab/>
      </w:r>
      <w:r w:rsidRPr="00C92F30">
        <w:t xml:space="preserve">Jacques Le Goff, </w:t>
      </w:r>
      <w:r w:rsidRPr="00C92F30">
        <w:rPr>
          <w:i/>
        </w:rPr>
        <w:t>Histoire et mémoire</w:t>
      </w:r>
      <w:r w:rsidRPr="00C92F30">
        <w:t>, Paris, Gallimard, 1988, p. 174.</w:t>
      </w:r>
    </w:p>
  </w:footnote>
  <w:footnote w:id="1011">
    <w:p w:rsidR="004C50DC" w:rsidRDefault="004C50DC">
      <w:pPr>
        <w:pStyle w:val="Notedebasdepage"/>
      </w:pPr>
      <w:r>
        <w:rPr>
          <w:rStyle w:val="Appelnotedebasdep"/>
        </w:rPr>
        <w:footnoteRef/>
      </w:r>
      <w:r>
        <w:t xml:space="preserve"> </w:t>
      </w:r>
      <w:r>
        <w:tab/>
      </w:r>
      <w:r w:rsidRPr="00C92F30">
        <w:t xml:space="preserve">Guy-André Roy, « L’Église et l’État, des partenaires », </w:t>
      </w:r>
      <w:r w:rsidRPr="00C92F30">
        <w:rPr>
          <w:i/>
        </w:rPr>
        <w:t>Continuité</w:t>
      </w:r>
      <w:r w:rsidRPr="00C92F30">
        <w:t>, n</w:t>
      </w:r>
      <w:r w:rsidRPr="00C92F30">
        <w:rPr>
          <w:vertAlign w:val="superscript"/>
        </w:rPr>
        <w:t>o</w:t>
      </w:r>
      <w:r w:rsidRPr="00C92F30">
        <w:t xml:space="preserve"> 25, 1984, p. 7, en ligne, </w:t>
      </w:r>
      <w:hyperlink r:id="rId155" w:history="1">
        <w:r w:rsidRPr="00C92F30">
          <w:rPr>
            <w:rStyle w:val="Lienhypertexte"/>
          </w:rPr>
          <w:t>http://id.erudit.org/iderudit/18498ac</w:t>
        </w:r>
      </w:hyperlink>
      <w:r w:rsidRPr="00C92F30">
        <w:t>, consulté le 12 juin 2015.</w:t>
      </w:r>
    </w:p>
  </w:footnote>
  <w:footnote w:id="1012">
    <w:p w:rsidR="004C50DC" w:rsidRPr="00C92F30" w:rsidRDefault="004C50DC" w:rsidP="004C50DC">
      <w:pPr>
        <w:pStyle w:val="Notedebasdepage"/>
      </w:pPr>
      <w:r w:rsidRPr="00377F88">
        <w:rPr>
          <w:rStyle w:val="Appelnotedebasdep"/>
        </w:rPr>
        <w:footnoteRef/>
      </w:r>
      <w:r>
        <w:tab/>
      </w:r>
      <w:r w:rsidRPr="00C92F30">
        <w:t xml:space="preserve">Joël Candau, </w:t>
      </w:r>
      <w:r w:rsidRPr="00C92F30">
        <w:rPr>
          <w:i/>
        </w:rPr>
        <w:t>Mémoire et identité</w:t>
      </w:r>
      <w:r w:rsidRPr="00C92F30">
        <w:t xml:space="preserve">, op. cit., p. 72-76. Cette idée a été reprise par Olivier Pulavar, « Mémoire, médiatisation et construction des identités », </w:t>
      </w:r>
      <w:r w:rsidRPr="00C92F30">
        <w:rPr>
          <w:i/>
        </w:rPr>
        <w:t>Ét</w:t>
      </w:r>
      <w:r w:rsidRPr="00C92F30">
        <w:rPr>
          <w:i/>
        </w:rPr>
        <w:t>u</w:t>
      </w:r>
      <w:r w:rsidRPr="00C92F30">
        <w:rPr>
          <w:i/>
        </w:rPr>
        <w:t>des caribéennes</w:t>
      </w:r>
      <w:r w:rsidRPr="00C92F30">
        <w:t xml:space="preserve">, en ligne, </w:t>
      </w:r>
      <w:hyperlink r:id="rId156" w:history="1">
        <w:r w:rsidRPr="00C92F30">
          <w:rPr>
            <w:rStyle w:val="Lienhypertexte"/>
            <w:color w:val="auto"/>
          </w:rPr>
          <w:t>http://etudescaribeennes.revues.org/390</w:t>
        </w:r>
      </w:hyperlink>
      <w:r w:rsidRPr="00C92F30">
        <w:t> ; DOI : 10.4000/études caribée</w:t>
      </w:r>
      <w:r w:rsidRPr="00C92F30">
        <w:t>n</w:t>
      </w:r>
      <w:r w:rsidRPr="00C92F30">
        <w:t>nes.390, consulté le 15 novembre 2014.</w:t>
      </w:r>
    </w:p>
  </w:footnote>
  <w:footnote w:id="1013">
    <w:p w:rsidR="004C50DC" w:rsidRDefault="004C50DC">
      <w:pPr>
        <w:pStyle w:val="Notedebasdepage"/>
      </w:pPr>
      <w:r>
        <w:rPr>
          <w:rStyle w:val="Appelnotedebasdep"/>
        </w:rPr>
        <w:footnoteRef/>
      </w:r>
      <w:r>
        <w:t xml:space="preserve"> </w:t>
      </w:r>
      <w:r>
        <w:tab/>
      </w:r>
      <w:r w:rsidRPr="00C92F30">
        <w:t xml:space="preserve">Tzvetan Todorov, </w:t>
      </w:r>
      <w:r w:rsidRPr="00C92F30">
        <w:rPr>
          <w:i/>
        </w:rPr>
        <w:t>Les abus de la mémoire</w:t>
      </w:r>
      <w:r w:rsidRPr="00C92F30">
        <w:t>, Paris, Arléa, 2004, p</w:t>
      </w:r>
      <w:r>
        <w:t>p</w:t>
      </w:r>
      <w:r w:rsidRPr="00C92F30">
        <w:t>. 31-32.</w:t>
      </w:r>
    </w:p>
  </w:footnote>
  <w:footnote w:id="1014">
    <w:p w:rsidR="004C50DC" w:rsidRDefault="004C50DC">
      <w:pPr>
        <w:pStyle w:val="Notedebasdepage"/>
      </w:pPr>
      <w:r>
        <w:rPr>
          <w:rStyle w:val="Appelnotedebasdep"/>
        </w:rPr>
        <w:footnoteRef/>
      </w:r>
      <w:r>
        <w:t xml:space="preserve"> </w:t>
      </w:r>
      <w:r>
        <w:tab/>
      </w:r>
      <w:r w:rsidRPr="00C92F30">
        <w:t xml:space="preserve">Jean-Didier Urbain, «Tourisme de mémoire. Un travail de deuil positif », </w:t>
      </w:r>
      <w:r w:rsidRPr="00C92F30">
        <w:rPr>
          <w:i/>
        </w:rPr>
        <w:t>C</w:t>
      </w:r>
      <w:r w:rsidRPr="00C92F30">
        <w:rPr>
          <w:i/>
        </w:rPr>
        <w:t>a</w:t>
      </w:r>
      <w:r w:rsidRPr="00C92F30">
        <w:rPr>
          <w:i/>
        </w:rPr>
        <w:t>hier Espaces</w:t>
      </w:r>
      <w:r w:rsidRPr="00C92F30">
        <w:t xml:space="preserve">, </w:t>
      </w:r>
      <w:r w:rsidRPr="00C92F30">
        <w:rPr>
          <w:i/>
        </w:rPr>
        <w:t>Tourisme de mémoire</w:t>
      </w:r>
      <w:r w:rsidRPr="00C92F30">
        <w:t>, n</w:t>
      </w:r>
      <w:r w:rsidRPr="00C92F30">
        <w:rPr>
          <w:vertAlign w:val="superscript"/>
        </w:rPr>
        <w:t>o</w:t>
      </w:r>
      <w:r w:rsidRPr="00C92F30">
        <w:t xml:space="preserve"> 80, décembre 2003, </w:t>
      </w:r>
      <w:r>
        <w:t>p</w:t>
      </w:r>
      <w:r w:rsidRPr="00C92F30">
        <w:t xml:space="preserve">p. 5-7. </w:t>
      </w:r>
    </w:p>
  </w:footnote>
  <w:footnote w:id="1015">
    <w:p w:rsidR="004C50DC" w:rsidRDefault="004C50DC">
      <w:pPr>
        <w:pStyle w:val="Notedebasdepage"/>
      </w:pPr>
      <w:r>
        <w:rPr>
          <w:rStyle w:val="Appelnotedebasdep"/>
        </w:rPr>
        <w:footnoteRef/>
      </w:r>
      <w:r>
        <w:t xml:space="preserve"> </w:t>
      </w:r>
      <w:r>
        <w:tab/>
      </w:r>
      <w:r w:rsidRPr="00C92F30">
        <w:t xml:space="preserve">Ibid., p. 6 ; voir </w:t>
      </w:r>
      <w:r w:rsidRPr="00C92F30">
        <w:rPr>
          <w:rFonts w:eastAsia="Arial Unicode MS"/>
          <w:lang w:eastAsia="hi-IN" w:bidi="hi-IN"/>
        </w:rPr>
        <w:t xml:space="preserve">aussi Dean MacCannell, « Tourisme et identité culturelle », </w:t>
      </w:r>
      <w:r w:rsidRPr="00C92F30">
        <w:rPr>
          <w:rFonts w:eastAsia="Arial Unicode MS"/>
          <w:i/>
          <w:lang w:eastAsia="hi-IN" w:bidi="hi-IN"/>
        </w:rPr>
        <w:t>Communitas</w:t>
      </w:r>
      <w:r w:rsidRPr="00C92F30">
        <w:rPr>
          <w:rFonts w:eastAsia="Arial Unicode MS"/>
          <w:lang w:eastAsia="hi-IN" w:bidi="hi-IN"/>
        </w:rPr>
        <w:t xml:space="preserve"> no 43,1986, p</w:t>
      </w:r>
      <w:r>
        <w:rPr>
          <w:rFonts w:eastAsia="Arial Unicode MS"/>
          <w:lang w:eastAsia="hi-IN" w:bidi="hi-IN"/>
        </w:rPr>
        <w:t>p</w:t>
      </w:r>
      <w:r w:rsidRPr="00C92F30">
        <w:rPr>
          <w:rFonts w:eastAsia="Arial Unicode MS"/>
          <w:lang w:eastAsia="hi-IN" w:bidi="hi-IN"/>
        </w:rPr>
        <w:t xml:space="preserve">. 169-186. </w:t>
      </w:r>
    </w:p>
  </w:footnote>
  <w:footnote w:id="1016">
    <w:p w:rsidR="004C50DC" w:rsidRDefault="004C50DC">
      <w:pPr>
        <w:pStyle w:val="Notedebasdepage"/>
      </w:pPr>
      <w:r>
        <w:rPr>
          <w:rStyle w:val="Appelnotedebasdep"/>
        </w:rPr>
        <w:footnoteRef/>
      </w:r>
      <w:r>
        <w:t xml:space="preserve"> </w:t>
      </w:r>
      <w:r>
        <w:tab/>
      </w:r>
      <w:r w:rsidRPr="00C92F30">
        <w:t>Jean-Didier Urbain, op.cit., p</w:t>
      </w:r>
      <w:r>
        <w:t>p</w:t>
      </w:r>
      <w:r w:rsidRPr="00C92F30">
        <w:t>. 6-7.</w:t>
      </w:r>
    </w:p>
  </w:footnote>
  <w:footnote w:id="1017">
    <w:p w:rsidR="004C50DC" w:rsidRDefault="004C50DC">
      <w:pPr>
        <w:pStyle w:val="Notedebasdepage"/>
      </w:pPr>
      <w:r>
        <w:rPr>
          <w:rStyle w:val="Appelnotedebasdep"/>
        </w:rPr>
        <w:footnoteRef/>
      </w:r>
      <w:r>
        <w:t xml:space="preserve"> </w:t>
      </w:r>
      <w:r>
        <w:tab/>
      </w:r>
      <w:r w:rsidRPr="00C92F30">
        <w:t>La bataille de Vertières (18 novembre 1803) représente la consécration de la Révolution d’Indépendance d’Haïti.</w:t>
      </w:r>
    </w:p>
  </w:footnote>
  <w:footnote w:id="1018">
    <w:p w:rsidR="004C50DC" w:rsidRPr="00C92F30" w:rsidRDefault="004C50DC" w:rsidP="004C50DC">
      <w:pPr>
        <w:pStyle w:val="Notedebasdepage"/>
      </w:pPr>
      <w:r w:rsidRPr="00377F88">
        <w:rPr>
          <w:rStyle w:val="Appelnotedebasdep"/>
        </w:rPr>
        <w:footnoteRef/>
      </w:r>
      <w:r>
        <w:tab/>
      </w:r>
      <w:r w:rsidRPr="00C92F30">
        <w:t xml:space="preserve">Ce sont deux expressions employées par Doudou Diène pour présenter les facteurs incitateurs du projet de « la Route de l’esclave » de l’UNESCO ; Doudou Diène, « Exposer la résistance culturelle de l’esclave », </w:t>
      </w:r>
      <w:r w:rsidRPr="00C92F30">
        <w:rPr>
          <w:i/>
        </w:rPr>
        <w:t>Africult</w:t>
      </w:r>
      <w:r w:rsidRPr="00C92F30">
        <w:rPr>
          <w:i/>
        </w:rPr>
        <w:t>u</w:t>
      </w:r>
      <w:r w:rsidRPr="00C92F30">
        <w:rPr>
          <w:i/>
        </w:rPr>
        <w:t>res</w:t>
      </w:r>
      <w:r w:rsidRPr="00C92F30">
        <w:t>, vol.1, n° 91, DOI : 10.3917/afcul.091.0020, 2013, p. 20.</w:t>
      </w:r>
    </w:p>
  </w:footnote>
  <w:footnote w:id="1019">
    <w:p w:rsidR="004C50DC" w:rsidRDefault="004C50DC">
      <w:pPr>
        <w:pStyle w:val="Notedebasdepage"/>
      </w:pPr>
      <w:r>
        <w:rPr>
          <w:rStyle w:val="Appelnotedebasdep"/>
        </w:rPr>
        <w:footnoteRef/>
      </w:r>
      <w:r>
        <w:t xml:space="preserve"> </w:t>
      </w:r>
      <w:r>
        <w:tab/>
      </w:r>
      <w:r w:rsidRPr="00C92F30">
        <w:rPr>
          <w:lang w:val="fr-FR"/>
        </w:rPr>
        <w:t xml:space="preserve">Voir  Giselle  Hyvert et Loic Ménanteau, </w:t>
      </w:r>
      <w:r w:rsidRPr="00C92F30">
        <w:rPr>
          <w:rStyle w:val="Accentuation"/>
          <w:lang w:val="fr-FR"/>
        </w:rPr>
        <w:t>Projet « Route 2004 » : Prote</w:t>
      </w:r>
      <w:r w:rsidRPr="00C92F30">
        <w:rPr>
          <w:rStyle w:val="Accentuation"/>
          <w:lang w:val="fr-FR"/>
        </w:rPr>
        <w:t>c</w:t>
      </w:r>
      <w:r w:rsidRPr="00C92F30">
        <w:rPr>
          <w:rStyle w:val="Accentuation"/>
          <w:lang w:val="fr-FR"/>
        </w:rPr>
        <w:t>tion et valorisation des richesses historiques, culturelles et des ressources nature</w:t>
      </w:r>
      <w:r w:rsidRPr="00C92F30">
        <w:rPr>
          <w:rStyle w:val="Accentuation"/>
          <w:lang w:val="fr-FR"/>
        </w:rPr>
        <w:t>l</w:t>
      </w:r>
      <w:r w:rsidRPr="00C92F30">
        <w:rPr>
          <w:rStyle w:val="Accentuation"/>
          <w:lang w:val="fr-FR"/>
        </w:rPr>
        <w:t>les</w:t>
      </w:r>
      <w:r w:rsidRPr="00C92F30">
        <w:rPr>
          <w:rStyle w:val="Accentuation"/>
          <w:i w:val="0"/>
          <w:lang w:val="fr-FR"/>
        </w:rPr>
        <w:t xml:space="preserve">, en ligne, </w:t>
      </w:r>
      <w:hyperlink r:id="rId157" w:anchor="5" w:history="1">
        <w:r w:rsidRPr="00C92F30">
          <w:rPr>
            <w:rStyle w:val="Lienhypertexte"/>
            <w:lang w:val="fr-FR"/>
          </w:rPr>
          <w:t>http://www.unesco.org/csi/pub/papers/papf24.htm#5</w:t>
        </w:r>
      </w:hyperlink>
      <w:r w:rsidRPr="00C92F30">
        <w:rPr>
          <w:rStyle w:val="Accentuation"/>
          <w:lang w:val="fr-FR"/>
        </w:rPr>
        <w:t xml:space="preserve">, </w:t>
      </w:r>
      <w:r w:rsidRPr="00C92F30">
        <w:rPr>
          <w:rStyle w:val="Accentuation"/>
          <w:i w:val="0"/>
          <w:lang w:val="fr-FR"/>
        </w:rPr>
        <w:t>consulté le 24 n</w:t>
      </w:r>
      <w:r w:rsidRPr="00C92F30">
        <w:rPr>
          <w:rStyle w:val="Accentuation"/>
          <w:i w:val="0"/>
          <w:lang w:val="fr-FR"/>
        </w:rPr>
        <w:t>o</w:t>
      </w:r>
      <w:r w:rsidRPr="00C92F30">
        <w:rPr>
          <w:rStyle w:val="Accentuation"/>
          <w:i w:val="0"/>
          <w:lang w:val="fr-FR"/>
        </w:rPr>
        <w:t>vembre 2014.</w:t>
      </w:r>
    </w:p>
  </w:footnote>
  <w:footnote w:id="1020">
    <w:p w:rsidR="004C50DC" w:rsidRDefault="004C50DC">
      <w:pPr>
        <w:pStyle w:val="Notedebasdepage"/>
      </w:pPr>
      <w:r>
        <w:rPr>
          <w:rStyle w:val="Appelnotedebasdep"/>
        </w:rPr>
        <w:footnoteRef/>
      </w:r>
      <w:r>
        <w:t xml:space="preserve"> </w:t>
      </w:r>
      <w:r>
        <w:tab/>
      </w:r>
      <w:r w:rsidRPr="00C92F30">
        <w:t>Le ministère haïtien de la Culture se charge de la sauvegarde et de la m</w:t>
      </w:r>
      <w:r w:rsidRPr="00C92F30">
        <w:t>i</w:t>
      </w:r>
      <w:r w:rsidRPr="00C92F30">
        <w:t>se en valeur des monuments, sites et bâtiments à valeur historique et culturelle à travers des  organismes spécialisés comme l’Institut de sauvegarde du patr</w:t>
      </w:r>
      <w:r w:rsidRPr="00C92F30">
        <w:t>i</w:t>
      </w:r>
      <w:r w:rsidRPr="00C92F30">
        <w:t>moine national (ISPAN) et le Bureau national d’ethnologie.</w:t>
      </w:r>
    </w:p>
  </w:footnote>
  <w:footnote w:id="1021">
    <w:p w:rsidR="004C50DC" w:rsidRDefault="004C50DC">
      <w:pPr>
        <w:pStyle w:val="Notedebasdepage"/>
      </w:pPr>
      <w:r>
        <w:rPr>
          <w:rStyle w:val="Appelnotedebasdep"/>
        </w:rPr>
        <w:footnoteRef/>
      </w:r>
      <w:r>
        <w:t xml:space="preserve"> </w:t>
      </w:r>
      <w:r>
        <w:tab/>
      </w:r>
      <w:r w:rsidRPr="00C92F30">
        <w:t>Le projet « Route 2004 » du Ministère de la Culture a été financé par le PNUD (projet HAI/010) ; voir, en l</w:t>
      </w:r>
      <w:r w:rsidRPr="00C92F30">
        <w:t>i</w:t>
      </w:r>
      <w:r w:rsidRPr="00C92F30">
        <w:t>gne,</w:t>
      </w:r>
      <w:r>
        <w:br/>
      </w:r>
      <w:hyperlink r:id="rId158" w:history="1">
        <w:r w:rsidRPr="00C92F30">
          <w:rPr>
            <w:rStyle w:val="Lienhypertexte"/>
          </w:rPr>
          <w:t>http://www.un.org/esa/agenda21/natlinfo/countr/haiti/eco.htm</w:t>
        </w:r>
      </w:hyperlink>
      <w:r w:rsidRPr="00C92F30">
        <w:t>, consulté le 11 janvier 2015.</w:t>
      </w:r>
    </w:p>
  </w:footnote>
  <w:footnote w:id="1022">
    <w:p w:rsidR="004C50DC" w:rsidRPr="00C92F30" w:rsidRDefault="004C50DC" w:rsidP="004C50DC">
      <w:pPr>
        <w:pStyle w:val="Notedebasdepage"/>
      </w:pPr>
      <w:r w:rsidRPr="00377F88">
        <w:rPr>
          <w:rStyle w:val="Appelnotedebasdep"/>
        </w:rPr>
        <w:footnoteRef/>
      </w:r>
      <w:r>
        <w:tab/>
      </w:r>
      <w:r w:rsidRPr="00C92F30">
        <w:t>Ce projet touche les grandes lignes élaborées en 1995 par la Secrétairerie d’État du Tourisme en collaboration avec les partenaires du secteur privé dans le Plan directeur du Tourisme publié en juin 1996. À ce sujet, voir M</w:t>
      </w:r>
      <w:r w:rsidRPr="00C92F30">
        <w:t>i</w:t>
      </w:r>
      <w:r w:rsidRPr="00C92F30">
        <w:t xml:space="preserve">nistère du Tourisme, </w:t>
      </w:r>
      <w:r w:rsidRPr="00C92F30">
        <w:rPr>
          <w:i/>
          <w:lang w:eastAsia="ja-JP"/>
        </w:rPr>
        <w:t>Contribution du Secteur Tourisme à Élaboration du DSRP (Pr</w:t>
      </w:r>
      <w:r w:rsidRPr="00C92F30">
        <w:rPr>
          <w:i/>
          <w:lang w:eastAsia="ja-JP"/>
        </w:rPr>
        <w:t>e</w:t>
      </w:r>
      <w:r w:rsidRPr="00C92F30">
        <w:rPr>
          <w:i/>
          <w:lang w:eastAsia="ja-JP"/>
        </w:rPr>
        <w:t>mière esquisse)</w:t>
      </w:r>
      <w:r w:rsidRPr="00C92F30">
        <w:rPr>
          <w:i/>
        </w:rPr>
        <w:t>,</w:t>
      </w:r>
      <w:r w:rsidRPr="00C92F30">
        <w:t xml:space="preserve"> décembre 2003, p.3.</w:t>
      </w:r>
    </w:p>
  </w:footnote>
  <w:footnote w:id="1023">
    <w:p w:rsidR="004C50DC" w:rsidRDefault="004C50DC">
      <w:pPr>
        <w:pStyle w:val="Notedebasdepage"/>
      </w:pPr>
      <w:r>
        <w:rPr>
          <w:rStyle w:val="Appelnotedebasdep"/>
        </w:rPr>
        <w:footnoteRef/>
      </w:r>
      <w:r>
        <w:t xml:space="preserve"> </w:t>
      </w:r>
      <w:r>
        <w:tab/>
      </w:r>
      <w:r w:rsidRPr="00C92F30">
        <w:t>Giselle  Hyvert et Loic Ménanteau, op. cit., en l</w:t>
      </w:r>
      <w:r w:rsidRPr="00C92F30">
        <w:t>i</w:t>
      </w:r>
      <w:r w:rsidRPr="00C92F30">
        <w:t>gne,</w:t>
      </w:r>
      <w:r>
        <w:t xml:space="preserve"> </w:t>
      </w:r>
      <w:hyperlink r:id="rId159" w:anchor="5" w:history="1">
        <w:r w:rsidRPr="00C92F30">
          <w:rPr>
            <w:rStyle w:val="Lienhypertexte"/>
            <w:lang w:val="fr-FR"/>
          </w:rPr>
          <w:t>http://www.unesco.org/csi/pub/papers/papf24.htm#5</w:t>
        </w:r>
      </w:hyperlink>
      <w:r w:rsidRPr="00C92F30">
        <w:rPr>
          <w:rStyle w:val="Accentuation"/>
          <w:lang w:val="fr-FR"/>
        </w:rPr>
        <w:t xml:space="preserve">, </w:t>
      </w:r>
      <w:r w:rsidRPr="00C92F30">
        <w:rPr>
          <w:rStyle w:val="Accentuation"/>
          <w:i w:val="0"/>
          <w:lang w:val="fr-FR"/>
        </w:rPr>
        <w:t>consulté le 24 nove</w:t>
      </w:r>
      <w:r w:rsidRPr="00C92F30">
        <w:rPr>
          <w:rStyle w:val="Accentuation"/>
          <w:i w:val="0"/>
          <w:lang w:val="fr-FR"/>
        </w:rPr>
        <w:t>m</w:t>
      </w:r>
      <w:r w:rsidRPr="00C92F30">
        <w:rPr>
          <w:rStyle w:val="Accentuation"/>
          <w:i w:val="0"/>
          <w:lang w:val="fr-FR"/>
        </w:rPr>
        <w:t>bre 2014.</w:t>
      </w:r>
    </w:p>
  </w:footnote>
  <w:footnote w:id="1024">
    <w:p w:rsidR="004C50DC" w:rsidRDefault="004C50DC">
      <w:pPr>
        <w:pStyle w:val="Notedebasdepage"/>
      </w:pPr>
      <w:r>
        <w:rPr>
          <w:rStyle w:val="Appelnotedebasdep"/>
        </w:rPr>
        <w:footnoteRef/>
      </w:r>
      <w:r>
        <w:t xml:space="preserve"> </w:t>
      </w:r>
      <w:r>
        <w:tab/>
      </w:r>
      <w:r w:rsidRPr="00C92F30">
        <w:rPr>
          <w:rFonts w:eastAsia="Arial Unicode MS"/>
          <w:lang w:eastAsia="hi-IN"/>
        </w:rPr>
        <w:t>Hubert</w:t>
      </w:r>
      <w:r>
        <w:rPr>
          <w:rFonts w:eastAsia="Arial Unicode MS"/>
          <w:lang w:eastAsia="hi-IN"/>
        </w:rPr>
        <w:t xml:space="preserve"> </w:t>
      </w:r>
      <w:r w:rsidRPr="00C92F30">
        <w:rPr>
          <w:rFonts w:eastAsia="Arial Unicode MS"/>
          <w:lang w:eastAsia="hi-IN"/>
        </w:rPr>
        <w:t>Maheux</w:t>
      </w:r>
      <w:r>
        <w:rPr>
          <w:rFonts w:eastAsia="Arial Unicode MS"/>
          <w:lang w:eastAsia="hi-IN"/>
        </w:rPr>
        <w:t xml:space="preserve"> </w:t>
      </w:r>
      <w:r w:rsidRPr="00C92F30">
        <w:rPr>
          <w:rFonts w:eastAsia="Arial Unicode MS"/>
          <w:lang w:eastAsia="hi-IN"/>
        </w:rPr>
        <w:t>et Marc</w:t>
      </w:r>
      <w:r>
        <w:rPr>
          <w:rFonts w:eastAsia="Arial Unicode MS"/>
          <w:lang w:eastAsia="hi-IN"/>
        </w:rPr>
        <w:t xml:space="preserve"> </w:t>
      </w:r>
      <w:r w:rsidRPr="00C92F30">
        <w:rPr>
          <w:rFonts w:eastAsia="Arial Unicode MS"/>
          <w:lang w:eastAsia="hi-IN"/>
        </w:rPr>
        <w:t xml:space="preserve">Pabois, « Haïti », In </w:t>
      </w:r>
      <w:r w:rsidRPr="00377F88">
        <w:rPr>
          <w:rFonts w:eastAsia="Arial Unicode MS"/>
          <w:i/>
          <w:lang w:eastAsia="hi-IN"/>
        </w:rPr>
        <w:t>Situ. Revue des patrimoines</w:t>
      </w:r>
      <w:r w:rsidRPr="00C92F30">
        <w:rPr>
          <w:rFonts w:eastAsia="Arial Unicode MS"/>
          <w:lang w:eastAsia="hi-IN"/>
        </w:rPr>
        <w:t>, no 3, 2003, en ligne,</w:t>
      </w:r>
      <w:r>
        <w:rPr>
          <w:rFonts w:eastAsia="Arial Unicode MS"/>
          <w:lang w:eastAsia="hi-IN"/>
        </w:rPr>
        <w:t xml:space="preserve"> </w:t>
      </w:r>
      <w:r w:rsidRPr="00C92F30">
        <w:rPr>
          <w:rFonts w:eastAsia="Arial Unicode MS"/>
          <w:lang w:eastAsia="hi-IN"/>
        </w:rPr>
        <w:t>http://insitu.revues.org/2061; DOI : 10.4000/insitu.2061, consulté le 4 mars 2015.</w:t>
      </w:r>
    </w:p>
  </w:footnote>
  <w:footnote w:id="1025">
    <w:p w:rsidR="004C50DC" w:rsidRDefault="004C50DC">
      <w:pPr>
        <w:pStyle w:val="Notedebasdepage"/>
      </w:pPr>
      <w:r>
        <w:rPr>
          <w:rStyle w:val="Appelnotedebasdep"/>
        </w:rPr>
        <w:footnoteRef/>
      </w:r>
      <w:r>
        <w:t xml:space="preserve"> </w:t>
      </w:r>
      <w:r>
        <w:tab/>
      </w:r>
      <w:r w:rsidRPr="00C92F30">
        <w:t>Carlo Avierl Célius, « Haïti : histoire, mémoire, patrimoine », dans Haïti, m</w:t>
      </w:r>
      <w:r w:rsidRPr="00C92F30">
        <w:t>a</w:t>
      </w:r>
      <w:r w:rsidRPr="00C92F30">
        <w:t>tières premières, Les cahiers des anneaux de la mémoire, n°6,  Paris, Karth</w:t>
      </w:r>
      <w:r w:rsidRPr="00C92F30">
        <w:t>a</w:t>
      </w:r>
      <w:r w:rsidRPr="00C92F30">
        <w:t>la, 2004, p. 198.</w:t>
      </w:r>
    </w:p>
  </w:footnote>
  <w:footnote w:id="1026">
    <w:p w:rsidR="004C50DC" w:rsidRDefault="004C50DC">
      <w:pPr>
        <w:pStyle w:val="Notedebasdepage"/>
      </w:pPr>
      <w:r>
        <w:rPr>
          <w:rStyle w:val="Appelnotedebasdep"/>
        </w:rPr>
        <w:footnoteRef/>
      </w:r>
      <w:r>
        <w:t xml:space="preserve"> </w:t>
      </w:r>
      <w:r>
        <w:tab/>
      </w:r>
      <w:r w:rsidRPr="00C92F30">
        <w:t xml:space="preserve">À ce sujet voir Jacques de Cauna, « Patrimoine et mémoire de l’esclavage en Haïti… »,op. cit. Voir aussi le rapport PNUD/UNESCOpour la création d’un écomusée du Nord en Haïti (projet 95/010 </w:t>
      </w:r>
      <w:r w:rsidRPr="00C92F30">
        <w:rPr>
          <w:i/>
          <w:iCs/>
        </w:rPr>
        <w:t>Haïti, Route 2004</w:t>
      </w:r>
      <w:r w:rsidRPr="00C92F30">
        <w:t>, consultance e</w:t>
      </w:r>
      <w:r w:rsidRPr="00C92F30">
        <w:t>x</w:t>
      </w:r>
      <w:r w:rsidRPr="00C92F30">
        <w:t>terne, juin 1996, p. 1-49, et annexes p. 50-69 ; sources : archives, plans et ca</w:t>
      </w:r>
      <w:r w:rsidRPr="00C92F30">
        <w:t>r</w:t>
      </w:r>
      <w:r w:rsidRPr="00C92F30">
        <w:t>tes d’époque, terrain, papiers de famille… Principales habitations et sites ét</w:t>
      </w:r>
      <w:r w:rsidRPr="00C92F30">
        <w:t>u</w:t>
      </w:r>
      <w:r w:rsidRPr="00C92F30">
        <w:t>diés : La Voûte, Saint-Martin, Pères de la Charité, Vertières, Charrier, Bréda, Ducommun, Le Normand de Mézy, Bois-Caïman, Dhéricourt, Vaudreuil, Lombard (Haut-du-Cap, Plaine-du-Nord, Morne-Rouge), Desglaireaux, D</w:t>
      </w:r>
      <w:r w:rsidRPr="00C92F30">
        <w:t>u</w:t>
      </w:r>
      <w:r w:rsidRPr="00C92F30">
        <w:t>plàa ou Galman Dupla ou Les Délices de la Reine, Charritte, Détrel ou De</w:t>
      </w:r>
      <w:r w:rsidRPr="00C92F30">
        <w:t>s</w:t>
      </w:r>
      <w:r w:rsidRPr="00C92F30">
        <w:t>treilles, Chastenoye, Nazon, bourg du Morin, Guillodeu, Clérisse, Héritiers Le Fèvre, Grand-Pré ou La Victoire, Magdeline ou Portelance, Beaujau ou Bou</w:t>
      </w:r>
      <w:r w:rsidRPr="00C92F30">
        <w:t>r</w:t>
      </w:r>
      <w:r w:rsidRPr="00C92F30">
        <w:t>jo, Lalande-Gayon (Quartier-Morin), Galliffet (les trois sucreries : Grande Place, La Gossette et Desplantes), Bongars, le bourg ou embarcadère, Saint-Michel, Pécome, Cho</w:t>
      </w:r>
      <w:r w:rsidRPr="00C92F30">
        <w:t>i</w:t>
      </w:r>
      <w:r w:rsidRPr="00C92F30">
        <w:t>seul, Mazères, Baubert, Le Fêvre, Montégut, Gabriac Saint-Paulet, Brossard, Beaunay de Boi</w:t>
      </w:r>
      <w:r w:rsidRPr="00C92F30">
        <w:t>s</w:t>
      </w:r>
      <w:r w:rsidRPr="00C92F30">
        <w:t>himont et Beaunay Dutôt (La Petite-Anse).</w:t>
      </w:r>
    </w:p>
  </w:footnote>
  <w:footnote w:id="1027">
    <w:p w:rsidR="004C50DC" w:rsidRDefault="004C50DC">
      <w:pPr>
        <w:pStyle w:val="Notedebasdepage"/>
      </w:pPr>
      <w:r>
        <w:rPr>
          <w:rStyle w:val="Appelnotedebasdep"/>
        </w:rPr>
        <w:footnoteRef/>
      </w:r>
      <w:r>
        <w:t xml:space="preserve"> </w:t>
      </w:r>
      <w:r>
        <w:tab/>
      </w:r>
      <w:r w:rsidRPr="00C92F30">
        <w:t xml:space="preserve">Giselle  Hyvert et Loic Ménanteau, op. cit. </w:t>
      </w:r>
    </w:p>
  </w:footnote>
  <w:footnote w:id="1028">
    <w:p w:rsidR="004C50DC" w:rsidRDefault="004C50DC">
      <w:pPr>
        <w:pStyle w:val="Notedebasdepage"/>
      </w:pPr>
      <w:r>
        <w:rPr>
          <w:rStyle w:val="Appelnotedebasdep"/>
        </w:rPr>
        <w:footnoteRef/>
      </w:r>
      <w:r>
        <w:t xml:space="preserve"> </w:t>
      </w:r>
      <w:r>
        <w:tab/>
      </w:r>
      <w:r w:rsidRPr="00C92F30">
        <w:t>Loïc Ménantean, « Atlas côtier du Nord-Est d’Haïti. Environnement et patr</w:t>
      </w:r>
      <w:r w:rsidRPr="00C92F30">
        <w:t>i</w:t>
      </w:r>
      <w:r w:rsidRPr="00C92F30">
        <w:t>moine culturel de la région de Fort-Liberté », en l</w:t>
      </w:r>
      <w:r w:rsidRPr="00C92F30">
        <w:t>i</w:t>
      </w:r>
      <w:r w:rsidRPr="00C92F30">
        <w:t>gne,</w:t>
      </w:r>
      <w:r>
        <w:t xml:space="preserve"> </w:t>
      </w:r>
      <w:hyperlink r:id="rId160" w:history="1">
        <w:r w:rsidRPr="00C92F30">
          <w:rPr>
            <w:rStyle w:val="Lienhypertexte"/>
          </w:rPr>
          <w:t>http://www.unesco.org/csi/pub/papers/papf211.htm</w:t>
        </w:r>
      </w:hyperlink>
      <w:r w:rsidRPr="00C92F30">
        <w:t>, consulté le 6 nove</w:t>
      </w:r>
      <w:r w:rsidRPr="00C92F30">
        <w:t>m</w:t>
      </w:r>
      <w:r w:rsidRPr="00C92F30">
        <w:t xml:space="preserve">bre 2014. </w:t>
      </w:r>
    </w:p>
  </w:footnote>
  <w:footnote w:id="1029">
    <w:p w:rsidR="004C50DC" w:rsidRDefault="004C50DC">
      <w:pPr>
        <w:pStyle w:val="Notedebasdepage"/>
      </w:pPr>
      <w:r>
        <w:rPr>
          <w:rStyle w:val="Appelnotedebasdep"/>
        </w:rPr>
        <w:footnoteRef/>
      </w:r>
      <w:r>
        <w:t xml:space="preserve"> </w:t>
      </w:r>
      <w:r>
        <w:tab/>
      </w:r>
      <w:r w:rsidRPr="00C92F30">
        <w:t>Voir Olsen Jean Julien, « Enjeux du Tourisme durable en Haïti face au par</w:t>
      </w:r>
      <w:r w:rsidRPr="00C92F30">
        <w:t>a</w:t>
      </w:r>
      <w:r w:rsidRPr="00C92F30">
        <w:t>digme actuel en gestion de sites à haute valeur culturelle - Le cas du Parc N</w:t>
      </w:r>
      <w:r w:rsidRPr="00C92F30">
        <w:t>a</w:t>
      </w:r>
      <w:r w:rsidRPr="00C92F30">
        <w:t>tional Historique : Citadelle, Sans Souci, Ramiers », ICOMOS, 16</w:t>
      </w:r>
      <w:r w:rsidRPr="00C92F30">
        <w:rPr>
          <w:vertAlign w:val="superscript"/>
        </w:rPr>
        <w:t>e</w:t>
      </w:r>
      <w:r w:rsidRPr="00C92F30">
        <w:t xml:space="preserve">Assemblée générale et symposium scientifique, 29 septembre-4 octobre 2008, Québec. </w:t>
      </w:r>
    </w:p>
  </w:footnote>
  <w:footnote w:id="1030">
    <w:p w:rsidR="004C50DC" w:rsidRPr="00C92F30" w:rsidRDefault="004C50DC" w:rsidP="004C50DC">
      <w:pPr>
        <w:pStyle w:val="Notedebasdepage"/>
      </w:pPr>
      <w:r w:rsidRPr="00377F88">
        <w:rPr>
          <w:rStyle w:val="Appelnotedebasdep"/>
        </w:rPr>
        <w:footnoteRef/>
      </w:r>
      <w:r>
        <w:tab/>
      </w:r>
      <w:r w:rsidRPr="00C92F30">
        <w:t>Ministère du Tourisme, op. cit., p. 6.</w:t>
      </w:r>
    </w:p>
  </w:footnote>
  <w:footnote w:id="1031">
    <w:p w:rsidR="004C50DC" w:rsidRPr="00C92F30" w:rsidRDefault="004C50DC" w:rsidP="004C50DC">
      <w:pPr>
        <w:pStyle w:val="Notedebasdepage"/>
      </w:pPr>
      <w:r w:rsidRPr="00377F88">
        <w:rPr>
          <w:rStyle w:val="Appelnotedebasdep"/>
        </w:rPr>
        <w:footnoteRef/>
      </w:r>
      <w:r>
        <w:tab/>
      </w:r>
      <w:r w:rsidRPr="00C92F30">
        <w:t xml:space="preserve">Voir Myriam Simard, « Les entreprises culturelles en milieu rural : poumons des communautés locales ? », </w:t>
      </w:r>
      <w:r w:rsidRPr="00C92F30">
        <w:rPr>
          <w:i/>
        </w:rPr>
        <w:t xml:space="preserve">Économie et Solidarités, </w:t>
      </w:r>
      <w:r w:rsidRPr="00C92F30">
        <w:t>volume 38, n</w:t>
      </w:r>
      <w:r w:rsidRPr="00C92F30">
        <w:rPr>
          <w:vertAlign w:val="superscript"/>
        </w:rPr>
        <w:t>o</w:t>
      </w:r>
      <w:r w:rsidRPr="00C92F30">
        <w:t> 2</w:t>
      </w:r>
      <w:r w:rsidRPr="00C92F30">
        <w:rPr>
          <w:i/>
        </w:rPr>
        <w:t xml:space="preserve">, </w:t>
      </w:r>
      <w:r w:rsidRPr="00C92F30">
        <w:t>2007</w:t>
      </w:r>
      <w:r w:rsidRPr="00C92F30">
        <w:rPr>
          <w:i/>
        </w:rPr>
        <w:t xml:space="preserve">, </w:t>
      </w:r>
      <w:r w:rsidRPr="00C92F30">
        <w:t>p. 169.</w:t>
      </w:r>
    </w:p>
  </w:footnote>
  <w:footnote w:id="1032">
    <w:p w:rsidR="004C50DC" w:rsidRPr="00C92F30" w:rsidRDefault="004C50DC" w:rsidP="004C50DC">
      <w:pPr>
        <w:pStyle w:val="Notedebasdepage"/>
      </w:pPr>
      <w:r w:rsidRPr="00377F88">
        <w:rPr>
          <w:rStyle w:val="Appelnotedebasdep"/>
        </w:rPr>
        <w:footnoteRef/>
      </w:r>
      <w:r>
        <w:tab/>
      </w:r>
      <w:r w:rsidRPr="00C92F30">
        <w:t xml:space="preserve">UNESCO, Mise en œuvre du projet « La route de l’esclave » (Résolution 27 C/3.13), 1993, en ligne, </w:t>
      </w:r>
      <w:hyperlink r:id="rId161" w:history="1">
        <w:r w:rsidRPr="00C92F30">
          <w:rPr>
            <w:rStyle w:val="Lienhypertexte"/>
            <w:color w:val="auto"/>
          </w:rPr>
          <w:t>http://unesdoc.unesco.org/</w:t>
        </w:r>
      </w:hyperlink>
      <w:r w:rsidRPr="00C92F30">
        <w:t xml:space="preserve">, consulté le 20 juin 2014 ; voir aussi UNESCO, « la Route de l’esclave », </w:t>
      </w:r>
      <w:r w:rsidRPr="00C92F30">
        <w:rPr>
          <w:i/>
        </w:rPr>
        <w:t>Bulletin d’information</w:t>
      </w:r>
      <w:r w:rsidRPr="00C92F30">
        <w:t>, n</w:t>
      </w:r>
      <w:r w:rsidRPr="00C92F30">
        <w:rPr>
          <w:vertAlign w:val="superscript"/>
        </w:rPr>
        <w:t>o</w:t>
      </w:r>
      <w:r w:rsidRPr="00C92F30">
        <w:t> 1, 2000, p. 2.</w:t>
      </w:r>
    </w:p>
  </w:footnote>
  <w:footnote w:id="1033">
    <w:p w:rsidR="004C50DC" w:rsidRDefault="004C50DC">
      <w:pPr>
        <w:pStyle w:val="Notedebasdepage"/>
      </w:pPr>
      <w:r>
        <w:rPr>
          <w:rStyle w:val="Appelnotedebasdep"/>
        </w:rPr>
        <w:footnoteRef/>
      </w:r>
      <w:r>
        <w:t xml:space="preserve"> </w:t>
      </w:r>
      <w:r>
        <w:tab/>
      </w:r>
      <w:r w:rsidRPr="00C92F30">
        <w:rPr>
          <w:color w:val="auto"/>
          <w:lang w:val="fr-FR"/>
        </w:rPr>
        <w:t xml:space="preserve">UNESCO, « La Route de l’esclave : 1994-2014. Le chemin parcouru », en ligne, </w:t>
      </w:r>
      <w:hyperlink r:id="rId162" w:history="1">
        <w:r w:rsidRPr="00C92F30">
          <w:rPr>
            <w:rStyle w:val="Lienhypertexte"/>
            <w:color w:val="auto"/>
            <w:lang w:val="fr-FR"/>
          </w:rPr>
          <w:t>http://unesdoc.unesco.org/images/0022/002284/228475f.pdf</w:t>
        </w:r>
      </w:hyperlink>
      <w:r w:rsidRPr="00C92F30">
        <w:rPr>
          <w:color w:val="auto"/>
          <w:lang w:val="fr-FR"/>
        </w:rPr>
        <w:t>, consulté le 2 d</w:t>
      </w:r>
      <w:r w:rsidRPr="00C92F30">
        <w:rPr>
          <w:color w:val="auto"/>
          <w:lang w:val="fr-FR"/>
        </w:rPr>
        <w:t>é</w:t>
      </w:r>
      <w:r w:rsidRPr="00C92F30">
        <w:rPr>
          <w:color w:val="auto"/>
          <w:lang w:val="fr-FR"/>
        </w:rPr>
        <w:t>cembre 2014.</w:t>
      </w:r>
    </w:p>
  </w:footnote>
  <w:footnote w:id="1034">
    <w:p w:rsidR="004C50DC" w:rsidRPr="00C92F30" w:rsidRDefault="004C50DC" w:rsidP="004C50DC">
      <w:pPr>
        <w:pStyle w:val="Notedebasdepage"/>
      </w:pPr>
      <w:r w:rsidRPr="00377F88">
        <w:rPr>
          <w:rStyle w:val="Appelnotedebasdep"/>
        </w:rPr>
        <w:footnoteRef/>
      </w:r>
      <w:r>
        <w:tab/>
      </w:r>
      <w:r w:rsidRPr="00C92F30">
        <w:t>Notre analyse porte sur les principaux objectifs que l’UNESCO s’est fixé dans le projet « La Route de l’Esclave ».Nous renvoyons au texte de la Résol</w:t>
      </w:r>
      <w:r w:rsidRPr="00C92F30">
        <w:t>u</w:t>
      </w:r>
      <w:r w:rsidRPr="00C92F30">
        <w:t xml:space="preserve">tion 27 C/3.13, UNESCO, </w:t>
      </w:r>
      <w:r w:rsidRPr="00C92F30">
        <w:rPr>
          <w:i/>
        </w:rPr>
        <w:t>La Route de l’esclave</w:t>
      </w:r>
      <w:r w:rsidRPr="00C92F30">
        <w:t xml:space="preserve">, en ligne, </w:t>
      </w:r>
      <w:hyperlink r:id="rId163" w:history="1">
        <w:r w:rsidRPr="00C92F30">
          <w:rPr>
            <w:rStyle w:val="Lienhypertexte"/>
            <w:color w:val="auto"/>
          </w:rPr>
          <w:t>http://portail.unesco.org/culture/fr/ev.php-URL_ID=25659&amp;URL_DO=DO_TOPIC&amp;URL_SECTION=201.html</w:t>
        </w:r>
      </w:hyperlink>
      <w:r w:rsidRPr="00C92F30">
        <w:t>, consulté le 10 mars 2011.</w:t>
      </w:r>
    </w:p>
  </w:footnote>
  <w:footnote w:id="1035">
    <w:p w:rsidR="004C50DC" w:rsidRPr="00C92F30" w:rsidRDefault="004C50DC" w:rsidP="004C50DC">
      <w:pPr>
        <w:pStyle w:val="Notedebasdepage"/>
      </w:pPr>
      <w:r w:rsidRPr="00377F88">
        <w:rPr>
          <w:rStyle w:val="Appelnotedebasdep"/>
        </w:rPr>
        <w:footnoteRef/>
      </w:r>
      <w:r>
        <w:tab/>
      </w:r>
      <w:r w:rsidRPr="00C92F30">
        <w:t>Il faut dire que le Danemark possède un site très structuré de sources et de d</w:t>
      </w:r>
      <w:r w:rsidRPr="00C92F30">
        <w:t>o</w:t>
      </w:r>
      <w:r w:rsidRPr="00C92F30">
        <w:t>cumentation sur l’esclavage.</w:t>
      </w:r>
    </w:p>
  </w:footnote>
  <w:footnote w:id="1036">
    <w:p w:rsidR="004C50DC" w:rsidRPr="00C92F30" w:rsidRDefault="004C50DC" w:rsidP="004C50DC">
      <w:pPr>
        <w:pStyle w:val="Notedebasdepage"/>
      </w:pPr>
      <w:r w:rsidRPr="00377F88">
        <w:rPr>
          <w:rStyle w:val="Appelnotedebasdep"/>
        </w:rPr>
        <w:footnoteRef/>
      </w:r>
      <w:r>
        <w:tab/>
      </w:r>
      <w:r w:rsidRPr="00C92F30">
        <w:t xml:space="preserve">UNESCO, « la Route de l’esclave », </w:t>
      </w:r>
      <w:r w:rsidRPr="00C92F30">
        <w:rPr>
          <w:i/>
        </w:rPr>
        <w:t>Bulletin d’information</w:t>
      </w:r>
      <w:r w:rsidRPr="00C92F30">
        <w:t>, n</w:t>
      </w:r>
      <w:r w:rsidRPr="00C92F30">
        <w:rPr>
          <w:vertAlign w:val="superscript"/>
        </w:rPr>
        <w:t>o</w:t>
      </w:r>
      <w:r w:rsidRPr="00C92F30">
        <w:t> 1, 2000, p. 5.</w:t>
      </w:r>
    </w:p>
  </w:footnote>
  <w:footnote w:id="1037">
    <w:p w:rsidR="004C50DC" w:rsidRPr="00C92F30" w:rsidRDefault="004C50DC" w:rsidP="004C50DC">
      <w:pPr>
        <w:pStyle w:val="Notedebasdepage"/>
      </w:pPr>
      <w:r w:rsidRPr="00377F88">
        <w:rPr>
          <w:rStyle w:val="Appelnotedebasdep"/>
        </w:rPr>
        <w:footnoteRef/>
      </w:r>
      <w:r>
        <w:tab/>
      </w:r>
      <w:r w:rsidRPr="00C92F30">
        <w:t>Ibid.</w:t>
      </w:r>
    </w:p>
  </w:footnote>
  <w:footnote w:id="1038">
    <w:p w:rsidR="004C50DC" w:rsidRPr="00C92F30" w:rsidRDefault="004C50DC" w:rsidP="004C50DC">
      <w:pPr>
        <w:pStyle w:val="Notedebasdepage"/>
      </w:pPr>
      <w:r w:rsidRPr="00377F88">
        <w:rPr>
          <w:rStyle w:val="Appelnotedebasdep"/>
        </w:rPr>
        <w:footnoteRef/>
      </w:r>
      <w:r>
        <w:tab/>
      </w:r>
      <w:r w:rsidRPr="00C92F30">
        <w:t>Ibid.</w:t>
      </w:r>
    </w:p>
  </w:footnote>
  <w:footnote w:id="1039">
    <w:p w:rsidR="004C50DC" w:rsidRPr="00C92F30" w:rsidRDefault="004C50DC" w:rsidP="004C50DC">
      <w:pPr>
        <w:pStyle w:val="Notedebasdepage"/>
      </w:pPr>
      <w:r w:rsidRPr="00C92F30">
        <w:rPr>
          <w:rStyle w:val="Appelnotedebasdep"/>
          <w:sz w:val="24"/>
        </w:rPr>
        <w:footnoteRef/>
      </w:r>
      <w:r w:rsidRPr="00C92F30">
        <w:t xml:space="preserve">Doudou Diène, « Silence et invisibilité : l’enjeu de mémoire de la domination et de la discrimination », dans Valérie Lange-Eyre, </w:t>
      </w:r>
      <w:r w:rsidRPr="00C92F30">
        <w:rPr>
          <w:i/>
        </w:rPr>
        <w:t>Mémoires et droits h</w:t>
      </w:r>
      <w:r w:rsidRPr="00C92F30">
        <w:rPr>
          <w:i/>
        </w:rPr>
        <w:t>u</w:t>
      </w:r>
      <w:r w:rsidRPr="00C92F30">
        <w:rPr>
          <w:i/>
        </w:rPr>
        <w:t>mains. Enjeux et perspectives pour les peuples d’Afrique et des Amériques</w:t>
      </w:r>
      <w:r w:rsidRPr="00C92F30">
        <w:t>, Lausanne, Éditions d’En Bas, 2009, p.74.</w:t>
      </w:r>
    </w:p>
  </w:footnote>
  <w:footnote w:id="1040">
    <w:p w:rsidR="004C50DC" w:rsidRDefault="004C50DC">
      <w:pPr>
        <w:pStyle w:val="Notedebasdepage"/>
      </w:pPr>
      <w:r>
        <w:rPr>
          <w:rStyle w:val="Appelnotedebasdep"/>
        </w:rPr>
        <w:footnoteRef/>
      </w:r>
      <w:r>
        <w:t xml:space="preserve"> </w:t>
      </w:r>
      <w:r>
        <w:tab/>
      </w:r>
      <w:r w:rsidRPr="00C92F30">
        <w:t xml:space="preserve">Il faut retenir </w:t>
      </w:r>
      <w:r w:rsidRPr="00C92F30">
        <w:rPr>
          <w:bCs/>
        </w:rPr>
        <w:t>qu’à travers la déclaration de Durban sur le racisme de septe</w:t>
      </w:r>
      <w:r w:rsidRPr="00C92F30">
        <w:rPr>
          <w:bCs/>
        </w:rPr>
        <w:t>m</w:t>
      </w:r>
      <w:r w:rsidRPr="00C92F30">
        <w:rPr>
          <w:bCs/>
        </w:rPr>
        <w:t>bre 2001, l’esclavage devient une affaire qui concerne toute l’humanité; voir UNESCO,</w:t>
      </w:r>
      <w:r w:rsidRPr="00C92F30">
        <w:rPr>
          <w:i/>
          <w:iCs/>
        </w:rPr>
        <w:t xml:space="preserve"> La déclaration de Durban</w:t>
      </w:r>
      <w:r w:rsidRPr="00C92F30">
        <w:t>, en ligne,</w:t>
      </w:r>
      <w:r>
        <w:br/>
      </w:r>
      <w:hyperlink r:id="rId164" w:history="1">
        <w:r w:rsidRPr="00C92F30">
          <w:rPr>
            <w:rStyle w:val="Lienhypertexte"/>
          </w:rPr>
          <w:t>http://www.un.org/french/WCAR/durban_fr.pdf septembre 2001</w:t>
        </w:r>
      </w:hyperlink>
      <w:r w:rsidRPr="00C92F30">
        <w:t>, consulté 11 décembre 2014.</w:t>
      </w:r>
    </w:p>
  </w:footnote>
  <w:footnote w:id="1041">
    <w:p w:rsidR="004C50DC" w:rsidRDefault="004C50DC">
      <w:pPr>
        <w:pStyle w:val="Notedebasdepage"/>
      </w:pPr>
      <w:r>
        <w:rPr>
          <w:rStyle w:val="Appelnotedebasdep"/>
        </w:rPr>
        <w:footnoteRef/>
      </w:r>
      <w:r>
        <w:t xml:space="preserve"> </w:t>
      </w:r>
      <w:r>
        <w:tab/>
      </w:r>
      <w:r w:rsidRPr="00C92F30">
        <w:t>Doudou Diène est l’initiateur du programme « la Route de l’Esclave » à l’UNESCO et le rapporteur spécial des Nations Unies sur les formes conte</w:t>
      </w:r>
      <w:r w:rsidRPr="00C92F30">
        <w:t>m</w:t>
      </w:r>
      <w:r w:rsidRPr="00C92F30">
        <w:t xml:space="preserve">poraines de racisme (2002-2008). </w:t>
      </w:r>
    </w:p>
  </w:footnote>
  <w:footnote w:id="1042">
    <w:p w:rsidR="004C50DC" w:rsidRDefault="004C50DC">
      <w:pPr>
        <w:pStyle w:val="Notedebasdepage"/>
      </w:pPr>
      <w:r>
        <w:rPr>
          <w:rStyle w:val="Appelnotedebasdep"/>
        </w:rPr>
        <w:footnoteRef/>
      </w:r>
      <w:r>
        <w:t xml:space="preserve"> </w:t>
      </w:r>
      <w:r>
        <w:tab/>
      </w:r>
      <w:r w:rsidRPr="00C92F30">
        <w:rPr>
          <w:lang w:val="fr-FR"/>
        </w:rPr>
        <w:t xml:space="preserve">Doudou Diène, « Exposer la résistance culturelle de l’esclave », </w:t>
      </w:r>
      <w:r w:rsidRPr="00C92F30">
        <w:rPr>
          <w:i/>
          <w:lang w:val="fr-FR"/>
        </w:rPr>
        <w:t>Africult</w:t>
      </w:r>
      <w:r w:rsidRPr="00C92F30">
        <w:rPr>
          <w:i/>
          <w:lang w:val="fr-FR"/>
        </w:rPr>
        <w:t>u</w:t>
      </w:r>
      <w:r w:rsidRPr="00C92F30">
        <w:rPr>
          <w:i/>
          <w:lang w:val="fr-FR"/>
        </w:rPr>
        <w:t>res</w:t>
      </w:r>
      <w:r w:rsidRPr="00C92F30">
        <w:rPr>
          <w:lang w:val="fr-FR"/>
        </w:rPr>
        <w:t>, vol. 1, n</w:t>
      </w:r>
      <w:r w:rsidRPr="00C92F30">
        <w:rPr>
          <w:vertAlign w:val="superscript"/>
          <w:lang w:val="fr-FR"/>
        </w:rPr>
        <w:t>o </w:t>
      </w:r>
      <w:r w:rsidRPr="00C92F30">
        <w:rPr>
          <w:lang w:val="fr-FR"/>
        </w:rPr>
        <w:t>91, en ligne, DOI : 10.3917/afcul.091.0020, 2013, p. 20.</w:t>
      </w:r>
    </w:p>
  </w:footnote>
  <w:footnote w:id="1043">
    <w:p w:rsidR="004C50DC" w:rsidRDefault="004C50DC">
      <w:pPr>
        <w:pStyle w:val="Notedebasdepage"/>
      </w:pPr>
      <w:r>
        <w:rPr>
          <w:rStyle w:val="Appelnotedebasdep"/>
        </w:rPr>
        <w:footnoteRef/>
      </w:r>
      <w:r>
        <w:t xml:space="preserve"> </w:t>
      </w:r>
      <w:r>
        <w:tab/>
      </w:r>
      <w:r w:rsidRPr="00C92F30">
        <w:rPr>
          <w:lang w:val="fr-FR"/>
        </w:rPr>
        <w:t xml:space="preserve">Nous citons entre autres les travaux de Michel Hector et Laënnec Hurbon (dir.), </w:t>
      </w:r>
      <w:r w:rsidRPr="00C92F30">
        <w:rPr>
          <w:i/>
          <w:iCs/>
          <w:lang w:val="fr-FR"/>
        </w:rPr>
        <w:t xml:space="preserve">Genèse de l’État haïtien 1804-1859, </w:t>
      </w:r>
      <w:r w:rsidRPr="00C92F30">
        <w:rPr>
          <w:lang w:val="fr-FR"/>
        </w:rPr>
        <w:t>Paris, Éditions de la Maison des scie</w:t>
      </w:r>
      <w:r w:rsidRPr="00C92F30">
        <w:rPr>
          <w:lang w:val="fr-FR"/>
        </w:rPr>
        <w:t>n</w:t>
      </w:r>
      <w:r w:rsidRPr="00C92F30">
        <w:rPr>
          <w:lang w:val="fr-FR"/>
        </w:rPr>
        <w:t>ces de l’homme, 2009 ; de Michel</w:t>
      </w:r>
      <w:r w:rsidRPr="00C92F30">
        <w:t xml:space="preserve"> Hector et Claude Moïse, </w:t>
      </w:r>
      <w:r w:rsidRPr="00C92F30">
        <w:rPr>
          <w:i/>
          <w:iCs/>
        </w:rPr>
        <w:t>Colonisation et escl</w:t>
      </w:r>
      <w:r w:rsidRPr="00C92F30">
        <w:rPr>
          <w:i/>
          <w:iCs/>
        </w:rPr>
        <w:t>a</w:t>
      </w:r>
      <w:r w:rsidRPr="00C92F30">
        <w:rPr>
          <w:i/>
          <w:iCs/>
        </w:rPr>
        <w:t xml:space="preserve">vage en Haïti. Le régime colonial français à Saint-Domingue (1625-1789), </w:t>
      </w:r>
      <w:r w:rsidRPr="00C92F30">
        <w:t>Port-au-Prince, Henri Deschamps, 1990 ; Laënnec Hurbon,</w:t>
      </w:r>
      <w:r w:rsidRPr="00C92F30">
        <w:rPr>
          <w:shd w:val="clear" w:color="auto" w:fill="FFFFFF"/>
        </w:rPr>
        <w:t xml:space="preserve"> </w:t>
      </w:r>
      <w:r w:rsidRPr="00C92F30">
        <w:t xml:space="preserve">« Esclavage, mémoire et identité culturelle », dans Max Jean Zins et Marcel Dorigny (dir.), </w:t>
      </w:r>
      <w:r w:rsidRPr="00C92F30">
        <w:rPr>
          <w:i/>
        </w:rPr>
        <w:t>Les Tra</w:t>
      </w:r>
      <w:r w:rsidRPr="00C92F30">
        <w:rPr>
          <w:i/>
        </w:rPr>
        <w:t>i</w:t>
      </w:r>
      <w:r w:rsidRPr="00C92F30">
        <w:rPr>
          <w:i/>
        </w:rPr>
        <w:t>tes négrières coloniales. Histoire d’un crime</w:t>
      </w:r>
      <w:r w:rsidRPr="00C92F30">
        <w:t xml:space="preserve">, Paris,  Éditions du Cercle d’Art, 2009, p. 192-201 ; Claude Moïse (dir.), </w:t>
      </w:r>
      <w:r w:rsidRPr="00C92F30">
        <w:rPr>
          <w:i/>
        </w:rPr>
        <w:t>Dictionnaire historique de la Révolution haïtienne (1789-1804)</w:t>
      </w:r>
      <w:r w:rsidRPr="00C92F30">
        <w:t>, Montréal, Cidihca, Images, 2003 ;</w:t>
      </w:r>
      <w:r w:rsidRPr="00C92F30">
        <w:rPr>
          <w:lang w:val="fr-FR"/>
        </w:rPr>
        <w:t xml:space="preserve"> Michel-PhilippeLerebours, </w:t>
      </w:r>
      <w:r w:rsidRPr="00C92F30">
        <w:rPr>
          <w:i/>
          <w:iCs/>
          <w:lang w:val="fr-FR"/>
        </w:rPr>
        <w:t>Esclavage : mémoire et patrimoine. Vest</w:t>
      </w:r>
      <w:r w:rsidRPr="00C92F30">
        <w:rPr>
          <w:i/>
          <w:iCs/>
          <w:lang w:val="fr-FR"/>
        </w:rPr>
        <w:t>i</w:t>
      </w:r>
      <w:r w:rsidRPr="00C92F30">
        <w:rPr>
          <w:i/>
          <w:iCs/>
          <w:lang w:val="fr-FR"/>
        </w:rPr>
        <w:t>ges d’habitations sucrières de la région de Port-au-Prince</w:t>
      </w:r>
      <w:r w:rsidRPr="00C92F30">
        <w:rPr>
          <w:lang w:val="fr-FR"/>
        </w:rPr>
        <w:t>, Port-au-Prince, Presses nationales d’Haïti, 1999.</w:t>
      </w:r>
    </w:p>
  </w:footnote>
  <w:footnote w:id="1044">
    <w:p w:rsidR="004C50DC" w:rsidRDefault="004C50DC">
      <w:pPr>
        <w:pStyle w:val="Notedebasdepage"/>
      </w:pPr>
      <w:r>
        <w:rPr>
          <w:rStyle w:val="Appelnotedebasdep"/>
        </w:rPr>
        <w:footnoteRef/>
      </w:r>
      <w:r>
        <w:t xml:space="preserve"> </w:t>
      </w:r>
      <w:r>
        <w:tab/>
      </w:r>
      <w:r w:rsidRPr="00C92F30">
        <w:rPr>
          <w:lang w:val="fr-FR"/>
        </w:rPr>
        <w:t xml:space="preserve">Sur ce point, voir Laënnec Hurbon, </w:t>
      </w:r>
      <w:r w:rsidRPr="00C92F30">
        <w:rPr>
          <w:i/>
          <w:lang w:val="fr-FR"/>
        </w:rPr>
        <w:t>L’insurrection des esclaves de Saint-Domingue, 22-23 août 1791</w:t>
      </w:r>
      <w:r w:rsidRPr="00C92F30">
        <w:rPr>
          <w:lang w:val="fr-FR"/>
        </w:rPr>
        <w:t>, Paris, Karthala, 2000, p. 9.</w:t>
      </w:r>
    </w:p>
  </w:footnote>
  <w:footnote w:id="1045">
    <w:p w:rsidR="004C50DC" w:rsidRDefault="004C50DC">
      <w:pPr>
        <w:pStyle w:val="Notedebasdepage"/>
      </w:pPr>
      <w:r>
        <w:rPr>
          <w:rStyle w:val="Appelnotedebasdep"/>
        </w:rPr>
        <w:footnoteRef/>
      </w:r>
      <w:r>
        <w:t xml:space="preserve"> </w:t>
      </w:r>
      <w:r>
        <w:tab/>
      </w:r>
      <w:r w:rsidRPr="00C92F30">
        <w:rPr>
          <w:lang w:val="fr-FR"/>
        </w:rPr>
        <w:t>Ibid.</w:t>
      </w:r>
    </w:p>
  </w:footnote>
  <w:footnote w:id="1046">
    <w:p w:rsidR="004C50DC" w:rsidRPr="00C92F30" w:rsidRDefault="004C50DC" w:rsidP="004C50DC">
      <w:pPr>
        <w:pStyle w:val="Notedebasdepage"/>
      </w:pPr>
      <w:r w:rsidRPr="00377F88">
        <w:rPr>
          <w:rStyle w:val="Appelnotedebasdep"/>
        </w:rPr>
        <w:footnoteRef/>
      </w:r>
      <w:r>
        <w:tab/>
      </w:r>
      <w:r w:rsidRPr="00C92F30">
        <w:t>Ibid., p</w:t>
      </w:r>
      <w:r>
        <w:t>p</w:t>
      </w:r>
      <w:r w:rsidRPr="00C92F30">
        <w:t>. 9-10.</w:t>
      </w:r>
    </w:p>
  </w:footnote>
  <w:footnote w:id="1047">
    <w:p w:rsidR="004C50DC" w:rsidRDefault="004C50DC">
      <w:pPr>
        <w:pStyle w:val="Notedebasdepage"/>
      </w:pPr>
      <w:r>
        <w:rPr>
          <w:rStyle w:val="Appelnotedebasdep"/>
        </w:rPr>
        <w:footnoteRef/>
      </w:r>
      <w:r>
        <w:t xml:space="preserve"> </w:t>
      </w:r>
      <w:r>
        <w:tab/>
      </w:r>
      <w:r w:rsidRPr="00C92F30">
        <w:rPr>
          <w:lang w:val="fr-FR"/>
        </w:rPr>
        <w:t>Comité national haïtien de la « Route de l’esclave », « Présentation du projet Route de l’Esclave », 2015, inédit.</w:t>
      </w:r>
    </w:p>
  </w:footnote>
  <w:footnote w:id="1048">
    <w:p w:rsidR="004C50DC" w:rsidRPr="00C92F30" w:rsidRDefault="004C50DC" w:rsidP="004C50DC">
      <w:pPr>
        <w:pStyle w:val="Notedebasdepage"/>
      </w:pPr>
      <w:r w:rsidRPr="00377F88">
        <w:rPr>
          <w:rStyle w:val="Appelnotedebasdep"/>
        </w:rPr>
        <w:footnoteRef/>
      </w:r>
      <w:r>
        <w:tab/>
      </w:r>
      <w:r w:rsidRPr="00C92F30">
        <w:t>Voir le programme du Colloque International « Les religions afro-américaines et la mémoire de l'esclavage » organisé en Haïti du 10 au 12 d</w:t>
      </w:r>
      <w:r w:rsidRPr="00C92F30">
        <w:t>é</w:t>
      </w:r>
      <w:r w:rsidRPr="00C92F30">
        <w:t xml:space="preserve">cembre 2009, en ligne, </w:t>
      </w:r>
      <w:hyperlink r:id="rId165" w:history="1">
        <w:r w:rsidRPr="00C92F30">
          <w:rPr>
            <w:rStyle w:val="Lienhypertexte"/>
            <w:color w:val="auto"/>
          </w:rPr>
          <w:t>http://www.auf.org/media/IMG2//pdf/programme-colloque-inter_-_Copie.pdf</w:t>
        </w:r>
      </w:hyperlink>
      <w:r w:rsidRPr="00C92F30">
        <w:t>, consulté le 29 novembre 2014.</w:t>
      </w:r>
    </w:p>
  </w:footnote>
  <w:footnote w:id="1049">
    <w:p w:rsidR="004C50DC" w:rsidRPr="00C92F30" w:rsidRDefault="004C50DC" w:rsidP="004C50DC">
      <w:pPr>
        <w:pStyle w:val="Notedebasdepage"/>
      </w:pPr>
      <w:r w:rsidRPr="00377F88">
        <w:rPr>
          <w:rStyle w:val="Appelnotedebasdep"/>
        </w:rPr>
        <w:footnoteRef/>
      </w:r>
      <w:r>
        <w:tab/>
      </w:r>
      <w:r w:rsidRPr="00C92F30">
        <w:t>Ce colloque international a été organisé du 9 au 13 décembre 2014 à Pointe-à-Pitre (Guadeloupe).</w:t>
      </w:r>
    </w:p>
  </w:footnote>
  <w:footnote w:id="1050">
    <w:p w:rsidR="004C50DC" w:rsidRPr="00C92F30" w:rsidRDefault="004C50DC" w:rsidP="004C50DC">
      <w:pPr>
        <w:pStyle w:val="Notedebasdepage"/>
        <w:rPr>
          <w:color w:val="auto"/>
          <w:kern w:val="1"/>
        </w:rPr>
      </w:pPr>
      <w:r w:rsidRPr="00377F88">
        <w:rPr>
          <w:rStyle w:val="Appelnotedebasdep"/>
        </w:rPr>
        <w:footnoteRef/>
      </w:r>
      <w:r>
        <w:tab/>
      </w:r>
      <w:r w:rsidRPr="00C92F30">
        <w:t xml:space="preserve">Claude Moïse (dir.), Dictionnaire Historique de la Révolution haïtienne, 1789-1804, </w:t>
      </w:r>
      <w:r w:rsidRPr="00C92F30">
        <w:rPr>
          <w:color w:val="auto"/>
          <w:kern w:val="1"/>
        </w:rPr>
        <w:t>Montréal, Cidihca, 2014.</w:t>
      </w:r>
    </w:p>
  </w:footnote>
  <w:footnote w:id="1051">
    <w:p w:rsidR="004C50DC" w:rsidRDefault="004C50DC">
      <w:pPr>
        <w:pStyle w:val="Notedebasdepage"/>
      </w:pPr>
      <w:r>
        <w:rPr>
          <w:rStyle w:val="Appelnotedebasdep"/>
        </w:rPr>
        <w:footnoteRef/>
      </w:r>
      <w:r>
        <w:t xml:space="preserve"> </w:t>
      </w:r>
      <w:r>
        <w:tab/>
      </w:r>
      <w:r w:rsidRPr="00C92F30">
        <w:t xml:space="preserve">Michel Hector et Laënnec Hurbon, </w:t>
      </w:r>
      <w:r w:rsidRPr="00C92F30">
        <w:rPr>
          <w:i/>
        </w:rPr>
        <w:t>Genèse de l’État haïtien, 1804-1859</w:t>
      </w:r>
      <w:r w:rsidRPr="00C92F30">
        <w:rPr>
          <w:rStyle w:val="presentation"/>
          <w:b/>
          <w:bCs/>
          <w:i/>
        </w:rPr>
        <w:t xml:space="preserve">, </w:t>
      </w:r>
      <w:r w:rsidRPr="00C92F30">
        <w:t>op. cit.</w:t>
      </w:r>
    </w:p>
  </w:footnote>
  <w:footnote w:id="1052">
    <w:p w:rsidR="004C50DC" w:rsidRDefault="004C50DC">
      <w:pPr>
        <w:pStyle w:val="Notedebasdepage"/>
      </w:pPr>
      <w:r>
        <w:rPr>
          <w:rStyle w:val="Appelnotedebasdep"/>
        </w:rPr>
        <w:footnoteRef/>
      </w:r>
      <w:r>
        <w:t xml:space="preserve"> </w:t>
      </w:r>
      <w:r>
        <w:tab/>
      </w:r>
      <w:r w:rsidRPr="00C92F30">
        <w:t xml:space="preserve">Laënnec Hurbon (dir.), </w:t>
      </w:r>
      <w:r w:rsidRPr="00C92F30">
        <w:rPr>
          <w:i/>
        </w:rPr>
        <w:t>L’insurrection générale des esclaves de Saint-Domingue le 23 août 1791</w:t>
      </w:r>
      <w:r w:rsidRPr="00C92F30">
        <w:t>, Actes du colloque de Port-au-Prince, Paris, Ka</w:t>
      </w:r>
      <w:r w:rsidRPr="00C92F30">
        <w:t>r</w:t>
      </w:r>
      <w:r w:rsidRPr="00C92F30">
        <w:t xml:space="preserve">thala, 1998.  </w:t>
      </w:r>
    </w:p>
  </w:footnote>
  <w:footnote w:id="1053">
    <w:p w:rsidR="004C50DC" w:rsidRDefault="004C50DC">
      <w:pPr>
        <w:pStyle w:val="Notedebasdepage"/>
      </w:pPr>
      <w:r>
        <w:rPr>
          <w:rStyle w:val="Appelnotedebasdep"/>
        </w:rPr>
        <w:footnoteRef/>
      </w:r>
      <w:r>
        <w:t xml:space="preserve"> </w:t>
      </w:r>
      <w:r>
        <w:tab/>
      </w:r>
      <w:r w:rsidRPr="00C92F30">
        <w:t xml:space="preserve">Michel-Philippe Lerebours, </w:t>
      </w:r>
      <w:r w:rsidRPr="00C92F30">
        <w:rPr>
          <w:i/>
          <w:lang w:val="fr-FR"/>
        </w:rPr>
        <w:t>L’habitation sucrière dominguoise et vestiges d’habitations sucrières dans la Région de Port-au-Prince</w:t>
      </w:r>
      <w:r w:rsidRPr="00C92F30">
        <w:rPr>
          <w:lang w:val="fr-FR"/>
        </w:rPr>
        <w:t>, Port-au-Prince, Presses nationales d’Haïti, 2006.</w:t>
      </w:r>
    </w:p>
  </w:footnote>
  <w:footnote w:id="1054">
    <w:p w:rsidR="004C50DC" w:rsidRDefault="004C50DC">
      <w:pPr>
        <w:pStyle w:val="Notedebasdepage"/>
      </w:pPr>
      <w:r>
        <w:rPr>
          <w:rStyle w:val="Appelnotedebasdep"/>
        </w:rPr>
        <w:footnoteRef/>
      </w:r>
      <w:r>
        <w:t xml:space="preserve"> </w:t>
      </w:r>
      <w:r>
        <w:tab/>
      </w:r>
      <w:r w:rsidRPr="00C92F30">
        <w:t xml:space="preserve">Voir </w:t>
      </w:r>
      <w:r w:rsidRPr="00C92F30">
        <w:rPr>
          <w:lang w:val="fr-FR"/>
        </w:rPr>
        <w:t xml:space="preserve">Laënnec Hurbon, président du comité national haïtien de la Route de l’Esclave, dans un </w:t>
      </w:r>
      <w:r w:rsidRPr="00C92F30">
        <w:t>texte intitulé « </w:t>
      </w:r>
      <w:r w:rsidRPr="00C92F30">
        <w:rPr>
          <w:lang w:val="fr-FR"/>
        </w:rPr>
        <w:t>Bilan des activités de la Route de l’esclave en Haïti », 2015, inédit.</w:t>
      </w:r>
    </w:p>
  </w:footnote>
  <w:footnote w:id="1055">
    <w:p w:rsidR="004C50DC" w:rsidRPr="00C92F30" w:rsidRDefault="004C50DC" w:rsidP="004C50DC">
      <w:pPr>
        <w:pStyle w:val="Notedebasdepage"/>
      </w:pPr>
      <w:r w:rsidRPr="00385BE4">
        <w:rPr>
          <w:rStyle w:val="Appelnotedebasdep"/>
        </w:rPr>
        <w:footnoteRef/>
      </w:r>
      <w:r>
        <w:tab/>
      </w:r>
      <w:r w:rsidRPr="00C92F30">
        <w:t>Comme par exemple le site de l’ancienne habitation sucrière Santo dans la plaine du Cul-de-sac avec ses vestiges uniques dans la Caraïbe d’un moulin double à bêtes ; ce site est occupé depuis le 12 janvier 2010 par des sinistrés sous des tentes de fortune. Cette situation constitue unemenace réelle pour les vestiges. C’est l’un des sites, d’ailleurs, qui a été retenu par le Comité scient</w:t>
      </w:r>
      <w:r w:rsidRPr="00C92F30">
        <w:t>i</w:t>
      </w:r>
      <w:r w:rsidRPr="00C92F30">
        <w:t>fique ha</w:t>
      </w:r>
      <w:r w:rsidRPr="00C92F30">
        <w:t>ï</w:t>
      </w:r>
      <w:r w:rsidRPr="00C92F30">
        <w:t>tien pour la création du Musée de l’esclavage.</w:t>
      </w:r>
    </w:p>
  </w:footnote>
  <w:footnote w:id="1056">
    <w:p w:rsidR="004C50DC" w:rsidRDefault="004C50DC">
      <w:pPr>
        <w:pStyle w:val="Notedebasdepage"/>
      </w:pPr>
      <w:r>
        <w:rPr>
          <w:rStyle w:val="Appelnotedebasdep"/>
        </w:rPr>
        <w:footnoteRef/>
      </w:r>
      <w:r>
        <w:t xml:space="preserve"> </w:t>
      </w:r>
      <w:r>
        <w:tab/>
      </w:r>
      <w:r w:rsidRPr="00C92F30">
        <w:rPr>
          <w:lang w:val="fr-FR"/>
        </w:rPr>
        <w:t xml:space="preserve">Voir annexe IX, copie de l’Acte constitutif du Comité scientifique haïtien de la Route de l’esclave, 2012. </w:t>
      </w:r>
    </w:p>
  </w:footnote>
  <w:footnote w:id="1057">
    <w:p w:rsidR="004C50DC" w:rsidRDefault="004C50DC">
      <w:pPr>
        <w:pStyle w:val="Notedebasdepage"/>
      </w:pPr>
      <w:r>
        <w:rPr>
          <w:rStyle w:val="Appelnotedebasdep"/>
        </w:rPr>
        <w:footnoteRef/>
      </w:r>
      <w:r>
        <w:t xml:space="preserve"> </w:t>
      </w:r>
      <w:r>
        <w:tab/>
      </w:r>
      <w:r w:rsidRPr="00C92F30">
        <w:t xml:space="preserve">Voir Ali Moussa Iye, « Pour les 20 ans de la Route de l’esclave », </w:t>
      </w:r>
      <w:r w:rsidRPr="00C92F30">
        <w:rPr>
          <w:i/>
        </w:rPr>
        <w:t>Le Nouve</w:t>
      </w:r>
      <w:r w:rsidRPr="00C92F30">
        <w:rPr>
          <w:i/>
        </w:rPr>
        <w:t>l</w:t>
      </w:r>
      <w:r w:rsidRPr="00C92F30">
        <w:rPr>
          <w:i/>
        </w:rPr>
        <w:t xml:space="preserve">liste, </w:t>
      </w:r>
      <w:r w:rsidRPr="00C92F30">
        <w:t>20 janvier 2015, en l</w:t>
      </w:r>
      <w:r w:rsidRPr="00C92F30">
        <w:t>i</w:t>
      </w:r>
      <w:r w:rsidRPr="00C92F30">
        <w:t>gne,</w:t>
      </w:r>
      <w:r>
        <w:br/>
      </w:r>
      <w:hyperlink r:id="rId166" w:history="1">
        <w:r w:rsidRPr="00C92F30">
          <w:rPr>
            <w:rStyle w:val="Lienhypertexte"/>
          </w:rPr>
          <w:t>http://lenouvelliste.com/lenouvelliste/article/140039/Pour-les-20-ans-de-La-Route-de-lesclave</w:t>
        </w:r>
      </w:hyperlink>
      <w:r w:rsidRPr="00C92F30">
        <w:t>, consulté le 12 février 2015.</w:t>
      </w:r>
    </w:p>
  </w:footnote>
  <w:footnote w:id="1058">
    <w:p w:rsidR="004C50DC" w:rsidRPr="00C92F30" w:rsidRDefault="004C50DC" w:rsidP="004C50DC">
      <w:pPr>
        <w:pStyle w:val="Notedebasdepage"/>
      </w:pPr>
      <w:r w:rsidRPr="00385BE4">
        <w:rPr>
          <w:rStyle w:val="Appelnotedebasdep"/>
        </w:rPr>
        <w:footnoteRef/>
      </w:r>
      <w:r>
        <w:tab/>
      </w:r>
      <w:r w:rsidRPr="00C92F30">
        <w:t>À propos des objectifs, lire l’Acte constitutif du Comité scientifique haïtien de la Route de l’esclave, op. cit.</w:t>
      </w:r>
    </w:p>
  </w:footnote>
  <w:footnote w:id="1059">
    <w:p w:rsidR="004C50DC" w:rsidRPr="00C92F30" w:rsidRDefault="004C50DC" w:rsidP="004C50DC">
      <w:pPr>
        <w:pStyle w:val="Notedebasdepage"/>
      </w:pPr>
      <w:r w:rsidRPr="00385BE4">
        <w:rPr>
          <w:rStyle w:val="Appelnotedebasdep"/>
        </w:rPr>
        <w:footnoteRef/>
      </w:r>
      <w:r>
        <w:tab/>
      </w:r>
      <w:r w:rsidRPr="00C92F30">
        <w:t xml:space="preserve">Il faut signaler que le colloque n’a pas eu lieu. </w:t>
      </w:r>
    </w:p>
  </w:footnote>
  <w:footnote w:id="1060">
    <w:p w:rsidR="004C50DC" w:rsidRPr="00C92F30" w:rsidRDefault="004C50DC" w:rsidP="004C50DC">
      <w:pPr>
        <w:pStyle w:val="Notedebasdepage"/>
      </w:pPr>
      <w:r w:rsidRPr="00385BE4">
        <w:rPr>
          <w:rStyle w:val="Appelnotedebasdep"/>
        </w:rPr>
        <w:footnoteRef/>
      </w:r>
      <w:r>
        <w:tab/>
      </w:r>
      <w:r w:rsidRPr="00C92F30">
        <w:t>Ces propos ont été consignés dans le texte « Bilan des activités de la Route de l’esclave en Haïti », 2015, inédit.</w:t>
      </w:r>
    </w:p>
  </w:footnote>
  <w:footnote w:id="1061">
    <w:p w:rsidR="004C50DC" w:rsidRDefault="004C50DC">
      <w:pPr>
        <w:pStyle w:val="Notedebasdepage"/>
      </w:pPr>
      <w:r>
        <w:rPr>
          <w:rStyle w:val="Appelnotedebasdep"/>
        </w:rPr>
        <w:footnoteRef/>
      </w:r>
      <w:r>
        <w:t xml:space="preserve"> </w:t>
      </w:r>
      <w:r>
        <w:tab/>
      </w:r>
      <w:r w:rsidRPr="00C92F30">
        <w:t>Ali Moussa Iye</w:t>
      </w:r>
      <w:r w:rsidRPr="00C92F30">
        <w:rPr>
          <w:i/>
        </w:rPr>
        <w:t xml:space="preserve">, </w:t>
      </w:r>
      <w:r w:rsidRPr="00C92F30">
        <w:t>op. cit.,</w:t>
      </w:r>
      <w:r w:rsidRPr="00C92F30">
        <w:rPr>
          <w:i/>
        </w:rPr>
        <w:t xml:space="preserve"> Le Nouvelliste.</w:t>
      </w:r>
    </w:p>
  </w:footnote>
  <w:footnote w:id="1062">
    <w:p w:rsidR="004C50DC" w:rsidRPr="00C92F30" w:rsidRDefault="004C50DC" w:rsidP="004C50DC">
      <w:pPr>
        <w:pStyle w:val="Notedebasdepage"/>
      </w:pPr>
      <w:r w:rsidRPr="00385BE4">
        <w:rPr>
          <w:rStyle w:val="Appelnotedebasdep"/>
        </w:rPr>
        <w:footnoteRef/>
      </w:r>
      <w:r>
        <w:tab/>
      </w:r>
      <w:r w:rsidRPr="00C92F30">
        <w:t>Acte constitutif du Comité scientifique haïtien de la Route de l’esclave, 2012.</w:t>
      </w:r>
    </w:p>
  </w:footnote>
  <w:footnote w:id="1063">
    <w:p w:rsidR="004C50DC" w:rsidRPr="00C92F30" w:rsidRDefault="004C50DC" w:rsidP="004C50DC">
      <w:pPr>
        <w:pStyle w:val="Notedebasdepage"/>
      </w:pPr>
      <w:r w:rsidRPr="00385BE4">
        <w:rPr>
          <w:rStyle w:val="Appelnotedebasdep"/>
        </w:rPr>
        <w:footnoteRef/>
      </w:r>
      <w:r>
        <w:tab/>
      </w:r>
      <w:r w:rsidRPr="00C92F30">
        <w:t>Laënnec Hurbon, président du comité national haïtien de la Route de l’esclave, dans un texte intitulé « Bilan des activités de la Route de l’esclave en Ha</w:t>
      </w:r>
      <w:r w:rsidRPr="00C92F30">
        <w:t>ï</w:t>
      </w:r>
      <w:r w:rsidRPr="00C92F30">
        <w:t>ti », 2015, inédit.</w:t>
      </w:r>
    </w:p>
  </w:footnote>
  <w:footnote w:id="1064">
    <w:p w:rsidR="004C50DC" w:rsidRPr="00C92F30" w:rsidRDefault="004C50DC" w:rsidP="004C50DC">
      <w:pPr>
        <w:pStyle w:val="Notedebasdepage"/>
      </w:pPr>
      <w:r w:rsidRPr="00385BE4">
        <w:rPr>
          <w:rStyle w:val="Appelnotedebasdep"/>
        </w:rPr>
        <w:footnoteRef/>
      </w:r>
      <w:r>
        <w:tab/>
      </w:r>
      <w:r w:rsidRPr="00C92F30">
        <w:t>Laënnec Hurbon, op. cit, 2015, inédit.</w:t>
      </w:r>
    </w:p>
  </w:footnote>
  <w:footnote w:id="1065">
    <w:p w:rsidR="004C50DC" w:rsidRDefault="004C50DC">
      <w:pPr>
        <w:pStyle w:val="Notedebasdepage"/>
      </w:pPr>
      <w:r>
        <w:rPr>
          <w:rStyle w:val="Appelnotedebasdep"/>
        </w:rPr>
        <w:footnoteRef/>
      </w:r>
      <w:r>
        <w:t xml:space="preserve"> </w:t>
      </w:r>
      <w:r>
        <w:tab/>
      </w:r>
      <w:r w:rsidRPr="00C92F30">
        <w:t xml:space="preserve">Voir Ali Moussa Iye, « Pour les 20 ans de la Route de l’esclave », </w:t>
      </w:r>
      <w:r w:rsidRPr="00C92F30">
        <w:rPr>
          <w:i/>
        </w:rPr>
        <w:t>Le Nouve</w:t>
      </w:r>
      <w:r w:rsidRPr="00C92F30">
        <w:rPr>
          <w:i/>
        </w:rPr>
        <w:t>l</w:t>
      </w:r>
      <w:r w:rsidRPr="00C92F30">
        <w:rPr>
          <w:i/>
        </w:rPr>
        <w:t xml:space="preserve">liste, </w:t>
      </w:r>
      <w:r w:rsidRPr="00C92F30">
        <w:t>op. cit.</w:t>
      </w:r>
    </w:p>
  </w:footnote>
  <w:footnote w:id="1066">
    <w:p w:rsidR="004C50DC" w:rsidRPr="00C92F30" w:rsidRDefault="004C50DC" w:rsidP="004C50DC">
      <w:pPr>
        <w:pStyle w:val="Notedebasdepage"/>
      </w:pPr>
      <w:r w:rsidRPr="00385BE4">
        <w:rPr>
          <w:rStyle w:val="Appelnotedebasdep"/>
        </w:rPr>
        <w:footnoteRef/>
      </w:r>
      <w:r>
        <w:tab/>
      </w:r>
      <w:r w:rsidRPr="00C92F30">
        <w:t>Voir Ayoko Mensah, « La gestion de la mémoire est une question hautement politique », entretien avec Ali Moussa Lyé, chef de la Division des polit</w:t>
      </w:r>
      <w:r w:rsidRPr="00C92F30">
        <w:t>i</w:t>
      </w:r>
      <w:r w:rsidRPr="00C92F30">
        <w:t>ques culturelles et du dialogue interculturel de l’UNESCO, responsable du pr</w:t>
      </w:r>
      <w:r w:rsidRPr="00C92F30">
        <w:t>o</w:t>
      </w:r>
      <w:r w:rsidRPr="00C92F30">
        <w:t xml:space="preserve">gramme « La Route de l’Esclave », </w:t>
      </w:r>
      <w:r w:rsidRPr="00C92F30">
        <w:rPr>
          <w:i/>
        </w:rPr>
        <w:t xml:space="preserve">Africultures, </w:t>
      </w:r>
      <w:r w:rsidRPr="00C92F30">
        <w:t>n</w:t>
      </w:r>
      <w:r w:rsidRPr="00C92F30">
        <w:rPr>
          <w:vertAlign w:val="superscript"/>
        </w:rPr>
        <w:t>o</w:t>
      </w:r>
      <w:r w:rsidRPr="00C92F30">
        <w:t> 67, mai 2006, p. 142.</w:t>
      </w:r>
    </w:p>
  </w:footnote>
  <w:footnote w:id="1067">
    <w:p w:rsidR="004C50DC" w:rsidRDefault="004C50DC">
      <w:pPr>
        <w:pStyle w:val="Notedebasdepage"/>
      </w:pPr>
      <w:r>
        <w:rPr>
          <w:rStyle w:val="Appelnotedebasdep"/>
        </w:rPr>
        <w:footnoteRef/>
      </w:r>
      <w:r>
        <w:t xml:space="preserve"> </w:t>
      </w:r>
      <w:r>
        <w:tab/>
      </w:r>
      <w:r w:rsidRPr="00C92F30">
        <w:rPr>
          <w:lang w:val="fr-FR"/>
        </w:rPr>
        <w:t xml:space="preserve">Jacques de Cauna, « Vestiges de sucreries dans la Plaine du Cul-de-Sac (part. I) », </w:t>
      </w:r>
      <w:r w:rsidRPr="00C92F30">
        <w:rPr>
          <w:i/>
          <w:iCs/>
          <w:lang w:val="fr-FR"/>
        </w:rPr>
        <w:t xml:space="preserve">Conjonction, </w:t>
      </w:r>
      <w:r w:rsidRPr="00C92F30">
        <w:rPr>
          <w:lang w:val="fr-FR"/>
        </w:rPr>
        <w:t>n</w:t>
      </w:r>
      <w:r w:rsidRPr="00C92F30">
        <w:rPr>
          <w:vertAlign w:val="superscript"/>
          <w:lang w:val="fr-FR"/>
        </w:rPr>
        <w:t>o</w:t>
      </w:r>
      <w:r w:rsidRPr="00C92F30">
        <w:rPr>
          <w:lang w:val="fr-FR"/>
        </w:rPr>
        <w:t> 149, 1981, p. 63-104, et part. 2, n</w:t>
      </w:r>
      <w:r w:rsidRPr="00C92F30">
        <w:rPr>
          <w:vertAlign w:val="superscript"/>
          <w:lang w:val="fr-FR"/>
        </w:rPr>
        <w:t>o</w:t>
      </w:r>
      <w:r w:rsidRPr="00C92F30">
        <w:rPr>
          <w:lang w:val="fr-FR"/>
        </w:rPr>
        <w:t> 165, 1981, p</w:t>
      </w:r>
      <w:r>
        <w:rPr>
          <w:lang w:val="fr-FR"/>
        </w:rPr>
        <w:t>p</w:t>
      </w:r>
      <w:r w:rsidRPr="00C92F30">
        <w:rPr>
          <w:lang w:val="fr-FR"/>
        </w:rPr>
        <w:t>. 4-32.</w:t>
      </w:r>
    </w:p>
  </w:footnote>
  <w:footnote w:id="1068">
    <w:p w:rsidR="004C50DC" w:rsidRDefault="004C50DC">
      <w:pPr>
        <w:pStyle w:val="Notedebasdepage"/>
      </w:pPr>
      <w:r>
        <w:rPr>
          <w:rStyle w:val="Appelnotedebasdep"/>
        </w:rPr>
        <w:footnoteRef/>
      </w:r>
      <w:r>
        <w:t xml:space="preserve"> </w:t>
      </w:r>
      <w:r>
        <w:tab/>
      </w:r>
      <w:r w:rsidRPr="00C92F30">
        <w:rPr>
          <w:lang w:val="fr-FR"/>
        </w:rPr>
        <w:t>L’article 215 de la Constitution de la République d’Haïti du 29 mars 1987 prescrit : « </w:t>
      </w:r>
      <w:r w:rsidRPr="00C92F30">
        <w:rPr>
          <w:i/>
          <w:lang w:val="fr-FR"/>
        </w:rPr>
        <w:t>Les richesses archéologiques, historiques, culturelles et folklor</w:t>
      </w:r>
      <w:r w:rsidRPr="00C92F30">
        <w:rPr>
          <w:i/>
          <w:lang w:val="fr-FR"/>
        </w:rPr>
        <w:t>i</w:t>
      </w:r>
      <w:r w:rsidRPr="00C92F30">
        <w:rPr>
          <w:i/>
          <w:lang w:val="fr-FR"/>
        </w:rPr>
        <w:t>ques du pays de même que les richesses architecturales, témoin de la gra</w:t>
      </w:r>
      <w:r w:rsidRPr="00C92F30">
        <w:rPr>
          <w:i/>
          <w:lang w:val="fr-FR"/>
        </w:rPr>
        <w:t>n</w:t>
      </w:r>
      <w:r w:rsidRPr="00C92F30">
        <w:rPr>
          <w:i/>
          <w:lang w:val="fr-FR"/>
        </w:rPr>
        <w:t>deur de n</w:t>
      </w:r>
      <w:r w:rsidRPr="00C92F30">
        <w:rPr>
          <w:i/>
          <w:lang w:val="fr-FR"/>
        </w:rPr>
        <w:t>o</w:t>
      </w:r>
      <w:r w:rsidRPr="00C92F30">
        <w:rPr>
          <w:i/>
          <w:lang w:val="fr-FR"/>
        </w:rPr>
        <w:t>tre passé, font partie du patrimoine national. En conséquence, les monuments, les ruines, les sites des grands faits d’armes de nos ancêtres, les centres réputés de nos croyances africaines et tous les vestiges du passé sont placés sous la protection de l’État</w:t>
      </w:r>
      <w:r w:rsidRPr="00C92F30">
        <w:rPr>
          <w:lang w:val="fr-FR"/>
        </w:rPr>
        <w:t> ». Toutefois, ces prescriptions ne défini</w:t>
      </w:r>
      <w:r w:rsidRPr="00C92F30">
        <w:rPr>
          <w:lang w:val="fr-FR"/>
        </w:rPr>
        <w:t>s</w:t>
      </w:r>
      <w:r w:rsidRPr="00C92F30">
        <w:rPr>
          <w:lang w:val="fr-FR"/>
        </w:rPr>
        <w:t>sent pas ces richesses ; le contenu reste en effet très flou.</w:t>
      </w:r>
    </w:p>
  </w:footnote>
  <w:footnote w:id="1069">
    <w:p w:rsidR="004C50DC" w:rsidRDefault="004C50DC">
      <w:pPr>
        <w:pStyle w:val="Notedebasdepage"/>
      </w:pPr>
      <w:r>
        <w:rPr>
          <w:rStyle w:val="Appelnotedebasdep"/>
        </w:rPr>
        <w:footnoteRef/>
      </w:r>
      <w:r>
        <w:t xml:space="preserve"> </w:t>
      </w:r>
      <w:r>
        <w:tab/>
      </w:r>
      <w:r w:rsidRPr="00C92F30">
        <w:t xml:space="preserve">Voir Bogumil Jewsiewicki, « Patrimonialiser les mémoires pour accorder à la souffrance la reconnaissance qu’elle mérite », dans Auzas et Jewsiewicki (dir.), </w:t>
      </w:r>
      <w:r w:rsidRPr="00C92F30">
        <w:rPr>
          <w:i/>
        </w:rPr>
        <w:t>Traumatisme collectif pour patrimoine</w:t>
      </w:r>
      <w:r w:rsidRPr="00C92F30">
        <w:t>..., op. cit., p</w:t>
      </w:r>
      <w:r>
        <w:t>p</w:t>
      </w:r>
      <w:r w:rsidRPr="00C92F30">
        <w:t>. 3-12.</w:t>
      </w:r>
    </w:p>
  </w:footnote>
  <w:footnote w:id="1070">
    <w:p w:rsidR="004C50DC" w:rsidRPr="00C92F30" w:rsidRDefault="004C50DC" w:rsidP="004C50DC">
      <w:pPr>
        <w:pStyle w:val="Notedebasdepage"/>
      </w:pPr>
      <w:r w:rsidRPr="00385BE4">
        <w:rPr>
          <w:rStyle w:val="Appelnotedebasdep"/>
        </w:rPr>
        <w:footnoteRef/>
      </w:r>
      <w:r>
        <w:tab/>
      </w:r>
      <w:r w:rsidRPr="00C92F30">
        <w:rPr>
          <w:lang w:val="fr-FR"/>
        </w:rPr>
        <w:t>Des intellectuels et politiques comme Lyonel Trouillot et Jean Casimir, entre autres, ainsi que la population haïtienne dans sa presque totalité sont d’avis que la France doit rembourser à Haïti cette dette de 17 milliards d’euros ex</w:t>
      </w:r>
      <w:r w:rsidRPr="00C92F30">
        <w:rPr>
          <w:lang w:val="fr-FR"/>
        </w:rPr>
        <w:t>i</w:t>
      </w:r>
      <w:r w:rsidRPr="00C92F30">
        <w:rPr>
          <w:lang w:val="fr-FR"/>
        </w:rPr>
        <w:t>gée lors de son indépendance. Lors de la visite du président français Nicolas Sarkozy, le 17 février 2010, marquant la première visite d’un chef d’État fra</w:t>
      </w:r>
      <w:r w:rsidRPr="00C92F30">
        <w:rPr>
          <w:lang w:val="fr-FR"/>
        </w:rPr>
        <w:t>n</w:t>
      </w:r>
      <w:r w:rsidRPr="00C92F30">
        <w:rPr>
          <w:lang w:val="fr-FR"/>
        </w:rPr>
        <w:t>çais en Haïti depuis son indépendance, la question a été une nouvelle fois so</w:t>
      </w:r>
      <w:r w:rsidRPr="00C92F30">
        <w:rPr>
          <w:lang w:val="fr-FR"/>
        </w:rPr>
        <w:t>u</w:t>
      </w:r>
      <w:r w:rsidRPr="00C92F30">
        <w:rPr>
          <w:lang w:val="fr-FR"/>
        </w:rPr>
        <w:t>levée.</w:t>
      </w:r>
      <w:r w:rsidRPr="00C92F30">
        <w:t xml:space="preserve"> </w:t>
      </w:r>
    </w:p>
  </w:footnote>
  <w:footnote w:id="1071">
    <w:p w:rsidR="004C50DC" w:rsidRDefault="004C50DC">
      <w:pPr>
        <w:pStyle w:val="Notedebasdepage"/>
      </w:pPr>
      <w:r>
        <w:rPr>
          <w:rStyle w:val="Appelnotedebasdep"/>
        </w:rPr>
        <w:footnoteRef/>
      </w:r>
      <w:r>
        <w:t xml:space="preserve"> </w:t>
      </w:r>
      <w:r>
        <w:tab/>
      </w:r>
      <w:r w:rsidRPr="00C92F30">
        <w:t xml:space="preserve">Voir Leslie Jean-Robert Péan, « Haïti : Le père Dessalines et les sans-repères (2 de 2) », en ligne, </w:t>
      </w:r>
      <w:hyperlink r:id="rId167" w:anchor=".VUuSQvlViko" w:history="1">
        <w:r w:rsidRPr="00C92F30">
          <w:rPr>
            <w:rStyle w:val="Lienhypertexte"/>
          </w:rPr>
          <w:t>http://www.alterpresse.org/spip.php?article17216#</w:t>
        </w:r>
      </w:hyperlink>
      <w:r w:rsidRPr="00C92F30">
        <w:t>, consulté le 5 mai 2015.</w:t>
      </w:r>
    </w:p>
  </w:footnote>
  <w:footnote w:id="1072">
    <w:p w:rsidR="004C50DC" w:rsidRDefault="004C50DC">
      <w:pPr>
        <w:pStyle w:val="Notedebasdepage"/>
      </w:pPr>
      <w:r>
        <w:rPr>
          <w:rStyle w:val="Appelnotedebasdep"/>
        </w:rPr>
        <w:footnoteRef/>
      </w:r>
      <w:r>
        <w:t xml:space="preserve"> </w:t>
      </w:r>
      <w:r>
        <w:tab/>
      </w:r>
      <w:r w:rsidRPr="00C92F30">
        <w:t xml:space="preserve">Gérard Barthélemy, dont les travaux sur Haïti constituent des références mais font débat, </w:t>
      </w:r>
      <w:r w:rsidRPr="00C92F30">
        <w:rPr>
          <w:lang w:val="fr-FR"/>
        </w:rPr>
        <w:t xml:space="preserve">est l’auteur </w:t>
      </w:r>
      <w:r w:rsidRPr="00C92F30">
        <w:t>de plusieurs recherches sur la mémoire de l’esclavage chez les paysans haïtiens dont</w:t>
      </w:r>
      <w:r w:rsidRPr="00C92F30">
        <w:rPr>
          <w:lang w:val="fr-FR"/>
        </w:rPr>
        <w:t xml:space="preserve"> « Paradoxes de la mémoire paysanne », </w:t>
      </w:r>
      <w:r w:rsidRPr="00C92F30">
        <w:rPr>
          <w:i/>
          <w:lang w:val="fr-FR"/>
        </w:rPr>
        <w:t>Ch</w:t>
      </w:r>
      <w:r w:rsidRPr="00C92F30">
        <w:rPr>
          <w:i/>
          <w:lang w:val="fr-FR"/>
        </w:rPr>
        <w:t>e</w:t>
      </w:r>
      <w:r w:rsidRPr="00C92F30">
        <w:rPr>
          <w:i/>
          <w:lang w:val="fr-FR"/>
        </w:rPr>
        <w:t>mins critiques</w:t>
      </w:r>
      <w:r w:rsidRPr="00C92F30">
        <w:rPr>
          <w:lang w:val="fr-FR"/>
        </w:rPr>
        <w:t>, vol. 1, n</w:t>
      </w:r>
      <w:r w:rsidRPr="00C92F30">
        <w:rPr>
          <w:vertAlign w:val="superscript"/>
          <w:lang w:val="fr-FR"/>
        </w:rPr>
        <w:t>o</w:t>
      </w:r>
      <w:r w:rsidRPr="00C92F30">
        <w:rPr>
          <w:lang w:val="fr-FR"/>
        </w:rPr>
        <w:t> 4, 1990, p</w:t>
      </w:r>
      <w:r>
        <w:rPr>
          <w:lang w:val="fr-FR"/>
        </w:rPr>
        <w:t>p</w:t>
      </w:r>
      <w:r w:rsidRPr="00C92F30">
        <w:rPr>
          <w:lang w:val="fr-FR"/>
        </w:rPr>
        <w:t xml:space="preserve">. 71-87, et </w:t>
      </w:r>
      <w:r w:rsidRPr="00C92F30">
        <w:rPr>
          <w:i/>
          <w:lang w:val="fr-FR"/>
        </w:rPr>
        <w:t>Le pays en dehors. Essai sur l’univers rural haïtien</w:t>
      </w:r>
      <w:r w:rsidRPr="00C92F30">
        <w:rPr>
          <w:lang w:val="fr-FR"/>
        </w:rPr>
        <w:t>, Port-au-Prince, Deschamps, 1989.</w:t>
      </w:r>
    </w:p>
  </w:footnote>
  <w:footnote w:id="1073">
    <w:p w:rsidR="004C50DC" w:rsidRDefault="004C50DC">
      <w:pPr>
        <w:pStyle w:val="Notedebasdepage"/>
      </w:pPr>
      <w:r>
        <w:rPr>
          <w:rStyle w:val="Appelnotedebasdep"/>
        </w:rPr>
        <w:footnoteRef/>
      </w:r>
      <w:r>
        <w:t xml:space="preserve"> </w:t>
      </w:r>
      <w:r>
        <w:tab/>
      </w:r>
      <w:r w:rsidRPr="00C92F30">
        <w:t>Comité indépendant de réflexion et de propositions sur les relations fra</w:t>
      </w:r>
      <w:r w:rsidRPr="00C92F30">
        <w:t>n</w:t>
      </w:r>
      <w:r w:rsidRPr="00C92F30">
        <w:t xml:space="preserve">co-haïtiennes, </w:t>
      </w:r>
      <w:r w:rsidRPr="00C92F30">
        <w:rPr>
          <w:lang w:val="fr-FR"/>
        </w:rPr>
        <w:t xml:space="preserve">Rapport au </w:t>
      </w:r>
      <w:r w:rsidRPr="00C92F30">
        <w:t>ministre des Affaires étrangères, M. Dominique de Vi</w:t>
      </w:r>
      <w:r w:rsidRPr="00C92F30">
        <w:t>l</w:t>
      </w:r>
      <w:r w:rsidRPr="00C92F30">
        <w:t>l</w:t>
      </w:r>
      <w:r w:rsidRPr="00C92F30">
        <w:t>e</w:t>
      </w:r>
      <w:r w:rsidRPr="00C92F30">
        <w:t>pin [Rapport Debray], janvier 2004, en ligne,</w:t>
      </w:r>
      <w:r>
        <w:br/>
      </w:r>
      <w:hyperlink r:id="rId168" w:history="1">
        <w:r w:rsidRPr="00C92F30">
          <w:rPr>
            <w:rStyle w:val="Lienhypertexte"/>
          </w:rPr>
          <w:t>http://www.ladocumentationfrancaise.fr/var/storage/rapports-ublics/044000056.pdf</w:t>
        </w:r>
      </w:hyperlink>
      <w:r w:rsidRPr="00C92F30">
        <w:t>, consulté le 3 avril 2014.</w:t>
      </w:r>
    </w:p>
  </w:footnote>
  <w:footnote w:id="1074">
    <w:p w:rsidR="004C50DC" w:rsidRDefault="004C50DC">
      <w:pPr>
        <w:pStyle w:val="Notedebasdepage"/>
      </w:pPr>
      <w:r>
        <w:rPr>
          <w:rStyle w:val="Appelnotedebasdep"/>
        </w:rPr>
        <w:footnoteRef/>
      </w:r>
      <w:r>
        <w:t xml:space="preserve"> </w:t>
      </w:r>
      <w:r>
        <w:tab/>
      </w:r>
      <w:r w:rsidRPr="00C92F30">
        <w:t>Régis Debray répondait aux questions de François Bonnet dans une entr</w:t>
      </w:r>
      <w:r w:rsidRPr="00C92F30">
        <w:t>e</w:t>
      </w:r>
      <w:r w:rsidRPr="00C92F30">
        <w:t xml:space="preserve">vue ; voir « Haïti : précurseur et paria », </w:t>
      </w:r>
      <w:r w:rsidRPr="00C92F30">
        <w:rPr>
          <w:i/>
        </w:rPr>
        <w:t>Mediapart</w:t>
      </w:r>
      <w:r w:rsidRPr="00C92F30">
        <w:t>, en l</w:t>
      </w:r>
      <w:r w:rsidRPr="00C92F30">
        <w:t>i</w:t>
      </w:r>
      <w:r w:rsidRPr="00C92F30">
        <w:t>gne,</w:t>
      </w:r>
      <w:r>
        <w:t xml:space="preserve"> </w:t>
      </w:r>
      <w:hyperlink r:id="rId169" w:history="1">
        <w:r w:rsidRPr="00C92F30">
          <w:rPr>
            <w:rStyle w:val="Lienhypertexte"/>
          </w:rPr>
          <w:t>http://www.politique-actu.com/debat/haiti-regis-debray/55859/</w:t>
        </w:r>
      </w:hyperlink>
      <w:r w:rsidRPr="00C92F30">
        <w:t>, consulté le 23 mars 2015.</w:t>
      </w:r>
    </w:p>
  </w:footnote>
  <w:footnote w:id="1075">
    <w:p w:rsidR="004C50DC" w:rsidRDefault="004C50DC">
      <w:pPr>
        <w:pStyle w:val="Notedebasdepage"/>
      </w:pPr>
      <w:r>
        <w:rPr>
          <w:rStyle w:val="Appelnotedebasdep"/>
        </w:rPr>
        <w:footnoteRef/>
      </w:r>
      <w:r>
        <w:t xml:space="preserve"> </w:t>
      </w:r>
      <w:r>
        <w:tab/>
      </w:r>
      <w:r w:rsidRPr="00C92F30">
        <w:t>Jean Casimir</w:t>
      </w:r>
      <w:r w:rsidRPr="00C92F30">
        <w:rPr>
          <w:i/>
        </w:rPr>
        <w:t xml:space="preserve">, </w:t>
      </w:r>
      <w:r w:rsidRPr="00C92F30">
        <w:t>« Haïti et ses élites, l’interminable dialogue de sourds », article préparé à partir d’une conférence prononcée à El Colegio de México, intitulée « Formación e inserción de Haití en la comunidad internacional », le 27 n</w:t>
      </w:r>
      <w:r w:rsidRPr="00C92F30">
        <w:t>o</w:t>
      </w:r>
      <w:r w:rsidRPr="00C92F30">
        <w:t xml:space="preserve">vembre 2006. L’article porte le même titre que son ouvrage, </w:t>
      </w:r>
      <w:r w:rsidRPr="00C92F30">
        <w:rPr>
          <w:i/>
        </w:rPr>
        <w:t>Haïti et ses élites, l’interminable dialogue de sourds</w:t>
      </w:r>
      <w:r w:rsidRPr="00C92F30">
        <w:t>, Port-au-Prince, Presses de l’Université d’État d’Haïti, 2009.</w:t>
      </w:r>
    </w:p>
  </w:footnote>
  <w:footnote w:id="1076">
    <w:p w:rsidR="004C50DC" w:rsidRDefault="004C50DC">
      <w:pPr>
        <w:pStyle w:val="Notedebasdepage"/>
      </w:pPr>
      <w:r>
        <w:rPr>
          <w:rStyle w:val="Appelnotedebasdep"/>
        </w:rPr>
        <w:footnoteRef/>
      </w:r>
      <w:r>
        <w:t xml:space="preserve"> </w:t>
      </w:r>
      <w:r>
        <w:tab/>
      </w:r>
      <w:r w:rsidRPr="00C92F30">
        <w:t>Lyonel Trouillot, « Haïti/France : la France nous a fait violence », en l</w:t>
      </w:r>
      <w:r w:rsidRPr="00C92F30">
        <w:t>i</w:t>
      </w:r>
      <w:r w:rsidRPr="00C92F30">
        <w:t xml:space="preserve">gne, </w:t>
      </w:r>
      <w:hyperlink r:id="rId170" w:history="1">
        <w:r w:rsidRPr="00C92F30">
          <w:rPr>
            <w:rStyle w:val="Lienhypertexte"/>
          </w:rPr>
          <w:t>http://www.canalplushaiti.net/haitifrancelyonel-trouillot-la-france-nous-a-fait-violence/</w:t>
        </w:r>
      </w:hyperlink>
      <w:r w:rsidRPr="00C92F30">
        <w:t>, consulté le 13 mai 2015.</w:t>
      </w:r>
    </w:p>
  </w:footnote>
  <w:footnote w:id="1077">
    <w:p w:rsidR="004C50DC" w:rsidRPr="00C92F30" w:rsidRDefault="004C50DC" w:rsidP="004C50DC">
      <w:pPr>
        <w:pStyle w:val="Notedebasdepage"/>
      </w:pPr>
      <w:r w:rsidRPr="00385BE4">
        <w:rPr>
          <w:rStyle w:val="Appelnotedebasdep"/>
        </w:rPr>
        <w:footnoteRef/>
      </w:r>
      <w:r>
        <w:tab/>
      </w:r>
      <w:r w:rsidRPr="00C92F30">
        <w:t>Ibid.</w:t>
      </w:r>
    </w:p>
  </w:footnote>
  <w:footnote w:id="1078">
    <w:p w:rsidR="004C50DC" w:rsidRDefault="004C50DC">
      <w:pPr>
        <w:pStyle w:val="Notedebasdepage"/>
      </w:pPr>
      <w:r>
        <w:rPr>
          <w:rStyle w:val="Appelnotedebasdep"/>
        </w:rPr>
        <w:footnoteRef/>
      </w:r>
      <w:r>
        <w:t xml:space="preserve"> </w:t>
      </w:r>
      <w:r>
        <w:tab/>
      </w:r>
      <w:r w:rsidRPr="00C92F30">
        <w:rPr>
          <w:lang w:val="fr-FR"/>
        </w:rPr>
        <w:t>L’Institut virtuel des hautes études sur les esclavages et les traites (I</w:t>
      </w:r>
      <w:r w:rsidRPr="00C92F30">
        <w:rPr>
          <w:lang w:val="fr-FR"/>
        </w:rPr>
        <w:t>V</w:t>
      </w:r>
      <w:r w:rsidRPr="00C92F30">
        <w:rPr>
          <w:lang w:val="fr-FR"/>
        </w:rPr>
        <w:t>HEET) en Haïti a donné des bourses à des étudiants de l’Université d’État d’Haïti tr</w:t>
      </w:r>
      <w:r w:rsidRPr="00C92F30">
        <w:rPr>
          <w:lang w:val="fr-FR"/>
        </w:rPr>
        <w:t>a</w:t>
      </w:r>
      <w:r w:rsidRPr="00C92F30">
        <w:rPr>
          <w:lang w:val="fr-FR"/>
        </w:rPr>
        <w:t>vaillant sur cette thématique à travers le programme de maîtrise interdiscipl</w:t>
      </w:r>
      <w:r w:rsidRPr="00C92F30">
        <w:rPr>
          <w:lang w:val="fr-FR"/>
        </w:rPr>
        <w:t>i</w:t>
      </w:r>
      <w:r w:rsidRPr="00C92F30">
        <w:rPr>
          <w:lang w:val="fr-FR"/>
        </w:rPr>
        <w:t>naire en Sciences sociales et humaines (MISHH) depuis 2008. Toutefois, d</w:t>
      </w:r>
      <w:r w:rsidRPr="00C92F30">
        <w:rPr>
          <w:lang w:val="fr-FR"/>
        </w:rPr>
        <w:t>e</w:t>
      </w:r>
      <w:r w:rsidRPr="00C92F30">
        <w:rPr>
          <w:lang w:val="fr-FR"/>
        </w:rPr>
        <w:t>puis le début du XXIe siècle,des écrivains haïtiens ont fait paraître de no</w:t>
      </w:r>
      <w:r w:rsidRPr="00C92F30">
        <w:rPr>
          <w:lang w:val="fr-FR"/>
        </w:rPr>
        <w:t>m</w:t>
      </w:r>
      <w:r w:rsidRPr="00C92F30">
        <w:rPr>
          <w:lang w:val="fr-FR"/>
        </w:rPr>
        <w:t>breux ouvrages historiques et des romans inspirés de l’histoire coloniale e</w:t>
      </w:r>
      <w:r w:rsidRPr="00C92F30">
        <w:rPr>
          <w:lang w:val="fr-FR"/>
        </w:rPr>
        <w:t>s</w:t>
      </w:r>
      <w:r w:rsidRPr="00C92F30">
        <w:rPr>
          <w:lang w:val="fr-FR"/>
        </w:rPr>
        <w:t>clavagiste pr</w:t>
      </w:r>
      <w:r w:rsidRPr="00C92F30">
        <w:rPr>
          <w:lang w:val="fr-FR"/>
        </w:rPr>
        <w:t>é</w:t>
      </w:r>
      <w:r w:rsidRPr="00C92F30">
        <w:rPr>
          <w:lang w:val="fr-FR"/>
        </w:rPr>
        <w:t xml:space="preserve">sentant </w:t>
      </w:r>
      <w:r w:rsidRPr="00C92F30">
        <w:t>les esclaves comme des individus avec leurs passions, leurs faiblesses, leur détermination et leur détresse</w:t>
      </w:r>
      <w:r w:rsidRPr="00C92F30">
        <w:rPr>
          <w:lang w:val="fr-FR"/>
        </w:rPr>
        <w:t xml:space="preserve"> ont été aussi p</w:t>
      </w:r>
      <w:r w:rsidRPr="00C92F30">
        <w:rPr>
          <w:lang w:val="fr-FR"/>
        </w:rPr>
        <w:t>u</w:t>
      </w:r>
      <w:r w:rsidRPr="00C92F30">
        <w:rPr>
          <w:lang w:val="fr-FR"/>
        </w:rPr>
        <w:t>bliés ;mentionnons, entre autres,</w:t>
      </w:r>
      <w:r w:rsidRPr="00C92F30">
        <w:rPr>
          <w:i/>
          <w:lang w:val="fr-FR"/>
        </w:rPr>
        <w:t>Rosalie l’infâme</w:t>
      </w:r>
      <w:r w:rsidRPr="00C92F30">
        <w:rPr>
          <w:lang w:val="fr-FR"/>
        </w:rPr>
        <w:t xml:space="preserve"> (Évelyne Trouillot, 2003) ;</w:t>
      </w:r>
      <w:r w:rsidRPr="00C92F30">
        <w:rPr>
          <w:i/>
          <w:lang w:val="fr-FR"/>
        </w:rPr>
        <w:t>La Négresse de Saint-Domingue</w:t>
      </w:r>
      <w:r w:rsidRPr="00C92F30">
        <w:rPr>
          <w:lang w:val="fr-FR"/>
        </w:rPr>
        <w:t xml:space="preserve"> (Beaudelaine Pierre, 2011) ;</w:t>
      </w:r>
      <w:r w:rsidRPr="00C92F30">
        <w:rPr>
          <w:i/>
          <w:lang w:val="fr-FR"/>
        </w:rPr>
        <w:t>Moi, Toussaint Louve</w:t>
      </w:r>
      <w:r w:rsidRPr="00C92F30">
        <w:rPr>
          <w:i/>
          <w:lang w:val="fr-FR"/>
        </w:rPr>
        <w:t>r</w:t>
      </w:r>
      <w:r w:rsidRPr="00C92F30">
        <w:rPr>
          <w:i/>
          <w:lang w:val="fr-FR"/>
        </w:rPr>
        <w:t>ture</w:t>
      </w:r>
      <w:r w:rsidRPr="00C92F30">
        <w:rPr>
          <w:lang w:val="fr-FR"/>
        </w:rPr>
        <w:t xml:space="preserve"> (Jean-Claude Fignolé, 2004) ;</w:t>
      </w:r>
      <w:r w:rsidRPr="00C92F30">
        <w:rPr>
          <w:i/>
        </w:rPr>
        <w:t xml:space="preserve">Pa bliye 1804 – Souviens-toi de 1804 </w:t>
      </w:r>
      <w:r w:rsidRPr="00C92F30">
        <w:t xml:space="preserve">(Jean Casimir, 2004) ; </w:t>
      </w:r>
      <w:r w:rsidRPr="00C92F30">
        <w:rPr>
          <w:i/>
          <w:lang w:val="fr-FR"/>
        </w:rPr>
        <w:t>Rel</w:t>
      </w:r>
      <w:r w:rsidRPr="00C92F30">
        <w:rPr>
          <w:i/>
          <w:lang w:val="fr-FR"/>
        </w:rPr>
        <w:t>i</w:t>
      </w:r>
      <w:r w:rsidRPr="00C92F30">
        <w:rPr>
          <w:i/>
          <w:lang w:val="fr-FR"/>
        </w:rPr>
        <w:t xml:space="preserve">gions et lien social. L’Église et l’État moderne en Haïti </w:t>
      </w:r>
      <w:r w:rsidRPr="00C92F30">
        <w:rPr>
          <w:lang w:val="fr-FR"/>
        </w:rPr>
        <w:t xml:space="preserve">(Laënnec Hurbon, 2004) ; </w:t>
      </w:r>
      <w:r w:rsidRPr="00C92F30">
        <w:rPr>
          <w:i/>
        </w:rPr>
        <w:t>Sources docume</w:t>
      </w:r>
      <w:r w:rsidRPr="00C92F30">
        <w:rPr>
          <w:i/>
        </w:rPr>
        <w:t>n</w:t>
      </w:r>
      <w:r w:rsidRPr="00C92F30">
        <w:rPr>
          <w:i/>
        </w:rPr>
        <w:t>taires de l’histoire des jésuites en Haïti aux XIX</w:t>
      </w:r>
      <w:r w:rsidRPr="00C92F30">
        <w:rPr>
          <w:i/>
          <w:vertAlign w:val="superscript"/>
        </w:rPr>
        <w:t>e</w:t>
      </w:r>
      <w:r w:rsidRPr="00C92F30">
        <w:rPr>
          <w:i/>
        </w:rPr>
        <w:t xml:space="preserve"> et XX</w:t>
      </w:r>
      <w:r w:rsidRPr="00C92F30">
        <w:rPr>
          <w:i/>
          <w:vertAlign w:val="superscript"/>
        </w:rPr>
        <w:t>e</w:t>
      </w:r>
      <w:r w:rsidRPr="00C92F30">
        <w:rPr>
          <w:i/>
        </w:rPr>
        <w:t xml:space="preserve"> siècles (1704-1763 / 1953-1964) </w:t>
      </w:r>
      <w:r w:rsidRPr="00C92F30">
        <w:t>(François Kawas, 2006).</w:t>
      </w:r>
    </w:p>
  </w:footnote>
  <w:footnote w:id="1079">
    <w:p w:rsidR="004C50DC" w:rsidRDefault="004C50DC">
      <w:pPr>
        <w:pStyle w:val="Notedebasdepage"/>
      </w:pPr>
      <w:r>
        <w:rPr>
          <w:rStyle w:val="Appelnotedebasdep"/>
        </w:rPr>
        <w:footnoteRef/>
      </w:r>
      <w:r>
        <w:t xml:space="preserve"> </w:t>
      </w:r>
      <w:r>
        <w:tab/>
      </w:r>
      <w:r w:rsidRPr="00C92F30">
        <w:t>Voir UNESCO, Bureau de l’information du public, « Luttes contre l’esclavage », en ligne,</w:t>
      </w:r>
      <w:r>
        <w:br/>
      </w:r>
      <w:hyperlink r:id="rId171" w:history="1">
        <w:r w:rsidRPr="00C92F30">
          <w:rPr>
            <w:rStyle w:val="Lienhypertexte"/>
          </w:rPr>
          <w:t>http://www.unesco.org/bpi/pdf/memobpi50_slavery_fr.pdf</w:t>
        </w:r>
      </w:hyperlink>
      <w:r w:rsidRPr="00C92F30">
        <w:t>, consulté le 12 n</w:t>
      </w:r>
      <w:r w:rsidRPr="00C92F30">
        <w:t>o</w:t>
      </w:r>
      <w:r w:rsidRPr="00C92F30">
        <w:t>vembre 2014.</w:t>
      </w:r>
    </w:p>
  </w:footnote>
  <w:footnote w:id="1080">
    <w:p w:rsidR="004C50DC" w:rsidRPr="00C92F30" w:rsidRDefault="004C50DC" w:rsidP="004C50DC">
      <w:pPr>
        <w:pStyle w:val="Notedebasdepage"/>
      </w:pPr>
      <w:r w:rsidRPr="00FD1805">
        <w:rPr>
          <w:rStyle w:val="Appelnotedebasdep"/>
        </w:rPr>
        <w:footnoteRef/>
      </w:r>
      <w:r>
        <w:tab/>
      </w:r>
      <w:r w:rsidRPr="00C92F30">
        <w:t>Doudou Diène, « Exposer la résistance culturelle de l’esclave », op. cit., p. 20-25 ; voir également Doudou Diène, « Silence et invisibilité. L’enjeu de m</w:t>
      </w:r>
      <w:r w:rsidRPr="00C92F30">
        <w:t>é</w:t>
      </w:r>
      <w:r w:rsidRPr="00C92F30">
        <w:t xml:space="preserve">moire de la domination et de la discrimination », dans Valérie Lange-Eyre (dir.), </w:t>
      </w:r>
      <w:r w:rsidRPr="00C92F30">
        <w:rPr>
          <w:i/>
        </w:rPr>
        <w:t>Mémoires et droits humains. Enjeux et perspectives pour les peuples d’Afrique et des Amériques</w:t>
      </w:r>
      <w:r w:rsidRPr="00C92F30">
        <w:t>, Lausanne, Éditions d’En Bas, 2009, p. 76.</w:t>
      </w:r>
    </w:p>
  </w:footnote>
  <w:footnote w:id="1081">
    <w:p w:rsidR="004C50DC" w:rsidRPr="00C92F30" w:rsidRDefault="004C50DC" w:rsidP="004C50DC">
      <w:pPr>
        <w:pStyle w:val="Notedebasdepage"/>
      </w:pPr>
      <w:r w:rsidRPr="00FD1805">
        <w:rPr>
          <w:rStyle w:val="Appelnotedebasdep"/>
        </w:rPr>
        <w:footnoteRef/>
      </w:r>
      <w:r>
        <w:tab/>
      </w:r>
      <w:r w:rsidRPr="00C92F30">
        <w:t>Doudou Diène, « Exposer la résistance culturelle de l’esclave », op. cit., p. 20-25 ; ce texte traite de la forme culturelle dans le contexte de la résistance à l’esclavage transatlantique.</w:t>
      </w:r>
    </w:p>
  </w:footnote>
  <w:footnote w:id="1082">
    <w:p w:rsidR="004C50DC" w:rsidRPr="00C92F30" w:rsidRDefault="004C50DC" w:rsidP="004C50DC">
      <w:pPr>
        <w:pStyle w:val="Notedebasdepage"/>
      </w:pPr>
      <w:r w:rsidRPr="00FD1805">
        <w:rPr>
          <w:rStyle w:val="Appelnotedebasdep"/>
        </w:rPr>
        <w:footnoteRef/>
      </w:r>
      <w:r>
        <w:tab/>
      </w:r>
      <w:r w:rsidRPr="00C92F30">
        <w:t>Doudou Diène, « Silence et invisibilité… », op. cit., p. 76.</w:t>
      </w:r>
    </w:p>
  </w:footnote>
  <w:footnote w:id="1083">
    <w:p w:rsidR="004C50DC" w:rsidRDefault="004C50DC">
      <w:pPr>
        <w:pStyle w:val="Notedebasdepage"/>
      </w:pPr>
      <w:r>
        <w:rPr>
          <w:rStyle w:val="Appelnotedebasdep"/>
        </w:rPr>
        <w:footnoteRef/>
      </w:r>
      <w:r>
        <w:t xml:space="preserve"> </w:t>
      </w:r>
      <w:r>
        <w:tab/>
      </w:r>
      <w:r w:rsidRPr="00C92F30">
        <w:t xml:space="preserve">Justin </w:t>
      </w:r>
      <w:r w:rsidRPr="00C92F30">
        <w:rPr>
          <w:rStyle w:val="SansinterligneCar"/>
          <w:sz w:val="24"/>
          <w:szCs w:val="20"/>
          <w:lang w:val="fr-CA"/>
        </w:rPr>
        <w:t xml:space="preserve">Girod de Chantrans, </w:t>
      </w:r>
      <w:r w:rsidRPr="00C92F30">
        <w:rPr>
          <w:rStyle w:val="SansinterligneCar"/>
          <w:i/>
          <w:sz w:val="24"/>
          <w:szCs w:val="20"/>
          <w:lang w:val="fr-CA"/>
        </w:rPr>
        <w:t>Voyage d’un Suisse dans différentes colonies d’Amérique</w:t>
      </w:r>
      <w:r w:rsidRPr="00C92F30">
        <w:rPr>
          <w:rStyle w:val="SansinterligneCar"/>
          <w:sz w:val="24"/>
          <w:szCs w:val="20"/>
          <w:lang w:val="fr-CA"/>
        </w:rPr>
        <w:t>, Paris, Tallandier, [1785]1980, p. 134</w:t>
      </w:r>
      <w:r w:rsidRPr="00C92F30">
        <w:t>.</w:t>
      </w:r>
    </w:p>
  </w:footnote>
  <w:footnote w:id="1084">
    <w:p w:rsidR="004C50DC" w:rsidRDefault="004C50DC">
      <w:pPr>
        <w:pStyle w:val="Notedebasdepage"/>
      </w:pPr>
      <w:r>
        <w:rPr>
          <w:rStyle w:val="Appelnotedebasdep"/>
        </w:rPr>
        <w:footnoteRef/>
      </w:r>
      <w:r>
        <w:t xml:space="preserve"> </w:t>
      </w:r>
      <w:r>
        <w:tab/>
      </w:r>
      <w:r w:rsidRPr="00C92F30">
        <w:rPr>
          <w:lang w:val="fr-FR"/>
        </w:rPr>
        <w:t>Leslie François Manigat, « Annotations réflexives sur un thème porteur. La Révolution d’indépendance nationale d’Haïti, de l’ethno-nationalisme à l’universalisme des doits de l’Homme (concepts et conceptions des droits de l’homme dans la dynamique du message révolutionnaire haïtien) », Colloque international</w:t>
      </w:r>
      <w:r w:rsidRPr="00C92F30">
        <w:rPr>
          <w:i/>
          <w:lang w:val="fr-FR"/>
        </w:rPr>
        <w:t xml:space="preserve"> Révolution haïtienne et Universalité des droits de l’Homme. A</w:t>
      </w:r>
      <w:r w:rsidRPr="00C92F30">
        <w:rPr>
          <w:i/>
          <w:lang w:val="fr-FR"/>
        </w:rPr>
        <w:t>p</w:t>
      </w:r>
      <w:r w:rsidRPr="00C92F30">
        <w:rPr>
          <w:i/>
          <w:lang w:val="fr-FR"/>
        </w:rPr>
        <w:t>ports, parcours historique, perspectives,</w:t>
      </w:r>
      <w:r w:rsidRPr="00C92F30">
        <w:rPr>
          <w:lang w:val="fr-FR"/>
        </w:rPr>
        <w:t xml:space="preserve"> à l’occasion du soixantième annive</w:t>
      </w:r>
      <w:r w:rsidRPr="00C92F30">
        <w:rPr>
          <w:lang w:val="fr-FR"/>
        </w:rPr>
        <w:t>r</w:t>
      </w:r>
      <w:r w:rsidRPr="00C92F30">
        <w:rPr>
          <w:lang w:val="fr-FR"/>
        </w:rPr>
        <w:t>saire de la Déclaration universelle des droits de l’Homme, Port-au-Prince, août 2009.</w:t>
      </w:r>
    </w:p>
  </w:footnote>
  <w:footnote w:id="1085">
    <w:p w:rsidR="004C50DC" w:rsidRDefault="004C50DC">
      <w:pPr>
        <w:pStyle w:val="Notedebasdepage"/>
      </w:pPr>
      <w:r>
        <w:rPr>
          <w:rStyle w:val="Appelnotedebasdep"/>
        </w:rPr>
        <w:footnoteRef/>
      </w:r>
      <w:r>
        <w:t xml:space="preserve"> </w:t>
      </w:r>
      <w:r>
        <w:tab/>
      </w:r>
      <w:r w:rsidRPr="00C92F30">
        <w:rPr>
          <w:bdr w:val="none" w:sz="0" w:space="0" w:color="auto" w:frame="1"/>
        </w:rPr>
        <w:t>Michel Hector, « Universalité et actualité de 1804 », conférence prono</w:t>
      </w:r>
      <w:r w:rsidRPr="00C92F30">
        <w:rPr>
          <w:bdr w:val="none" w:sz="0" w:space="0" w:color="auto" w:frame="1"/>
        </w:rPr>
        <w:t>n</w:t>
      </w:r>
      <w:r w:rsidRPr="00C92F30">
        <w:rPr>
          <w:bdr w:val="none" w:sz="0" w:space="0" w:color="auto" w:frame="1"/>
        </w:rPr>
        <w:t xml:space="preserve">cée à l’Institut français d’Haïti en novembre 2004, </w:t>
      </w:r>
      <w:r w:rsidRPr="00C92F30">
        <w:rPr>
          <w:i/>
          <w:bdr w:val="none" w:sz="0" w:space="0" w:color="auto" w:frame="1"/>
        </w:rPr>
        <w:t>Haïti : 1804-2004</w:t>
      </w:r>
      <w:r w:rsidRPr="00C92F30">
        <w:rPr>
          <w:bdr w:val="none" w:sz="0" w:space="0" w:color="auto" w:frame="1"/>
        </w:rPr>
        <w:t>, numéro th</w:t>
      </w:r>
      <w:r w:rsidRPr="00C92F30">
        <w:rPr>
          <w:bdr w:val="none" w:sz="0" w:space="0" w:color="auto" w:frame="1"/>
        </w:rPr>
        <w:t>é</w:t>
      </w:r>
      <w:r w:rsidRPr="00C92F30">
        <w:rPr>
          <w:bdr w:val="none" w:sz="0" w:space="0" w:color="auto" w:frame="1"/>
        </w:rPr>
        <w:t>mat</w:t>
      </w:r>
      <w:r w:rsidRPr="00C92F30">
        <w:rPr>
          <w:bdr w:val="none" w:sz="0" w:space="0" w:color="auto" w:frame="1"/>
        </w:rPr>
        <w:t>i</w:t>
      </w:r>
      <w:r w:rsidRPr="00C92F30">
        <w:rPr>
          <w:bdr w:val="none" w:sz="0" w:space="0" w:color="auto" w:frame="1"/>
        </w:rPr>
        <w:t xml:space="preserve">que, </w:t>
      </w:r>
      <w:r w:rsidRPr="00C92F30">
        <w:rPr>
          <w:i/>
          <w:bdr w:val="none" w:sz="0" w:space="0" w:color="auto" w:frame="1"/>
        </w:rPr>
        <w:t>Conjonction,</w:t>
      </w:r>
      <w:r w:rsidRPr="00C92F30">
        <w:rPr>
          <w:bdr w:val="none" w:sz="0" w:space="0" w:color="auto" w:frame="1"/>
        </w:rPr>
        <w:t xml:space="preserve"> n</w:t>
      </w:r>
      <w:r w:rsidRPr="00C92F30">
        <w:rPr>
          <w:bdr w:val="none" w:sz="0" w:space="0" w:color="auto" w:frame="1"/>
          <w:vertAlign w:val="superscript"/>
        </w:rPr>
        <w:t>o</w:t>
      </w:r>
      <w:r w:rsidRPr="00C92F30">
        <w:rPr>
          <w:bdr w:val="none" w:sz="0" w:space="0" w:color="auto" w:frame="1"/>
        </w:rPr>
        <w:t> 211, Port-au-Prince, 2005, p. 16.</w:t>
      </w:r>
    </w:p>
  </w:footnote>
  <w:footnote w:id="1086">
    <w:p w:rsidR="004C50DC" w:rsidRDefault="004C50DC">
      <w:pPr>
        <w:pStyle w:val="Notedebasdepage"/>
      </w:pPr>
      <w:r>
        <w:rPr>
          <w:rStyle w:val="Appelnotedebasdep"/>
        </w:rPr>
        <w:footnoteRef/>
      </w:r>
      <w:r>
        <w:t xml:space="preserve"> </w:t>
      </w:r>
      <w:r>
        <w:tab/>
      </w:r>
      <w:r w:rsidRPr="00C92F30">
        <w:t>Michel Hector, « Jacmel/Magloire Ambroise. Discours prononcé à l’occasion du deux centième anniversaire de la création à Jacmel du drapeau de la Gra</w:t>
      </w:r>
      <w:r w:rsidRPr="00C92F30">
        <w:t>n</w:t>
      </w:r>
      <w:r w:rsidRPr="00C92F30">
        <w:t xml:space="preserve">de Colombie (12 mars 1806-12 mars 2006) », </w:t>
      </w:r>
      <w:r w:rsidRPr="00C92F30">
        <w:rPr>
          <w:i/>
        </w:rPr>
        <w:t>Le Nouvelliste</w:t>
      </w:r>
      <w:r w:rsidRPr="00C92F30">
        <w:t>, 15 mars 2006.</w:t>
      </w:r>
    </w:p>
  </w:footnote>
  <w:footnote w:id="1087">
    <w:p w:rsidR="004C50DC" w:rsidRDefault="004C50DC">
      <w:pPr>
        <w:pStyle w:val="Notedebasdepage"/>
      </w:pPr>
      <w:r>
        <w:rPr>
          <w:rStyle w:val="Appelnotedebasdep"/>
        </w:rPr>
        <w:footnoteRef/>
      </w:r>
      <w:r>
        <w:t xml:space="preserve"> </w:t>
      </w:r>
      <w:r>
        <w:tab/>
      </w:r>
      <w:r w:rsidRPr="00C92F30">
        <w:t>Ibid.</w:t>
      </w:r>
    </w:p>
  </w:footnote>
  <w:footnote w:id="1088">
    <w:p w:rsidR="004C50DC" w:rsidRDefault="004C50DC">
      <w:pPr>
        <w:pStyle w:val="Notedebasdepage"/>
      </w:pPr>
      <w:r>
        <w:rPr>
          <w:rStyle w:val="Appelnotedebasdep"/>
        </w:rPr>
        <w:footnoteRef/>
      </w:r>
      <w:r>
        <w:t xml:space="preserve"> </w:t>
      </w:r>
      <w:r>
        <w:tab/>
      </w:r>
      <w:r w:rsidRPr="00C92F30">
        <w:t xml:space="preserve">Leslie François Manigat, </w:t>
      </w:r>
      <w:r w:rsidRPr="00C92F30">
        <w:rPr>
          <w:lang w:val="fr-FR"/>
        </w:rPr>
        <w:t xml:space="preserve">« Annotations réflexives… », op. cit. </w:t>
      </w:r>
    </w:p>
  </w:footnote>
  <w:footnote w:id="1089">
    <w:p w:rsidR="004C50DC" w:rsidRDefault="004C50DC">
      <w:pPr>
        <w:pStyle w:val="Notedebasdepage"/>
      </w:pPr>
      <w:r>
        <w:rPr>
          <w:rStyle w:val="Appelnotedebasdep"/>
        </w:rPr>
        <w:footnoteRef/>
      </w:r>
      <w:r>
        <w:t xml:space="preserve"> </w:t>
      </w:r>
      <w:r>
        <w:tab/>
      </w:r>
      <w:r w:rsidRPr="00C92F30">
        <w:t>Ibid.</w:t>
      </w:r>
    </w:p>
  </w:footnote>
  <w:footnote w:id="1090">
    <w:p w:rsidR="004C50DC" w:rsidRDefault="004C50DC">
      <w:pPr>
        <w:pStyle w:val="Notedebasdepage"/>
      </w:pPr>
      <w:r>
        <w:rPr>
          <w:rStyle w:val="Appelnotedebasdep"/>
        </w:rPr>
        <w:footnoteRef/>
      </w:r>
      <w:r>
        <w:t xml:space="preserve"> </w:t>
      </w:r>
      <w:r>
        <w:tab/>
      </w:r>
      <w:r w:rsidRPr="00C92F30">
        <w:t>Ibid.</w:t>
      </w:r>
    </w:p>
  </w:footnote>
  <w:footnote w:id="1091">
    <w:p w:rsidR="004C50DC" w:rsidRDefault="004C50DC">
      <w:pPr>
        <w:pStyle w:val="Notedebasdepage"/>
      </w:pPr>
      <w:r>
        <w:rPr>
          <w:rStyle w:val="Appelnotedebasdep"/>
        </w:rPr>
        <w:footnoteRef/>
      </w:r>
      <w:r>
        <w:t xml:space="preserve"> </w:t>
      </w:r>
      <w:r>
        <w:tab/>
      </w:r>
      <w:r w:rsidRPr="00C92F30">
        <w:t xml:space="preserve">Jean Fouchard, </w:t>
      </w:r>
      <w:r w:rsidRPr="00C92F30">
        <w:rPr>
          <w:i/>
        </w:rPr>
        <w:t>Regards sur l’histoire</w:t>
      </w:r>
      <w:r w:rsidRPr="00C92F30">
        <w:t>, Port-au-Prince, Henri Deschamps, 1988, p. 98.</w:t>
      </w:r>
    </w:p>
  </w:footnote>
  <w:footnote w:id="1092">
    <w:p w:rsidR="004C50DC" w:rsidRDefault="004C50DC">
      <w:pPr>
        <w:pStyle w:val="Notedebasdepage"/>
      </w:pPr>
      <w:r>
        <w:rPr>
          <w:rStyle w:val="Appelnotedebasdep"/>
        </w:rPr>
        <w:footnoteRef/>
      </w:r>
      <w:r>
        <w:t xml:space="preserve"> </w:t>
      </w:r>
      <w:r>
        <w:tab/>
      </w:r>
      <w:r w:rsidRPr="00C92F30">
        <w:t xml:space="preserve">Walter Benjamin, « Sur le concept d’histoire », </w:t>
      </w:r>
      <w:r w:rsidRPr="00C92F30">
        <w:rPr>
          <w:rStyle w:val="Accentuation"/>
        </w:rPr>
        <w:t xml:space="preserve">Œuvres, </w:t>
      </w:r>
      <w:r w:rsidRPr="00C92F30">
        <w:t>tome III, Gall</w:t>
      </w:r>
      <w:r w:rsidRPr="00C92F30">
        <w:t>i</w:t>
      </w:r>
      <w:r w:rsidRPr="00C92F30">
        <w:t>mard, 2000,  p. 430.</w:t>
      </w:r>
    </w:p>
  </w:footnote>
  <w:footnote w:id="1093">
    <w:p w:rsidR="004C50DC" w:rsidRDefault="004C50DC">
      <w:pPr>
        <w:pStyle w:val="Notedebasdepage"/>
      </w:pPr>
      <w:r>
        <w:rPr>
          <w:rStyle w:val="Appelnotedebasdep"/>
        </w:rPr>
        <w:footnoteRef/>
      </w:r>
      <w:r>
        <w:t xml:space="preserve"> </w:t>
      </w:r>
      <w:r>
        <w:tab/>
      </w:r>
      <w:r w:rsidRPr="00C92F30">
        <w:t xml:space="preserve">Jean-Didier Urbain, « Tourisme de mémoire. Un travail de deuil positif », </w:t>
      </w:r>
      <w:r w:rsidRPr="00C92F30">
        <w:rPr>
          <w:i/>
        </w:rPr>
        <w:t>C</w:t>
      </w:r>
      <w:r w:rsidRPr="00C92F30">
        <w:rPr>
          <w:i/>
        </w:rPr>
        <w:t>a</w:t>
      </w:r>
      <w:r w:rsidRPr="00C92F30">
        <w:rPr>
          <w:i/>
        </w:rPr>
        <w:t xml:space="preserve">hier Espaces, </w:t>
      </w:r>
      <w:r w:rsidRPr="00C92F30">
        <w:t xml:space="preserve">numéro thématique </w:t>
      </w:r>
      <w:r w:rsidRPr="00C92F30">
        <w:rPr>
          <w:i/>
        </w:rPr>
        <w:t>Tourisme de mémoire</w:t>
      </w:r>
      <w:r w:rsidRPr="00C92F30">
        <w:t>, n</w:t>
      </w:r>
      <w:r w:rsidRPr="00C92F30">
        <w:rPr>
          <w:vertAlign w:val="superscript"/>
        </w:rPr>
        <w:t>o</w:t>
      </w:r>
      <w:r w:rsidRPr="00C92F30">
        <w:t> 80, décembre 2003, p. 6.</w:t>
      </w:r>
    </w:p>
  </w:footnote>
  <w:footnote w:id="1094">
    <w:p w:rsidR="004C50DC" w:rsidRDefault="004C50DC">
      <w:pPr>
        <w:pStyle w:val="Notedebasdepage"/>
      </w:pPr>
      <w:r>
        <w:rPr>
          <w:rStyle w:val="Appelnotedebasdep"/>
        </w:rPr>
        <w:footnoteRef/>
      </w:r>
      <w:r>
        <w:t xml:space="preserve"> </w:t>
      </w:r>
      <w:r>
        <w:tab/>
      </w:r>
      <w:r w:rsidRPr="00C92F30">
        <w:t xml:space="preserve">UNESCO, Écoles associées de l’UNESCO, </w:t>
      </w:r>
      <w:r w:rsidRPr="00C92F30">
        <w:rPr>
          <w:i/>
        </w:rPr>
        <w:t>Premier recueil de bonnes prat</w:t>
      </w:r>
      <w:r w:rsidRPr="00C92F30">
        <w:rPr>
          <w:i/>
        </w:rPr>
        <w:t>i</w:t>
      </w:r>
      <w:r w:rsidRPr="00C92F30">
        <w:rPr>
          <w:i/>
        </w:rPr>
        <w:t xml:space="preserve">ques pour une éducation de qualité, </w:t>
      </w:r>
      <w:r w:rsidRPr="00C92F30">
        <w:t>Paris, UNESCO, 2008, p. 41.</w:t>
      </w:r>
    </w:p>
  </w:footnote>
  <w:footnote w:id="1095">
    <w:p w:rsidR="004C50DC" w:rsidRPr="00C92F30" w:rsidRDefault="004C50DC" w:rsidP="004C50DC">
      <w:pPr>
        <w:pStyle w:val="Notedebasdepage"/>
      </w:pPr>
      <w:r w:rsidRPr="00FD1805">
        <w:rPr>
          <w:rStyle w:val="Appelnotedebasdep"/>
        </w:rPr>
        <w:footnoteRef/>
      </w:r>
      <w:r>
        <w:tab/>
      </w:r>
      <w:r w:rsidRPr="00C92F30">
        <w:t>Tels que les ouvrages d’historiens comme Thomas Madiou ou Beaubrun A</w:t>
      </w:r>
      <w:r w:rsidRPr="00C92F30">
        <w:t>r</w:t>
      </w:r>
      <w:r w:rsidRPr="00C92F30">
        <w:t>douin déjà mentionnnés dans le texte.</w:t>
      </w:r>
    </w:p>
  </w:footnote>
  <w:footnote w:id="1096">
    <w:p w:rsidR="004C50DC" w:rsidRPr="00C92F30" w:rsidRDefault="004C50DC" w:rsidP="004C50DC">
      <w:pPr>
        <w:pStyle w:val="Notedebasdepage"/>
      </w:pPr>
      <w:r w:rsidRPr="00FD1805">
        <w:rPr>
          <w:rStyle w:val="Appelnotedebasdep"/>
        </w:rPr>
        <w:footnoteRef/>
      </w:r>
      <w:r>
        <w:tab/>
      </w:r>
      <w:r w:rsidRPr="00C92F30">
        <w:t xml:space="preserve">Voir par exemple, Baron de Vastey, </w:t>
      </w:r>
      <w:r w:rsidRPr="00C92F30">
        <w:rPr>
          <w:i/>
        </w:rPr>
        <w:t xml:space="preserve">Le système colonial dévoilé, </w:t>
      </w:r>
      <w:r w:rsidRPr="00C92F30">
        <w:t>Cap Henry, P. Roux, imprimeur du Roi, 1814.</w:t>
      </w:r>
    </w:p>
  </w:footnote>
  <w:footnote w:id="1097">
    <w:p w:rsidR="004C50DC" w:rsidRDefault="004C50DC">
      <w:pPr>
        <w:pStyle w:val="Notedebasdepage"/>
      </w:pPr>
      <w:r>
        <w:rPr>
          <w:rStyle w:val="Appelnotedebasdep"/>
        </w:rPr>
        <w:footnoteRef/>
      </w:r>
      <w:r>
        <w:t xml:space="preserve"> </w:t>
      </w:r>
      <w:r>
        <w:tab/>
      </w:r>
      <w:r w:rsidRPr="00C92F30">
        <w:t xml:space="preserve">À ce propos voir Peter Kolchin, </w:t>
      </w:r>
      <w:r w:rsidRPr="00C92F30">
        <w:rPr>
          <w:i/>
        </w:rPr>
        <w:t>Une institution très particulière. L’esclavage aux États-Unis, 1619-1877</w:t>
      </w:r>
      <w:r w:rsidRPr="00C92F30">
        <w:t>, Paris, Belin, 1998, p. 29, cité par Christine Ch</w:t>
      </w:r>
      <w:r w:rsidRPr="00C92F30">
        <w:t>i</w:t>
      </w:r>
      <w:r w:rsidRPr="00C92F30">
        <w:t xml:space="preserve">vallon, </w:t>
      </w:r>
      <w:r w:rsidRPr="00C92F30">
        <w:rPr>
          <w:i/>
        </w:rPr>
        <w:t>L’esclavage, du souvenir à la mémoire. Contribution à une anthrop</w:t>
      </w:r>
      <w:r w:rsidRPr="00C92F30">
        <w:rPr>
          <w:i/>
        </w:rPr>
        <w:t>o</w:t>
      </w:r>
      <w:r w:rsidRPr="00C92F30">
        <w:rPr>
          <w:i/>
        </w:rPr>
        <w:t>logie de la Caraïbe</w:t>
      </w:r>
      <w:r w:rsidRPr="00C92F30">
        <w:t xml:space="preserve">, Paris, Karthala, 2012, p. 77.  </w:t>
      </w:r>
    </w:p>
  </w:footnote>
  <w:footnote w:id="1098">
    <w:p w:rsidR="004C50DC" w:rsidRDefault="004C50DC">
      <w:pPr>
        <w:pStyle w:val="Notedebasdepage"/>
      </w:pPr>
      <w:r>
        <w:rPr>
          <w:rStyle w:val="Appelnotedebasdep"/>
        </w:rPr>
        <w:footnoteRef/>
      </w:r>
      <w:r>
        <w:t xml:space="preserve"> </w:t>
      </w:r>
      <w:r>
        <w:tab/>
      </w:r>
      <w:r w:rsidRPr="00C92F30">
        <w:rPr>
          <w:lang w:val="en-US"/>
        </w:rPr>
        <w:t>Ibid., p. 78.</w:t>
      </w:r>
    </w:p>
  </w:footnote>
  <w:footnote w:id="1099">
    <w:p w:rsidR="004C50DC" w:rsidRDefault="004C50DC">
      <w:pPr>
        <w:pStyle w:val="Notedebasdepage"/>
      </w:pPr>
      <w:r>
        <w:rPr>
          <w:rStyle w:val="Appelnotedebasdep"/>
        </w:rPr>
        <w:footnoteRef/>
      </w:r>
      <w:r>
        <w:t xml:space="preserve"> </w:t>
      </w:r>
      <w:r>
        <w:tab/>
      </w:r>
      <w:r w:rsidRPr="00C92F30">
        <w:rPr>
          <w:lang w:val="en-US"/>
        </w:rPr>
        <w:t xml:space="preserve">Karl Marx, </w:t>
      </w:r>
      <w:hyperlink r:id="rId172" w:history="1">
        <w:r w:rsidRPr="00FD1805">
          <w:rPr>
            <w:rStyle w:val="Lienhypertexte"/>
            <w:i/>
            <w:lang w:val="en-US"/>
          </w:rPr>
          <w:t>Capital</w:t>
        </w:r>
      </w:hyperlink>
      <w:r w:rsidRPr="00C92F30">
        <w:rPr>
          <w:lang w:val="en-US"/>
        </w:rPr>
        <w:t>, vol. I, New York, Penguin Classics, 1992.</w:t>
      </w:r>
      <w:r w:rsidRPr="00C92F30">
        <w:t> </w:t>
      </w:r>
    </w:p>
  </w:footnote>
  <w:footnote w:id="1100">
    <w:p w:rsidR="004C50DC" w:rsidRDefault="004C50DC">
      <w:pPr>
        <w:pStyle w:val="Notedebasdepage"/>
      </w:pPr>
      <w:r>
        <w:rPr>
          <w:rStyle w:val="Appelnotedebasdep"/>
        </w:rPr>
        <w:footnoteRef/>
      </w:r>
      <w:r>
        <w:t xml:space="preserve"> </w:t>
      </w:r>
      <w:r>
        <w:tab/>
      </w:r>
      <w:r w:rsidRPr="00C92F30">
        <w:rPr>
          <w:lang w:val="en-US"/>
        </w:rPr>
        <w:t xml:space="preserve">Homi Bhabha, </w:t>
      </w:r>
      <w:r w:rsidRPr="00C92F30">
        <w:rPr>
          <w:i/>
          <w:lang w:val="en-US"/>
        </w:rPr>
        <w:t>The Location of Culture</w:t>
      </w:r>
      <w:r w:rsidRPr="00C92F30">
        <w:rPr>
          <w:lang w:val="en-US"/>
        </w:rPr>
        <w:t>, Londres, Routledge, 1994.</w:t>
      </w:r>
    </w:p>
  </w:footnote>
  <w:footnote w:id="1101">
    <w:p w:rsidR="004C50DC" w:rsidRDefault="004C50DC">
      <w:pPr>
        <w:pStyle w:val="Notedebasdepage"/>
      </w:pPr>
      <w:r>
        <w:rPr>
          <w:rStyle w:val="Appelnotedebasdep"/>
        </w:rPr>
        <w:footnoteRef/>
      </w:r>
      <w:r>
        <w:t xml:space="preserve"> </w:t>
      </w:r>
      <w:r>
        <w:tab/>
      </w:r>
      <w:r w:rsidRPr="00C92F30">
        <w:t xml:space="preserve">Arjun Appadurai, </w:t>
      </w:r>
      <w:r w:rsidRPr="00C92F30">
        <w:rPr>
          <w:i/>
          <w:iCs/>
        </w:rPr>
        <w:t>Après le colonialisme. Les conséquences culturelles de la globalisation</w:t>
      </w:r>
      <w:r w:rsidRPr="00C92F30">
        <w:t>, Paris, Payot, 2001.</w:t>
      </w:r>
    </w:p>
  </w:footnote>
  <w:footnote w:id="1102">
    <w:p w:rsidR="004C50DC" w:rsidRDefault="004C50DC">
      <w:pPr>
        <w:pStyle w:val="Notedebasdepage"/>
      </w:pPr>
      <w:r>
        <w:rPr>
          <w:rStyle w:val="Appelnotedebasdep"/>
        </w:rPr>
        <w:footnoteRef/>
      </w:r>
      <w:r>
        <w:t xml:space="preserve"> </w:t>
      </w:r>
      <w:r>
        <w:tab/>
      </w:r>
      <w:r w:rsidRPr="00C92F30">
        <w:t>Mahdi Elmandjra, « La décolonisation culturelle, un défi majeur pour le XXI</w:t>
      </w:r>
      <w:r w:rsidRPr="00C92F30">
        <w:rPr>
          <w:vertAlign w:val="superscript"/>
        </w:rPr>
        <w:t>e</w:t>
      </w:r>
      <w:r w:rsidRPr="00C92F30">
        <w:t xml:space="preserve"> siècle », </w:t>
      </w:r>
      <w:r w:rsidRPr="00C92F30">
        <w:rPr>
          <w:i/>
          <w:iCs/>
        </w:rPr>
        <w:t>Futuribles</w:t>
      </w:r>
      <w:r w:rsidRPr="00C92F30">
        <w:t>,  n</w:t>
      </w:r>
      <w:r w:rsidRPr="00C92F30">
        <w:rPr>
          <w:vertAlign w:val="superscript"/>
        </w:rPr>
        <w:t>o</w:t>
      </w:r>
      <w:r w:rsidRPr="00C92F30">
        <w:t> 213, octobre 1996, Paris.</w:t>
      </w:r>
    </w:p>
  </w:footnote>
  <w:footnote w:id="1103">
    <w:p w:rsidR="004C50DC" w:rsidRPr="00C92F30" w:rsidRDefault="004C50DC" w:rsidP="004C50DC">
      <w:pPr>
        <w:jc w:val="both"/>
        <w:rPr>
          <w:sz w:val="24"/>
        </w:rPr>
      </w:pPr>
      <w:r w:rsidRPr="00C92F30">
        <w:rPr>
          <w:rStyle w:val="Appelnotedebasdep"/>
          <w:sz w:val="24"/>
        </w:rPr>
        <w:footnoteRef/>
      </w:r>
      <w:r w:rsidRPr="00C92F30">
        <w:rPr>
          <w:sz w:val="24"/>
        </w:rPr>
        <w:t xml:space="preserve">Gayatri Chakravorty Spivak, </w:t>
      </w:r>
      <w:r w:rsidRPr="00C92F30">
        <w:rPr>
          <w:i/>
          <w:sz w:val="24"/>
        </w:rPr>
        <w:t>Nationalisme et imagination</w:t>
      </w:r>
      <w:r w:rsidRPr="00C92F30">
        <w:rPr>
          <w:sz w:val="24"/>
        </w:rPr>
        <w:t>, Paris, Payot, 2011.</w:t>
      </w:r>
    </w:p>
  </w:footnote>
  <w:footnote w:id="1104">
    <w:p w:rsidR="004C50DC" w:rsidRDefault="004C50DC">
      <w:pPr>
        <w:pStyle w:val="Notedebasdepage"/>
      </w:pPr>
      <w:r>
        <w:rPr>
          <w:rStyle w:val="Appelnotedebasdep"/>
        </w:rPr>
        <w:footnoteRef/>
      </w:r>
      <w:r>
        <w:t xml:space="preserve"> </w:t>
      </w:r>
      <w:r>
        <w:tab/>
      </w:r>
      <w:r w:rsidRPr="00C92F30">
        <w:t xml:space="preserve">Antonella Corsani, Christophe Degoutin, François Matheron et Giovanna Zapperi, « Narrations postcoloniales », </w:t>
      </w:r>
      <w:r w:rsidRPr="00C92F30">
        <w:rPr>
          <w:i/>
        </w:rPr>
        <w:t>Multitudes</w:t>
      </w:r>
      <w:r w:rsidRPr="00C92F30">
        <w:t>, vol. 2, n</w:t>
      </w:r>
      <w:r w:rsidRPr="00C92F30">
        <w:rPr>
          <w:vertAlign w:val="superscript"/>
        </w:rPr>
        <w:t>o</w:t>
      </w:r>
      <w:r w:rsidRPr="00C92F30">
        <w:t> 29, 2007, p</w:t>
      </w:r>
      <w:r>
        <w:t>p</w:t>
      </w:r>
      <w:r w:rsidRPr="00C92F30">
        <w:t>. 15-22.</w:t>
      </w:r>
    </w:p>
  </w:footnote>
  <w:footnote w:id="1105">
    <w:p w:rsidR="004C50DC" w:rsidRDefault="004C50DC">
      <w:pPr>
        <w:pStyle w:val="Notedebasdepage"/>
      </w:pPr>
      <w:r>
        <w:rPr>
          <w:rStyle w:val="Appelnotedebasdep"/>
        </w:rPr>
        <w:footnoteRef/>
      </w:r>
      <w:r>
        <w:t xml:space="preserve"> </w:t>
      </w:r>
      <w:r>
        <w:tab/>
      </w:r>
      <w:r w:rsidRPr="00C92F30">
        <w:rPr>
          <w:rFonts w:cs="Arial Unicode MS"/>
          <w:kern w:val="1"/>
          <w:szCs w:val="24"/>
        </w:rPr>
        <w:t xml:space="preserve">Christine Chivallon, « Le point de départ : recherche sur la mémoire de l’esclavage en milieu antillais », </w:t>
      </w:r>
      <w:r w:rsidRPr="00C92F30">
        <w:rPr>
          <w:rFonts w:cs="Arial Unicode MS"/>
          <w:i/>
          <w:iCs/>
          <w:kern w:val="1"/>
          <w:szCs w:val="24"/>
        </w:rPr>
        <w:t xml:space="preserve">Nuevo Mundo, </w:t>
      </w:r>
      <w:r w:rsidRPr="00C92F30">
        <w:rPr>
          <w:rFonts w:cs="Arial Unicode MS"/>
          <w:iCs/>
          <w:kern w:val="1"/>
          <w:szCs w:val="24"/>
        </w:rPr>
        <w:t>e</w:t>
      </w:r>
      <w:r w:rsidRPr="00C92F30">
        <w:rPr>
          <w:rFonts w:cs="Arial Unicode MS"/>
          <w:kern w:val="1"/>
          <w:szCs w:val="24"/>
        </w:rPr>
        <w:t>n ligne, http://nuevomundo.revues.org/67275 ; DOI : 10.4000/nuevomundo.67275, consulté le 10 décembre 2014.</w:t>
      </w:r>
    </w:p>
  </w:footnote>
  <w:footnote w:id="1106">
    <w:p w:rsidR="004C50DC" w:rsidRDefault="004C50DC">
      <w:pPr>
        <w:pStyle w:val="Notedebasdepage"/>
      </w:pPr>
      <w:r>
        <w:rPr>
          <w:rStyle w:val="Appelnotedebasdep"/>
        </w:rPr>
        <w:footnoteRef/>
      </w:r>
      <w:r>
        <w:t xml:space="preserve"> </w:t>
      </w:r>
      <w:r>
        <w:tab/>
      </w:r>
      <w:r w:rsidRPr="00C92F30">
        <w:t>Jean-Luc Bonniol</w:t>
      </w:r>
      <w:r w:rsidRPr="00C92F30">
        <w:rPr>
          <w:lang w:val="fr-FR"/>
        </w:rPr>
        <w:t>, « Les usages publics de la mémoire de l’esclavage col</w:t>
      </w:r>
      <w:r w:rsidRPr="00C92F30">
        <w:rPr>
          <w:lang w:val="fr-FR"/>
        </w:rPr>
        <w:t>o</w:t>
      </w:r>
      <w:r w:rsidRPr="00C92F30">
        <w:rPr>
          <w:lang w:val="fr-FR"/>
        </w:rPr>
        <w:t xml:space="preserve">nial », </w:t>
      </w:r>
      <w:r w:rsidRPr="00C92F30">
        <w:rPr>
          <w:i/>
          <w:lang w:val="fr-FR"/>
        </w:rPr>
        <w:t>Matériaux pour l’histoire de notre temps</w:t>
      </w:r>
      <w:r w:rsidRPr="00C92F30">
        <w:rPr>
          <w:lang w:val="fr-FR"/>
        </w:rPr>
        <w:t>, vol. 1, n</w:t>
      </w:r>
      <w:r w:rsidRPr="00C92F30">
        <w:rPr>
          <w:vertAlign w:val="superscript"/>
          <w:lang w:val="fr-FR"/>
        </w:rPr>
        <w:t>o</w:t>
      </w:r>
      <w:r w:rsidRPr="00C92F30">
        <w:rPr>
          <w:lang w:val="fr-FR"/>
        </w:rPr>
        <w:t> 85, 2007, en ligne, https://www.cairn.info/revue-materiaux-pour-l-histoire-de-notre-temps-2007-1-page-14.htm</w:t>
      </w:r>
    </w:p>
  </w:footnote>
  <w:footnote w:id="1107">
    <w:p w:rsidR="004C50DC" w:rsidRDefault="004C50DC">
      <w:pPr>
        <w:pStyle w:val="Notedebasdepage"/>
      </w:pPr>
      <w:r>
        <w:rPr>
          <w:rStyle w:val="Appelnotedebasdep"/>
        </w:rPr>
        <w:footnoteRef/>
      </w:r>
      <w:r>
        <w:t xml:space="preserve"> </w:t>
      </w:r>
      <w:r>
        <w:tab/>
      </w:r>
      <w:r w:rsidRPr="00C92F30">
        <w:t xml:space="preserve">Nous renvoyons à l’article 28 de la « Constitution impériale de 1805 » dans Louis-Joseph Janvier, </w:t>
      </w:r>
      <w:r w:rsidRPr="00C92F30">
        <w:rPr>
          <w:i/>
        </w:rPr>
        <w:t>Les Constitutions d'Haïti</w:t>
      </w:r>
      <w:r w:rsidRPr="00C92F30">
        <w:t>, Paris, Marpon et Flamm</w:t>
      </w:r>
      <w:r w:rsidRPr="00C92F30">
        <w:t>a</w:t>
      </w:r>
      <w:r w:rsidRPr="00C92F30">
        <w:t xml:space="preserve">rion, 1886 ; voir aussi Thomas Madiou, </w:t>
      </w:r>
      <w:r w:rsidRPr="00C92F30">
        <w:rPr>
          <w:i/>
        </w:rPr>
        <w:t>Histoire d'Haïti</w:t>
      </w:r>
      <w:r w:rsidRPr="00C92F30">
        <w:t xml:space="preserve">, tome III, </w:t>
      </w:r>
      <w:r w:rsidRPr="00C92F30">
        <w:rPr>
          <w:i/>
        </w:rPr>
        <w:t>op. cit</w:t>
      </w:r>
      <w:r w:rsidRPr="00C92F30">
        <w:t>.</w:t>
      </w:r>
      <w:r w:rsidRPr="00C92F30">
        <w:rPr>
          <w:rFonts w:eastAsia="Calibri"/>
          <w:lang w:val="fr-FR" w:eastAsia="fr-FR"/>
        </w:rPr>
        <w:t xml:space="preserve">, </w:t>
      </w:r>
      <w:r w:rsidRPr="00C92F30">
        <w:t>p. 489.</w:t>
      </w:r>
    </w:p>
  </w:footnote>
  <w:footnote w:id="1108">
    <w:p w:rsidR="004C50DC" w:rsidRDefault="004C50DC">
      <w:pPr>
        <w:pStyle w:val="Notedebasdepage"/>
      </w:pPr>
      <w:r>
        <w:rPr>
          <w:rStyle w:val="Appelnotedebasdep"/>
        </w:rPr>
        <w:footnoteRef/>
      </w:r>
      <w:r>
        <w:t xml:space="preserve"> </w:t>
      </w:r>
      <w:r>
        <w:tab/>
      </w:r>
      <w:r w:rsidRPr="00C92F30">
        <w:rPr>
          <w:lang w:val="fr-FR"/>
        </w:rPr>
        <w:t xml:space="preserve">Christine Chivallon, « Mémoires de l’esclavage à la Martinique. L’explosion mémorielle et la révélation de mémoires anonymes », </w:t>
      </w:r>
      <w:r w:rsidRPr="00C92F30">
        <w:rPr>
          <w:i/>
          <w:lang w:val="fr-FR"/>
        </w:rPr>
        <w:t>Cahiers d’études afr</w:t>
      </w:r>
      <w:r w:rsidRPr="00C92F30">
        <w:rPr>
          <w:i/>
          <w:lang w:val="fr-FR"/>
        </w:rPr>
        <w:t>i</w:t>
      </w:r>
      <w:r w:rsidRPr="00C92F30">
        <w:rPr>
          <w:i/>
          <w:lang w:val="fr-FR"/>
        </w:rPr>
        <w:t>caines</w:t>
      </w:r>
      <w:r w:rsidRPr="00C92F30">
        <w:rPr>
          <w:lang w:val="fr-FR"/>
        </w:rPr>
        <w:t>, vol. 1, n</w:t>
      </w:r>
      <w:r w:rsidRPr="00C92F30">
        <w:rPr>
          <w:vertAlign w:val="superscript"/>
          <w:lang w:val="fr-FR"/>
        </w:rPr>
        <w:t>o</w:t>
      </w:r>
      <w:r w:rsidRPr="00C92F30">
        <w:rPr>
          <w:lang w:val="fr-FR"/>
        </w:rPr>
        <w:t> 197, 2010, pp. 235-261.</w:t>
      </w:r>
    </w:p>
  </w:footnote>
  <w:footnote w:id="1109">
    <w:p w:rsidR="004C50DC" w:rsidRDefault="004C50DC">
      <w:pPr>
        <w:pStyle w:val="Notedebasdepage"/>
      </w:pPr>
      <w:r>
        <w:rPr>
          <w:rStyle w:val="Appelnotedebasdep"/>
        </w:rPr>
        <w:footnoteRef/>
      </w:r>
      <w:r>
        <w:t xml:space="preserve"> </w:t>
      </w:r>
      <w:r>
        <w:tab/>
      </w:r>
      <w:r w:rsidRPr="00C92F30">
        <w:rPr>
          <w:lang w:val="en-US"/>
        </w:rPr>
        <w:t>Prasenjit</w:t>
      </w:r>
      <w:r w:rsidRPr="00C92F30">
        <w:rPr>
          <w:lang w:val="en-CA"/>
        </w:rPr>
        <w:t xml:space="preserve"> Duara, Rescuing History from Nation. Questionning Narratives of Modern China, Chicago, Chicago University Press, 1995, p. 8.</w:t>
      </w:r>
    </w:p>
  </w:footnote>
  <w:footnote w:id="1110">
    <w:p w:rsidR="004C50DC" w:rsidRDefault="004C50DC">
      <w:pPr>
        <w:pStyle w:val="Notedebasdepage"/>
      </w:pPr>
      <w:r>
        <w:rPr>
          <w:rStyle w:val="Appelnotedebasdep"/>
        </w:rPr>
        <w:footnoteRef/>
      </w:r>
      <w:r>
        <w:t xml:space="preserve"> </w:t>
      </w:r>
      <w:r>
        <w:tab/>
      </w:r>
      <w:r w:rsidRPr="00C92F30">
        <w:rPr>
          <w:lang w:val="en-US"/>
        </w:rPr>
        <w:t xml:space="preserve">Michel-Rolph Trouillot, </w:t>
      </w:r>
      <w:r w:rsidRPr="00C92F30">
        <w:rPr>
          <w:i/>
          <w:lang w:val="en-US"/>
        </w:rPr>
        <w:t>Silencing the Past</w:t>
      </w:r>
      <w:r w:rsidRPr="00C92F30">
        <w:rPr>
          <w:lang w:val="en-US"/>
        </w:rPr>
        <w:t>, op. cit.</w:t>
      </w:r>
    </w:p>
  </w:footnote>
  <w:footnote w:id="1111">
    <w:p w:rsidR="004C50DC" w:rsidRDefault="004C50DC">
      <w:pPr>
        <w:pStyle w:val="Notedebasdepage"/>
      </w:pPr>
      <w:r>
        <w:rPr>
          <w:rStyle w:val="Appelnotedebasdep"/>
        </w:rPr>
        <w:footnoteRef/>
      </w:r>
      <w:r>
        <w:t xml:space="preserve"> </w:t>
      </w:r>
      <w:r>
        <w:tab/>
      </w:r>
      <w:r w:rsidRPr="00C92F30">
        <w:rPr>
          <w:lang w:val="fr-FR"/>
        </w:rPr>
        <w:t>Voir les exemples de culture culinaire du chapitre VI.</w:t>
      </w:r>
    </w:p>
  </w:footnote>
  <w:footnote w:id="1112">
    <w:p w:rsidR="004C50DC" w:rsidRDefault="004C50DC">
      <w:pPr>
        <w:pStyle w:val="Notedebasdepage"/>
      </w:pPr>
      <w:r>
        <w:rPr>
          <w:rStyle w:val="Appelnotedebasdep"/>
        </w:rPr>
        <w:footnoteRef/>
      </w:r>
      <w:r>
        <w:t xml:space="preserve"> </w:t>
      </w:r>
      <w:r>
        <w:tab/>
      </w:r>
      <w:r w:rsidRPr="00C92F30">
        <w:rPr>
          <w:lang w:val="fr-FR"/>
        </w:rPr>
        <w:t xml:space="preserve">Doudou Diène, « Exposer la résistance culturelle de l’esclave », op. cit. </w:t>
      </w:r>
    </w:p>
  </w:footnote>
  <w:footnote w:id="1113">
    <w:p w:rsidR="004C50DC" w:rsidRDefault="004C50DC">
      <w:pPr>
        <w:pStyle w:val="Notedebasdepage"/>
      </w:pPr>
      <w:r>
        <w:rPr>
          <w:rStyle w:val="Appelnotedebasdep"/>
        </w:rPr>
        <w:footnoteRef/>
      </w:r>
      <w:r>
        <w:t xml:space="preserve"> </w:t>
      </w:r>
      <w:r>
        <w:tab/>
      </w:r>
      <w:r w:rsidRPr="00C92F30">
        <w:rPr>
          <w:lang w:val="en-US"/>
        </w:rPr>
        <w:t>Ibid., p</w:t>
      </w:r>
      <w:r>
        <w:rPr>
          <w:lang w:val="en-US"/>
        </w:rPr>
        <w:t>p</w:t>
      </w:r>
      <w:r w:rsidRPr="00C92F30">
        <w:rPr>
          <w:lang w:val="en-US"/>
        </w:rPr>
        <w:t>. 20-25.</w:t>
      </w:r>
    </w:p>
  </w:footnote>
  <w:footnote w:id="1114">
    <w:p w:rsidR="004C50DC" w:rsidRDefault="004C50DC">
      <w:pPr>
        <w:pStyle w:val="Notedebasdepage"/>
      </w:pPr>
      <w:r>
        <w:rPr>
          <w:rStyle w:val="Appelnotedebasdep"/>
        </w:rPr>
        <w:footnoteRef/>
      </w:r>
      <w:r>
        <w:t xml:space="preserve"> </w:t>
      </w:r>
      <w:r>
        <w:tab/>
      </w:r>
      <w:r w:rsidRPr="00C92F30">
        <w:rPr>
          <w:lang w:val="en-US"/>
        </w:rPr>
        <w:t xml:space="preserve">Voir Fernando Ortiz et Harriet De Onis, </w:t>
      </w:r>
      <w:r w:rsidRPr="00C92F30">
        <w:rPr>
          <w:i/>
          <w:lang w:val="en-US"/>
        </w:rPr>
        <w:t>Cuban Counterpoint: Tobacco and Sugar</w:t>
      </w:r>
      <w:r w:rsidRPr="00C92F30">
        <w:rPr>
          <w:lang w:val="en-US"/>
        </w:rPr>
        <w:t>, New York, A.A. Knopf, 1947. La transculturation est le processus par lequel une société emprunte certains éléments à une autre culture dite dom</w:t>
      </w:r>
      <w:r w:rsidRPr="00C92F30">
        <w:rPr>
          <w:lang w:val="en-US"/>
        </w:rPr>
        <w:t>i</w:t>
      </w:r>
      <w:r w:rsidRPr="00C92F30">
        <w:rPr>
          <w:lang w:val="en-US"/>
        </w:rPr>
        <w:t>nante pour se les approprier et les recréer à son propre usage. Le processus s’opère d’abord par une sorte de « déculturation » ou « ex-culturation », puis « d’acculturation » ou « inculturation », avant d’aboutir</w:t>
      </w:r>
      <w:r w:rsidRPr="00C92F30">
        <w:t xml:space="preserve"> à la « transculturation » considérée comme la synthèse de ces étapes. </w:t>
      </w:r>
    </w:p>
  </w:footnote>
  <w:footnote w:id="1115">
    <w:p w:rsidR="004C50DC" w:rsidRDefault="004C50DC">
      <w:pPr>
        <w:pStyle w:val="Notedebasdepage"/>
      </w:pPr>
      <w:r>
        <w:rPr>
          <w:rStyle w:val="Appelnotedebasdep"/>
        </w:rPr>
        <w:footnoteRef/>
      </w:r>
      <w:r>
        <w:t xml:space="preserve"> </w:t>
      </w:r>
      <w:r>
        <w:tab/>
      </w:r>
      <w:r w:rsidRPr="00C92F30">
        <w:rPr>
          <w:lang w:val="fr-FR"/>
        </w:rPr>
        <w:t>Voir Francis Dupuy et Rafaël Lucas, « Esclavage, marronnage et commém</w:t>
      </w:r>
      <w:r w:rsidRPr="00C92F30">
        <w:rPr>
          <w:lang w:val="fr-FR"/>
        </w:rPr>
        <w:t>o</w:t>
      </w:r>
      <w:r w:rsidRPr="00C92F30">
        <w:rPr>
          <w:lang w:val="fr-FR"/>
        </w:rPr>
        <w:t xml:space="preserve">rations : les enjeux de la mémoire », </w:t>
      </w:r>
      <w:r w:rsidRPr="00C92F30">
        <w:rPr>
          <w:i/>
          <w:lang w:val="fr-FR"/>
        </w:rPr>
        <w:t>Cahiers d’Histoire</w:t>
      </w:r>
      <w:r w:rsidRPr="00C92F30">
        <w:rPr>
          <w:lang w:val="fr-FR"/>
        </w:rPr>
        <w:t>, n</w:t>
      </w:r>
      <w:r w:rsidRPr="00C92F30">
        <w:rPr>
          <w:vertAlign w:val="superscript"/>
          <w:lang w:val="fr-FR"/>
        </w:rPr>
        <w:t>o</w:t>
      </w:r>
      <w:r w:rsidRPr="00C92F30">
        <w:rPr>
          <w:lang w:val="fr-FR"/>
        </w:rPr>
        <w:t xml:space="preserve"> 89, 2002, p. 9-12. </w:t>
      </w:r>
    </w:p>
  </w:footnote>
  <w:footnote w:id="1116">
    <w:p w:rsidR="004C50DC" w:rsidRDefault="004C50DC">
      <w:pPr>
        <w:pStyle w:val="Notedebasdepage"/>
      </w:pPr>
      <w:r>
        <w:rPr>
          <w:rStyle w:val="Appelnotedebasdep"/>
        </w:rPr>
        <w:footnoteRef/>
      </w:r>
      <w:r>
        <w:t xml:space="preserve"> </w:t>
      </w:r>
      <w:r>
        <w:tab/>
      </w:r>
      <w:r w:rsidRPr="00C92F30">
        <w:rPr>
          <w:lang w:val="en-CA"/>
        </w:rPr>
        <w:t xml:space="preserve">Séminaire régional de l’UNESCO, </w:t>
      </w:r>
      <w:r w:rsidRPr="00C92F30">
        <w:rPr>
          <w:lang w:val="en-US"/>
        </w:rPr>
        <w:t>« Beyond Reparations : Strengthening the Slave Route Project in the Caribbean Region », Saint-Kitts-et-Nevis, 7-8 jui</w:t>
      </w:r>
      <w:r w:rsidRPr="00C92F30">
        <w:rPr>
          <w:lang w:val="en-US"/>
        </w:rPr>
        <w:t>l</w:t>
      </w:r>
      <w:r w:rsidRPr="00C92F30">
        <w:rPr>
          <w:lang w:val="en-US"/>
        </w:rPr>
        <w:t xml:space="preserve">let 2015. </w:t>
      </w:r>
    </w:p>
  </w:footnote>
  <w:footnote w:id="1117">
    <w:p w:rsidR="004C50DC" w:rsidRDefault="004C50DC">
      <w:pPr>
        <w:pStyle w:val="Notedebasdepage"/>
      </w:pPr>
      <w:r>
        <w:rPr>
          <w:rStyle w:val="Appelnotedebasdep"/>
        </w:rPr>
        <w:footnoteRef/>
      </w:r>
      <w:r>
        <w:t xml:space="preserve"> </w:t>
      </w:r>
      <w:r>
        <w:tab/>
      </w:r>
      <w:r w:rsidRPr="00C92F30">
        <w:rPr>
          <w:lang w:val="en-US"/>
        </w:rPr>
        <w:t xml:space="preserve">Michel-Rolph Trouillot, </w:t>
      </w:r>
      <w:r w:rsidRPr="00C92F30">
        <w:rPr>
          <w:i/>
          <w:lang w:val="en-US"/>
        </w:rPr>
        <w:t>Silencing the Past</w:t>
      </w:r>
      <w:r w:rsidRPr="00C92F30">
        <w:rPr>
          <w:lang w:val="en-US"/>
        </w:rPr>
        <w:t xml:space="preserve">, </w:t>
      </w:r>
      <w:r w:rsidRPr="00C92F30">
        <w:rPr>
          <w:i/>
          <w:lang w:val="en-US"/>
        </w:rPr>
        <w:t>op. cit</w:t>
      </w:r>
      <w:r w:rsidRPr="00C92F30">
        <w:rPr>
          <w:lang w:val="en-US"/>
        </w:rPr>
        <w:t>., p. 25.</w:t>
      </w:r>
    </w:p>
  </w:footnote>
  <w:footnote w:id="1118">
    <w:p w:rsidR="004C50DC" w:rsidRDefault="004C50DC">
      <w:pPr>
        <w:pStyle w:val="Notedebasdepage"/>
      </w:pPr>
      <w:r>
        <w:rPr>
          <w:rStyle w:val="Appelnotedebasdep"/>
        </w:rPr>
        <w:footnoteRef/>
      </w:r>
      <w:r>
        <w:t xml:space="preserve"> </w:t>
      </w:r>
      <w:r>
        <w:tab/>
      </w:r>
      <w:r w:rsidRPr="00C92F30">
        <w:t>Paul Ricœur, 2000, op. cit.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50DC" w:rsidRDefault="004C50DC" w:rsidP="004C50DC">
    <w:pPr>
      <w:pStyle w:val="En-tte"/>
      <w:tabs>
        <w:tab w:val="clear" w:pos="4320"/>
        <w:tab w:val="clear" w:pos="8640"/>
        <w:tab w:val="right" w:pos="7380"/>
        <w:tab w:val="right" w:pos="7920"/>
      </w:tabs>
      <w:ind w:firstLine="0"/>
      <w:rPr>
        <w:rFonts w:ascii="Times New Roman" w:hAnsi="Times New Roman"/>
      </w:rPr>
    </w:pPr>
    <w:r>
      <w:rPr>
        <w:rFonts w:ascii="Times New Roman" w:hAnsi="Times New Roman"/>
      </w:rPr>
      <w:tab/>
    </w:r>
    <w:r w:rsidRPr="00EF76C4">
      <w:rPr>
        <w:rFonts w:ascii="Times New Roman" w:hAnsi="Times New Roman"/>
      </w:rPr>
      <w:t>Mémoire de l’esclavage en Haïti. E</w:t>
    </w:r>
    <w:r>
      <w:rPr>
        <w:rFonts w:ascii="Times New Roman" w:hAnsi="Times New Roman"/>
      </w:rPr>
      <w:t>ntrecroisement des mémoires..</w:t>
    </w:r>
    <w:r w:rsidRPr="00EF76C4">
      <w:rPr>
        <w:rFonts w:ascii="Times New Roman" w:hAnsi="Times New Roman"/>
      </w:rPr>
      <w:t>.</w:t>
    </w:r>
    <w:r>
      <w:rPr>
        <w:rFonts w:ascii="Times New Roman" w:hAnsi="Times New Roman"/>
      </w:rPr>
      <w:t xml:space="preserve"> (2016)</w:t>
    </w:r>
    <w:r>
      <w:rPr>
        <w:rFonts w:ascii="Times New Roman" w:hAnsi="Times New Roman"/>
      </w:rPr>
      <w:tab/>
    </w:r>
    <w:r>
      <w:rPr>
        <w:rStyle w:val="Numrodepage"/>
        <w:rFonts w:ascii="Times New Roman" w:hAnsi="Times New Roman"/>
      </w:rPr>
      <w:fldChar w:fldCharType="begin"/>
    </w:r>
    <w:r>
      <w:rPr>
        <w:rStyle w:val="Numrodepage"/>
        <w:rFonts w:ascii="Times New Roman" w:hAnsi="Times New Roman"/>
      </w:rPr>
      <w:instrText xml:space="preserve"> </w:instrText>
    </w:r>
    <w:r w:rsidR="00EF1554">
      <w:rPr>
        <w:rStyle w:val="Numrodepage"/>
        <w:rFonts w:ascii="Times New Roman" w:hAnsi="Times New Roman"/>
      </w:rPr>
      <w:instrText>PAGE</w:instrText>
    </w:r>
    <w:r>
      <w:rPr>
        <w:rStyle w:val="Numrodepage"/>
        <w:rFonts w:ascii="Times New Roman" w:hAnsi="Times New Roman"/>
      </w:rPr>
      <w:instrText xml:space="preserve"> </w:instrText>
    </w:r>
    <w:r>
      <w:rPr>
        <w:rStyle w:val="Numrodepage"/>
        <w:rFonts w:ascii="Times New Roman" w:hAnsi="Times New Roman"/>
      </w:rPr>
      <w:fldChar w:fldCharType="separate"/>
    </w:r>
    <w:r>
      <w:rPr>
        <w:rStyle w:val="Numrodepage"/>
        <w:rFonts w:ascii="Times New Roman" w:hAnsi="Times New Roman"/>
        <w:noProof/>
      </w:rPr>
      <w:t>648</w:t>
    </w:r>
    <w:r>
      <w:rPr>
        <w:rStyle w:val="Numrodepage"/>
        <w:rFonts w:ascii="Times New Roman" w:hAnsi="Times New Roman"/>
      </w:rPr>
      <w:fldChar w:fldCharType="end"/>
    </w:r>
  </w:p>
  <w:p w:rsidR="004C50DC" w:rsidRDefault="004C50DC">
    <w:pPr>
      <w:pBdr>
        <w:top w:val="single" w:sz="4" w:space="1" w:color="auto"/>
      </w:pBdr>
      <w:spacing w:before="60"/>
      <w:rPr>
        <w:rStyle w:val="Numrodepage"/>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43"/>
      </v:shape>
    </w:pict>
  </w:numPicBullet>
  <w:abstractNum w:abstractNumId="0" w15:restartNumberingAfterBreak="0">
    <w:nsid w:val="FFFFFF1D"/>
    <w:multiLevelType w:val="multilevel"/>
    <w:tmpl w:val="28C6ADF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CEEA9762"/>
    <w:lvl w:ilvl="0">
      <w:start w:val="1"/>
      <w:numFmt w:val="bullet"/>
      <w:pStyle w:val="titlelevel0"/>
      <w:lvlText w:val=""/>
      <w:lvlJc w:val="left"/>
      <w:pPr>
        <w:tabs>
          <w:tab w:val="num" w:pos="360"/>
        </w:tabs>
        <w:ind w:left="360" w:hanging="360"/>
      </w:pPr>
      <w:rPr>
        <w:rFonts w:ascii="Symbol" w:hAnsi="Symbol" w:hint="default"/>
      </w:rPr>
    </w:lvl>
  </w:abstractNum>
  <w:abstractNum w:abstractNumId="2" w15:restartNumberingAfterBreak="0">
    <w:nsid w:val="006A0488"/>
    <w:multiLevelType w:val="multilevel"/>
    <w:tmpl w:val="121065A8"/>
    <w:lvl w:ilvl="0">
      <w:start w:val="2"/>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051C2CDE"/>
    <w:multiLevelType w:val="multilevel"/>
    <w:tmpl w:val="07129EE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lowerRoman"/>
      <w:lvlText w:val="%1.%2.%3.%4.%5."/>
      <w:lvlJc w:val="left"/>
      <w:pPr>
        <w:ind w:left="2880" w:hanging="144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6CF5603"/>
    <w:multiLevelType w:val="multilevel"/>
    <w:tmpl w:val="6FA8FB02"/>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9DE4560"/>
    <w:multiLevelType w:val="hybridMultilevel"/>
    <w:tmpl w:val="EC0294EC"/>
    <w:lvl w:ilvl="0" w:tplc="5462C388">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3240EFA"/>
    <w:multiLevelType w:val="hybridMultilevel"/>
    <w:tmpl w:val="8A2E8364"/>
    <w:lvl w:ilvl="0" w:tplc="04090007">
      <w:start w:val="1"/>
      <w:numFmt w:val="bullet"/>
      <w:lvlText w:val=""/>
      <w:lvlPicBulletId w:val="0"/>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SymbolMT"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SymbolMT"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SymbolMT"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 w15:restartNumberingAfterBreak="0">
    <w:nsid w:val="143D2F86"/>
    <w:multiLevelType w:val="hybridMultilevel"/>
    <w:tmpl w:val="8586E6CE"/>
    <w:lvl w:ilvl="0" w:tplc="E382747E">
      <w:start w:val="7"/>
      <w:numFmt w:val="bullet"/>
      <w:lvlText w:val="-"/>
      <w:lvlJc w:val="left"/>
      <w:pPr>
        <w:ind w:left="720" w:hanging="360"/>
      </w:pPr>
      <w:rPr>
        <w:rFonts w:ascii="Times New Roman" w:eastAsia="Times New Roman" w:hAnsi="Times New Roman" w:cs="Times New Roman" w:hint="default"/>
        <w:i w:val="0"/>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5367A35"/>
    <w:multiLevelType w:val="hybridMultilevel"/>
    <w:tmpl w:val="C25CE9FC"/>
    <w:lvl w:ilvl="0" w:tplc="EA78ABC8">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C8F4433"/>
    <w:multiLevelType w:val="hybridMultilevel"/>
    <w:tmpl w:val="DE24CBC0"/>
    <w:lvl w:ilvl="0" w:tplc="194CC396">
      <w:numFmt w:val="bullet"/>
      <w:lvlText w:val="-"/>
      <w:lvlJc w:val="left"/>
      <w:pPr>
        <w:ind w:left="720" w:hanging="360"/>
      </w:pPr>
      <w:rPr>
        <w:rFonts w:ascii="Times New Roman" w:eastAsia="MS Mincho" w:hAnsi="Times New Roman" w:cs="Times New Roman" w:hint="default"/>
        <w:b/>
        <w:i/>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E12428B"/>
    <w:multiLevelType w:val="hybridMultilevel"/>
    <w:tmpl w:val="A21EFB34"/>
    <w:lvl w:ilvl="0" w:tplc="F72CF7F2">
      <w:start w:val="2"/>
      <w:numFmt w:val="bullet"/>
      <w:lvlText w:val="-"/>
      <w:lvlJc w:val="left"/>
      <w:pPr>
        <w:ind w:left="1080" w:hanging="360"/>
      </w:pPr>
      <w:rPr>
        <w:rFonts w:ascii="Times New Roman" w:eastAsia="Arial Unicode MS" w:hAnsi="Times New Roman" w:cs="Times New Roman" w:hint="default"/>
      </w:rPr>
    </w:lvl>
    <w:lvl w:ilvl="1" w:tplc="10090003" w:tentative="1">
      <w:start w:val="1"/>
      <w:numFmt w:val="bullet"/>
      <w:lvlText w:val="o"/>
      <w:lvlJc w:val="left"/>
      <w:pPr>
        <w:ind w:left="1800" w:hanging="360"/>
      </w:pPr>
      <w:rPr>
        <w:rFonts w:ascii="Courier New" w:hAnsi="Courier New" w:cs="SymbolMT"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SymbolMT"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SymbolMT" w:hint="default"/>
      </w:rPr>
    </w:lvl>
    <w:lvl w:ilvl="8" w:tplc="10090005" w:tentative="1">
      <w:start w:val="1"/>
      <w:numFmt w:val="bullet"/>
      <w:lvlText w:val=""/>
      <w:lvlJc w:val="left"/>
      <w:pPr>
        <w:ind w:left="6840" w:hanging="360"/>
      </w:pPr>
      <w:rPr>
        <w:rFonts w:ascii="Wingdings" w:hAnsi="Wingdings" w:hint="default"/>
      </w:rPr>
    </w:lvl>
  </w:abstractNum>
  <w:abstractNum w:abstractNumId="11" w15:restartNumberingAfterBreak="0">
    <w:nsid w:val="204A7311"/>
    <w:multiLevelType w:val="hybridMultilevel"/>
    <w:tmpl w:val="FFB6707C"/>
    <w:lvl w:ilvl="0" w:tplc="ED903052">
      <w:start w:val="6"/>
      <w:numFmt w:val="bullet"/>
      <w:lvlText w:val="-"/>
      <w:lvlJc w:val="left"/>
      <w:pPr>
        <w:ind w:left="1800" w:hanging="360"/>
      </w:pPr>
      <w:rPr>
        <w:rFonts w:ascii="Times New Roman" w:eastAsia="Calibri" w:hAnsi="Times New Roman" w:cs="Times New Roman" w:hint="default"/>
      </w:rPr>
    </w:lvl>
    <w:lvl w:ilvl="1" w:tplc="10090003" w:tentative="1">
      <w:start w:val="1"/>
      <w:numFmt w:val="bullet"/>
      <w:lvlText w:val="o"/>
      <w:lvlJc w:val="left"/>
      <w:pPr>
        <w:ind w:left="2520" w:hanging="360"/>
      </w:pPr>
      <w:rPr>
        <w:rFonts w:ascii="Courier New" w:hAnsi="Courier New" w:cs="SymbolMT"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SymbolMT"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SymbolMT" w:hint="default"/>
      </w:rPr>
    </w:lvl>
    <w:lvl w:ilvl="8" w:tplc="10090005" w:tentative="1">
      <w:start w:val="1"/>
      <w:numFmt w:val="bullet"/>
      <w:lvlText w:val=""/>
      <w:lvlJc w:val="left"/>
      <w:pPr>
        <w:ind w:left="7560" w:hanging="360"/>
      </w:pPr>
      <w:rPr>
        <w:rFonts w:ascii="Wingdings" w:hAnsi="Wingdings" w:hint="default"/>
      </w:rPr>
    </w:lvl>
  </w:abstractNum>
  <w:abstractNum w:abstractNumId="12" w15:restartNumberingAfterBreak="0">
    <w:nsid w:val="20F50BC1"/>
    <w:multiLevelType w:val="multilevel"/>
    <w:tmpl w:val="45FE86BE"/>
    <w:lvl w:ilvl="0">
      <w:start w:val="2"/>
      <w:numFmt w:val="decimal"/>
      <w:lvlText w:val="%1."/>
      <w:lvlJc w:val="left"/>
      <w:pPr>
        <w:ind w:left="540" w:hanging="540"/>
      </w:pPr>
      <w:rPr>
        <w:rFonts w:hint="default"/>
      </w:rPr>
    </w:lvl>
    <w:lvl w:ilvl="1">
      <w:start w:val="2"/>
      <w:numFmt w:val="decimal"/>
      <w:lvlText w:val="%1.%2."/>
      <w:lvlJc w:val="left"/>
      <w:pPr>
        <w:ind w:left="1260" w:hanging="54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22E31680"/>
    <w:multiLevelType w:val="hybridMultilevel"/>
    <w:tmpl w:val="DEB8EB3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57A0404"/>
    <w:multiLevelType w:val="hybridMultilevel"/>
    <w:tmpl w:val="8EAC04A4"/>
    <w:lvl w:ilvl="0" w:tplc="4B520D1E">
      <w:start w:val="1"/>
      <w:numFmt w:val="lowerLetter"/>
      <w:lvlText w:val="%1)"/>
      <w:lvlJc w:val="left"/>
      <w:pPr>
        <w:ind w:left="1065" w:hanging="360"/>
      </w:pPr>
      <w:rPr>
        <w:rFonts w:hint="default"/>
      </w:rPr>
    </w:lvl>
    <w:lvl w:ilvl="1" w:tplc="10090019" w:tentative="1">
      <w:start w:val="1"/>
      <w:numFmt w:val="lowerLetter"/>
      <w:lvlText w:val="%2."/>
      <w:lvlJc w:val="left"/>
      <w:pPr>
        <w:ind w:left="1785" w:hanging="360"/>
      </w:pPr>
    </w:lvl>
    <w:lvl w:ilvl="2" w:tplc="1009001B" w:tentative="1">
      <w:start w:val="1"/>
      <w:numFmt w:val="lowerRoman"/>
      <w:lvlText w:val="%3."/>
      <w:lvlJc w:val="right"/>
      <w:pPr>
        <w:ind w:left="2505" w:hanging="180"/>
      </w:pPr>
    </w:lvl>
    <w:lvl w:ilvl="3" w:tplc="1009000F" w:tentative="1">
      <w:start w:val="1"/>
      <w:numFmt w:val="decimal"/>
      <w:lvlText w:val="%4."/>
      <w:lvlJc w:val="left"/>
      <w:pPr>
        <w:ind w:left="3225" w:hanging="360"/>
      </w:pPr>
    </w:lvl>
    <w:lvl w:ilvl="4" w:tplc="10090019" w:tentative="1">
      <w:start w:val="1"/>
      <w:numFmt w:val="lowerLetter"/>
      <w:lvlText w:val="%5."/>
      <w:lvlJc w:val="left"/>
      <w:pPr>
        <w:ind w:left="3945" w:hanging="360"/>
      </w:pPr>
    </w:lvl>
    <w:lvl w:ilvl="5" w:tplc="1009001B" w:tentative="1">
      <w:start w:val="1"/>
      <w:numFmt w:val="lowerRoman"/>
      <w:lvlText w:val="%6."/>
      <w:lvlJc w:val="right"/>
      <w:pPr>
        <w:ind w:left="4665" w:hanging="180"/>
      </w:pPr>
    </w:lvl>
    <w:lvl w:ilvl="6" w:tplc="1009000F" w:tentative="1">
      <w:start w:val="1"/>
      <w:numFmt w:val="decimal"/>
      <w:lvlText w:val="%7."/>
      <w:lvlJc w:val="left"/>
      <w:pPr>
        <w:ind w:left="5385" w:hanging="360"/>
      </w:pPr>
    </w:lvl>
    <w:lvl w:ilvl="7" w:tplc="10090019" w:tentative="1">
      <w:start w:val="1"/>
      <w:numFmt w:val="lowerLetter"/>
      <w:lvlText w:val="%8."/>
      <w:lvlJc w:val="left"/>
      <w:pPr>
        <w:ind w:left="6105" w:hanging="360"/>
      </w:pPr>
    </w:lvl>
    <w:lvl w:ilvl="8" w:tplc="1009001B" w:tentative="1">
      <w:start w:val="1"/>
      <w:numFmt w:val="lowerRoman"/>
      <w:lvlText w:val="%9."/>
      <w:lvlJc w:val="right"/>
      <w:pPr>
        <w:ind w:left="6825" w:hanging="180"/>
      </w:pPr>
    </w:lvl>
  </w:abstractNum>
  <w:abstractNum w:abstractNumId="15" w15:restartNumberingAfterBreak="0">
    <w:nsid w:val="2B7A1E8C"/>
    <w:multiLevelType w:val="multilevel"/>
    <w:tmpl w:val="1E7E420C"/>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DF54B19"/>
    <w:multiLevelType w:val="hybridMultilevel"/>
    <w:tmpl w:val="05340634"/>
    <w:lvl w:ilvl="0" w:tplc="AE2AFA62">
      <w:start w:val="4"/>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F7D0544"/>
    <w:multiLevelType w:val="hybridMultilevel"/>
    <w:tmpl w:val="D6C837C2"/>
    <w:lvl w:ilvl="0" w:tplc="B4386610">
      <w:start w:val="4"/>
      <w:numFmt w:val="decimal"/>
      <w:lvlText w:val="%1-"/>
      <w:lvlJc w:val="left"/>
      <w:pPr>
        <w:ind w:left="1494" w:hanging="360"/>
      </w:pPr>
      <w:rPr>
        <w:rFonts w:hint="default"/>
      </w:rPr>
    </w:lvl>
    <w:lvl w:ilvl="1" w:tplc="10090019" w:tentative="1">
      <w:start w:val="1"/>
      <w:numFmt w:val="lowerLetter"/>
      <w:lvlText w:val="%2."/>
      <w:lvlJc w:val="left"/>
      <w:pPr>
        <w:ind w:left="2214" w:hanging="360"/>
      </w:pPr>
    </w:lvl>
    <w:lvl w:ilvl="2" w:tplc="1009001B" w:tentative="1">
      <w:start w:val="1"/>
      <w:numFmt w:val="lowerRoman"/>
      <w:lvlText w:val="%3."/>
      <w:lvlJc w:val="right"/>
      <w:pPr>
        <w:ind w:left="2934" w:hanging="180"/>
      </w:pPr>
    </w:lvl>
    <w:lvl w:ilvl="3" w:tplc="1009000F" w:tentative="1">
      <w:start w:val="1"/>
      <w:numFmt w:val="decimal"/>
      <w:lvlText w:val="%4."/>
      <w:lvlJc w:val="left"/>
      <w:pPr>
        <w:ind w:left="3654" w:hanging="360"/>
      </w:pPr>
    </w:lvl>
    <w:lvl w:ilvl="4" w:tplc="10090019" w:tentative="1">
      <w:start w:val="1"/>
      <w:numFmt w:val="lowerLetter"/>
      <w:lvlText w:val="%5."/>
      <w:lvlJc w:val="left"/>
      <w:pPr>
        <w:ind w:left="4374" w:hanging="360"/>
      </w:pPr>
    </w:lvl>
    <w:lvl w:ilvl="5" w:tplc="1009001B" w:tentative="1">
      <w:start w:val="1"/>
      <w:numFmt w:val="lowerRoman"/>
      <w:lvlText w:val="%6."/>
      <w:lvlJc w:val="right"/>
      <w:pPr>
        <w:ind w:left="5094" w:hanging="180"/>
      </w:pPr>
    </w:lvl>
    <w:lvl w:ilvl="6" w:tplc="1009000F" w:tentative="1">
      <w:start w:val="1"/>
      <w:numFmt w:val="decimal"/>
      <w:lvlText w:val="%7."/>
      <w:lvlJc w:val="left"/>
      <w:pPr>
        <w:ind w:left="5814" w:hanging="360"/>
      </w:pPr>
    </w:lvl>
    <w:lvl w:ilvl="7" w:tplc="10090019" w:tentative="1">
      <w:start w:val="1"/>
      <w:numFmt w:val="lowerLetter"/>
      <w:lvlText w:val="%8."/>
      <w:lvlJc w:val="left"/>
      <w:pPr>
        <w:ind w:left="6534" w:hanging="360"/>
      </w:pPr>
    </w:lvl>
    <w:lvl w:ilvl="8" w:tplc="1009001B" w:tentative="1">
      <w:start w:val="1"/>
      <w:numFmt w:val="lowerRoman"/>
      <w:lvlText w:val="%9."/>
      <w:lvlJc w:val="right"/>
      <w:pPr>
        <w:ind w:left="7254" w:hanging="180"/>
      </w:pPr>
    </w:lvl>
  </w:abstractNum>
  <w:abstractNum w:abstractNumId="18" w15:restartNumberingAfterBreak="0">
    <w:nsid w:val="31350AA9"/>
    <w:multiLevelType w:val="hybridMultilevel"/>
    <w:tmpl w:val="7AE4236E"/>
    <w:lvl w:ilvl="0" w:tplc="6BFAB37E">
      <w:start w:val="1"/>
      <w:numFmt w:val="decimal"/>
      <w:lvlText w:val="%1-"/>
      <w:lvlJc w:val="left"/>
      <w:pPr>
        <w:ind w:left="720" w:hanging="360"/>
      </w:pPr>
      <w:rPr>
        <w:rFonts w:cs="Times New Roman"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27905EF"/>
    <w:multiLevelType w:val="hybridMultilevel"/>
    <w:tmpl w:val="D8305EE2"/>
    <w:lvl w:ilvl="0" w:tplc="79926180">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1B6E1A"/>
    <w:multiLevelType w:val="multilevel"/>
    <w:tmpl w:val="7B68D20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A0E7CE7"/>
    <w:multiLevelType w:val="hybridMultilevel"/>
    <w:tmpl w:val="B46E9480"/>
    <w:lvl w:ilvl="0" w:tplc="AE90686E">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3B654FCF"/>
    <w:multiLevelType w:val="hybridMultilevel"/>
    <w:tmpl w:val="024EE6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DA3618F"/>
    <w:multiLevelType w:val="hybridMultilevel"/>
    <w:tmpl w:val="F1946F28"/>
    <w:lvl w:ilvl="0" w:tplc="BE7064EA">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F8F18AF"/>
    <w:multiLevelType w:val="hybridMultilevel"/>
    <w:tmpl w:val="80968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0C50C85"/>
    <w:multiLevelType w:val="hybridMultilevel"/>
    <w:tmpl w:val="164A5EB2"/>
    <w:lvl w:ilvl="0" w:tplc="81D2E9CE">
      <w:numFmt w:val="bullet"/>
      <w:lvlText w:val="-"/>
      <w:lvlJc w:val="left"/>
      <w:pPr>
        <w:ind w:left="720" w:hanging="360"/>
      </w:pPr>
      <w:rPr>
        <w:rFonts w:ascii="SymbolMT" w:eastAsia="Cambria" w:hAnsi="SymbolMT" w:cs="SymbolMT" w:hint="default"/>
      </w:rPr>
    </w:lvl>
    <w:lvl w:ilvl="1" w:tplc="10090003">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4BA5135"/>
    <w:multiLevelType w:val="multilevel"/>
    <w:tmpl w:val="AA16BB00"/>
    <w:lvl w:ilvl="0">
      <w:start w:val="8"/>
      <w:numFmt w:val="decimal"/>
      <w:lvlText w:val="%1."/>
      <w:lvlJc w:val="left"/>
      <w:pPr>
        <w:ind w:left="540" w:hanging="540"/>
      </w:pPr>
      <w:rPr>
        <w:rFonts w:hint="default"/>
        <w:i/>
      </w:rPr>
    </w:lvl>
    <w:lvl w:ilvl="1">
      <w:start w:val="3"/>
      <w:numFmt w:val="decimal"/>
      <w:lvlText w:val="%1.%2."/>
      <w:lvlJc w:val="left"/>
      <w:pPr>
        <w:ind w:left="540" w:hanging="540"/>
      </w:pPr>
      <w:rPr>
        <w:rFonts w:hint="default"/>
        <w:i/>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7" w15:restartNumberingAfterBreak="0">
    <w:nsid w:val="4ED1738B"/>
    <w:multiLevelType w:val="multilevel"/>
    <w:tmpl w:val="D8663C22"/>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00C284C"/>
    <w:multiLevelType w:val="multilevel"/>
    <w:tmpl w:val="2BC0DBD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lowerRoman"/>
      <w:lvlText w:val="%1.%2.%3.%4.%5."/>
      <w:lvlJc w:val="left"/>
      <w:pPr>
        <w:ind w:left="2880" w:hanging="144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5F9F2E62"/>
    <w:multiLevelType w:val="hybridMultilevel"/>
    <w:tmpl w:val="ACC6A484"/>
    <w:lvl w:ilvl="0" w:tplc="FEA00CB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05D0F83"/>
    <w:multiLevelType w:val="hybridMultilevel"/>
    <w:tmpl w:val="180E4004"/>
    <w:lvl w:ilvl="0" w:tplc="23C45826">
      <w:numFmt w:val="bullet"/>
      <w:lvlText w:val="-"/>
      <w:lvlJc w:val="left"/>
      <w:pPr>
        <w:ind w:left="720" w:hanging="360"/>
      </w:pPr>
      <w:rPr>
        <w:rFonts w:ascii="Times New Roman" w:eastAsia="MS Mincho" w:hAnsi="Times New Roman" w:cs="Times New Roman" w:hint="default"/>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31326A8"/>
    <w:multiLevelType w:val="hybridMultilevel"/>
    <w:tmpl w:val="23B2ADC6"/>
    <w:lvl w:ilvl="0" w:tplc="702E32C6">
      <w:start w:val="41"/>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SymbolMT"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SymbolMT"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SymbolMT"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7A563B4"/>
    <w:multiLevelType w:val="multilevel"/>
    <w:tmpl w:val="EEEEDB1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B7F33F8"/>
    <w:multiLevelType w:val="hybridMultilevel"/>
    <w:tmpl w:val="DC66E6EC"/>
    <w:lvl w:ilvl="0" w:tplc="0409000F">
      <w:start w:val="2"/>
      <w:numFmt w:val="decimal"/>
      <w:lvlText w:val="%1-"/>
      <w:lvlJc w:val="left"/>
      <w:pPr>
        <w:tabs>
          <w:tab w:val="num" w:pos="720"/>
        </w:tabs>
        <w:ind w:left="720" w:hanging="360"/>
      </w:pPr>
      <w:rPr>
        <w:rFonts w:ascii="Times" w:hAnsi="Times" w:hint="default"/>
        <w:b w:val="0"/>
      </w:rPr>
    </w:lvl>
    <w:lvl w:ilvl="1" w:tplc="631A5B4E">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7A33568E"/>
    <w:multiLevelType w:val="hybridMultilevel"/>
    <w:tmpl w:val="BE6CD110"/>
    <w:lvl w:ilvl="0" w:tplc="1D0816CA">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7FBB7560"/>
    <w:multiLevelType w:val="hybridMultilevel"/>
    <w:tmpl w:val="2070F396"/>
    <w:lvl w:ilvl="0" w:tplc="DCAE8AA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2"/>
  </w:num>
  <w:num w:numId="2">
    <w:abstractNumId w:val="3"/>
  </w:num>
  <w:num w:numId="3">
    <w:abstractNumId w:val="4"/>
  </w:num>
  <w:num w:numId="4">
    <w:abstractNumId w:val="19"/>
  </w:num>
  <w:num w:numId="5">
    <w:abstractNumId w:val="17"/>
  </w:num>
  <w:num w:numId="6">
    <w:abstractNumId w:val="25"/>
  </w:num>
  <w:num w:numId="7">
    <w:abstractNumId w:val="1"/>
  </w:num>
  <w:num w:numId="8">
    <w:abstractNumId w:val="32"/>
  </w:num>
  <w:num w:numId="9">
    <w:abstractNumId w:val="11"/>
  </w:num>
  <w:num w:numId="10">
    <w:abstractNumId w:val="9"/>
  </w:num>
  <w:num w:numId="11">
    <w:abstractNumId w:val="7"/>
  </w:num>
  <w:num w:numId="12">
    <w:abstractNumId w:val="8"/>
  </w:num>
  <w:num w:numId="13">
    <w:abstractNumId w:val="35"/>
  </w:num>
  <w:num w:numId="14">
    <w:abstractNumId w:val="26"/>
  </w:num>
  <w:num w:numId="15">
    <w:abstractNumId w:val="30"/>
  </w:num>
  <w:num w:numId="16">
    <w:abstractNumId w:val="28"/>
  </w:num>
  <w:num w:numId="17">
    <w:abstractNumId w:val="14"/>
  </w:num>
  <w:num w:numId="18">
    <w:abstractNumId w:val="23"/>
  </w:num>
  <w:num w:numId="19">
    <w:abstractNumId w:val="27"/>
  </w:num>
  <w:num w:numId="20">
    <w:abstractNumId w:val="2"/>
  </w:num>
  <w:num w:numId="21">
    <w:abstractNumId w:val="20"/>
  </w:num>
  <w:num w:numId="22">
    <w:abstractNumId w:val="12"/>
  </w:num>
  <w:num w:numId="23">
    <w:abstractNumId w:val="15"/>
  </w:num>
  <w:num w:numId="24">
    <w:abstractNumId w:val="5"/>
  </w:num>
  <w:num w:numId="25">
    <w:abstractNumId w:val="10"/>
  </w:num>
  <w:num w:numId="26">
    <w:abstractNumId w:val="29"/>
  </w:num>
  <w:num w:numId="27">
    <w:abstractNumId w:val="33"/>
  </w:num>
  <w:num w:numId="28">
    <w:abstractNumId w:val="16"/>
  </w:num>
  <w:num w:numId="29">
    <w:abstractNumId w:val="31"/>
  </w:num>
  <w:num w:numId="30">
    <w:abstractNumId w:val="34"/>
  </w:num>
  <w:num w:numId="31">
    <w:abstractNumId w:val="13"/>
  </w:num>
  <w:num w:numId="32">
    <w:abstractNumId w:val="21"/>
  </w:num>
  <w:num w:numId="33">
    <w:abstractNumId w:val="18"/>
  </w:num>
  <w:num w:numId="34">
    <w:abstractNumId w:val="24"/>
  </w:num>
  <w:num w:numId="35">
    <w:abstractNumId w:val="6"/>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6"/>
  <w:autoHyphenation/>
  <w:hyphenationZone w:val="432"/>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153"/>
    <w:rsid w:val="004C50DC"/>
    <w:rsid w:val="009B614B"/>
    <w:rsid w:val="00EF1554"/>
  </w:rsids>
  <m:mathPr>
    <m:mathFont m:val="Cambria Math"/>
    <m:brkBin m:val="before"/>
    <m:brkBinSub m:val="--"/>
    <m:smallFrac m:val="0"/>
    <m:dispDef m:val="0"/>
    <m:lMargin m:val="0"/>
    <m:rMargin m:val="0"/>
    <m:wrapRight/>
    <m:intLim m:val="subSup"/>
    <m:naryLim m:val="subSup"/>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5:chartTrackingRefBased/>
  <w15:docId w15:val="{79F063E7-A688-2341-93EF-95995D910F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fr-CA" w:eastAsia="fr-F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614FD"/>
    <w:pPr>
      <w:ind w:firstLine="360"/>
    </w:pPr>
    <w:rPr>
      <w:rFonts w:ascii="Times New Roman" w:eastAsia="Times New Roman" w:hAnsi="Times New Roman"/>
      <w:sz w:val="28"/>
      <w:lang w:eastAsia="en-US"/>
    </w:rPr>
  </w:style>
  <w:style w:type="paragraph" w:styleId="Titre1">
    <w:name w:val="heading 1"/>
    <w:next w:val="Normal"/>
    <w:link w:val="Titre1Car"/>
    <w:qFormat/>
    <w:rsid w:val="006614FD"/>
    <w:pPr>
      <w:outlineLvl w:val="0"/>
    </w:pPr>
    <w:rPr>
      <w:rFonts w:eastAsia="Times New Roman"/>
      <w:noProof/>
      <w:lang w:eastAsia="en-US"/>
    </w:rPr>
  </w:style>
  <w:style w:type="paragraph" w:styleId="Titre2">
    <w:name w:val="heading 2"/>
    <w:next w:val="Normal"/>
    <w:link w:val="Titre2Car"/>
    <w:uiPriority w:val="9"/>
    <w:qFormat/>
    <w:rsid w:val="006614FD"/>
    <w:pPr>
      <w:outlineLvl w:val="1"/>
    </w:pPr>
    <w:rPr>
      <w:rFonts w:eastAsia="Times New Roman"/>
      <w:noProof/>
      <w:lang w:eastAsia="en-US"/>
    </w:rPr>
  </w:style>
  <w:style w:type="paragraph" w:styleId="Titre3">
    <w:name w:val="heading 3"/>
    <w:next w:val="Normal"/>
    <w:link w:val="Titre3Car"/>
    <w:uiPriority w:val="9"/>
    <w:qFormat/>
    <w:rsid w:val="006614FD"/>
    <w:pPr>
      <w:outlineLvl w:val="2"/>
    </w:pPr>
    <w:rPr>
      <w:rFonts w:eastAsia="Times New Roman"/>
      <w:noProof/>
      <w:lang w:eastAsia="en-US"/>
    </w:rPr>
  </w:style>
  <w:style w:type="paragraph" w:styleId="Titre4">
    <w:name w:val="heading 4"/>
    <w:next w:val="Normal"/>
    <w:link w:val="Titre4Car"/>
    <w:uiPriority w:val="9"/>
    <w:qFormat/>
    <w:rsid w:val="006614FD"/>
    <w:pPr>
      <w:outlineLvl w:val="3"/>
    </w:pPr>
    <w:rPr>
      <w:rFonts w:eastAsia="Times New Roman"/>
      <w:noProof/>
      <w:lang w:eastAsia="en-US"/>
    </w:rPr>
  </w:style>
  <w:style w:type="paragraph" w:styleId="Titre5">
    <w:name w:val="heading 5"/>
    <w:next w:val="Normal"/>
    <w:link w:val="Titre5Car"/>
    <w:uiPriority w:val="9"/>
    <w:qFormat/>
    <w:rsid w:val="006614FD"/>
    <w:pPr>
      <w:outlineLvl w:val="4"/>
    </w:pPr>
    <w:rPr>
      <w:rFonts w:eastAsia="Times New Roman"/>
      <w:noProof/>
      <w:lang w:eastAsia="en-US"/>
    </w:rPr>
  </w:style>
  <w:style w:type="paragraph" w:styleId="Titre6">
    <w:name w:val="heading 6"/>
    <w:next w:val="Normal"/>
    <w:link w:val="Titre6Car"/>
    <w:uiPriority w:val="9"/>
    <w:qFormat/>
    <w:rsid w:val="006614FD"/>
    <w:pPr>
      <w:outlineLvl w:val="5"/>
    </w:pPr>
    <w:rPr>
      <w:rFonts w:eastAsia="Times New Roman"/>
      <w:noProof/>
      <w:lang w:eastAsia="en-US"/>
    </w:rPr>
  </w:style>
  <w:style w:type="paragraph" w:styleId="Titre7">
    <w:name w:val="heading 7"/>
    <w:next w:val="Normal"/>
    <w:link w:val="Titre7Car"/>
    <w:qFormat/>
    <w:rsid w:val="006614FD"/>
    <w:pPr>
      <w:outlineLvl w:val="6"/>
    </w:pPr>
    <w:rPr>
      <w:rFonts w:eastAsia="Times New Roman"/>
      <w:noProof/>
      <w:lang w:eastAsia="en-US"/>
    </w:rPr>
  </w:style>
  <w:style w:type="paragraph" w:styleId="Titre8">
    <w:name w:val="heading 8"/>
    <w:next w:val="Normal"/>
    <w:link w:val="Titre8Car"/>
    <w:qFormat/>
    <w:rsid w:val="006614FD"/>
    <w:pPr>
      <w:outlineLvl w:val="7"/>
    </w:pPr>
    <w:rPr>
      <w:rFonts w:eastAsia="Times New Roman"/>
      <w:noProof/>
      <w:lang w:eastAsia="en-US"/>
    </w:rPr>
  </w:style>
  <w:style w:type="paragraph" w:styleId="Titre9">
    <w:name w:val="heading 9"/>
    <w:next w:val="Normal"/>
    <w:link w:val="Titre9Car"/>
    <w:qFormat/>
    <w:rsid w:val="006614FD"/>
    <w:pPr>
      <w:outlineLvl w:val="8"/>
    </w:pPr>
    <w:rPr>
      <w:rFonts w:eastAsia="Times New Roman"/>
      <w:noProof/>
      <w:lang w:eastAsia="en-US"/>
    </w:rPr>
  </w:style>
  <w:style w:type="character" w:default="1" w:styleId="Policepardfaut">
    <w:name w:val="Default Paragraph Font"/>
    <w:rsid w:val="006614FD"/>
  </w:style>
  <w:style w:type="table" w:default="1" w:styleId="TableauNormal">
    <w:name w:val="Normal Table"/>
    <w:semiHidden/>
    <w:rsid w:val="0058603D"/>
    <w:rPr>
      <w:lang w:bidi="ar-SA"/>
    </w:rPr>
    <w:tblPr>
      <w:tblInd w:w="0" w:type="dxa"/>
      <w:tblCellMar>
        <w:top w:w="0" w:type="dxa"/>
        <w:left w:w="108" w:type="dxa"/>
        <w:bottom w:w="0" w:type="dxa"/>
        <w:right w:w="108" w:type="dxa"/>
      </w:tblCellMar>
    </w:tblPr>
  </w:style>
  <w:style w:type="numbering" w:default="1" w:styleId="Aucuneliste">
    <w:name w:val="No List"/>
    <w:semiHidden/>
    <w:rsid w:val="006614FD"/>
  </w:style>
  <w:style w:type="character" w:customStyle="1" w:styleId="Titre1Car">
    <w:name w:val="Titre 1 Car"/>
    <w:basedOn w:val="Policepardfaut"/>
    <w:link w:val="Titre1"/>
    <w:rsid w:val="00EF76C4"/>
    <w:rPr>
      <w:rFonts w:eastAsia="Times New Roman"/>
      <w:noProof/>
      <w:lang w:val="fr-CA" w:eastAsia="en-US" w:bidi="ar-SA"/>
    </w:rPr>
  </w:style>
  <w:style w:type="character" w:customStyle="1" w:styleId="Titre2Car">
    <w:name w:val="Titre 2 Car"/>
    <w:basedOn w:val="Policepardfaut"/>
    <w:link w:val="Titre2"/>
    <w:uiPriority w:val="9"/>
    <w:rsid w:val="00EF76C4"/>
    <w:rPr>
      <w:rFonts w:eastAsia="Times New Roman"/>
      <w:noProof/>
      <w:lang w:val="fr-CA" w:eastAsia="en-US" w:bidi="ar-SA"/>
    </w:rPr>
  </w:style>
  <w:style w:type="character" w:customStyle="1" w:styleId="Titre3Car">
    <w:name w:val="Titre 3 Car"/>
    <w:basedOn w:val="Policepardfaut"/>
    <w:link w:val="Titre3"/>
    <w:uiPriority w:val="9"/>
    <w:rsid w:val="00EF76C4"/>
    <w:rPr>
      <w:rFonts w:eastAsia="Times New Roman"/>
      <w:noProof/>
      <w:lang w:val="fr-CA" w:eastAsia="en-US" w:bidi="ar-SA"/>
    </w:rPr>
  </w:style>
  <w:style w:type="character" w:customStyle="1" w:styleId="Titre4Car">
    <w:name w:val="Titre 4 Car"/>
    <w:basedOn w:val="Policepardfaut"/>
    <w:link w:val="Titre4"/>
    <w:uiPriority w:val="9"/>
    <w:rsid w:val="00EF76C4"/>
    <w:rPr>
      <w:rFonts w:eastAsia="Times New Roman"/>
      <w:noProof/>
      <w:lang w:val="fr-CA" w:eastAsia="en-US" w:bidi="ar-SA"/>
    </w:rPr>
  </w:style>
  <w:style w:type="character" w:customStyle="1" w:styleId="Titre5Car">
    <w:name w:val="Titre 5 Car"/>
    <w:basedOn w:val="Policepardfaut"/>
    <w:link w:val="Titre5"/>
    <w:uiPriority w:val="9"/>
    <w:rsid w:val="00EF76C4"/>
    <w:rPr>
      <w:rFonts w:eastAsia="Times New Roman"/>
      <w:noProof/>
      <w:lang w:val="fr-CA" w:eastAsia="en-US" w:bidi="ar-SA"/>
    </w:rPr>
  </w:style>
  <w:style w:type="character" w:customStyle="1" w:styleId="Titre6Car">
    <w:name w:val="Titre 6 Car"/>
    <w:basedOn w:val="Policepardfaut"/>
    <w:link w:val="Titre6"/>
    <w:uiPriority w:val="9"/>
    <w:rsid w:val="00EF76C4"/>
    <w:rPr>
      <w:rFonts w:eastAsia="Times New Roman"/>
      <w:noProof/>
      <w:lang w:val="fr-CA" w:eastAsia="en-US" w:bidi="ar-SA"/>
    </w:rPr>
  </w:style>
  <w:style w:type="character" w:customStyle="1" w:styleId="Titre7Car">
    <w:name w:val="Titre 7 Car"/>
    <w:basedOn w:val="Policepardfaut"/>
    <w:link w:val="Titre7"/>
    <w:rsid w:val="00EF76C4"/>
    <w:rPr>
      <w:rFonts w:eastAsia="Times New Roman"/>
      <w:noProof/>
      <w:lang w:val="fr-CA" w:eastAsia="en-US" w:bidi="ar-SA"/>
    </w:rPr>
  </w:style>
  <w:style w:type="character" w:customStyle="1" w:styleId="Titre8Car">
    <w:name w:val="Titre 8 Car"/>
    <w:basedOn w:val="Policepardfaut"/>
    <w:link w:val="Titre8"/>
    <w:rsid w:val="00EF76C4"/>
    <w:rPr>
      <w:rFonts w:eastAsia="Times New Roman"/>
      <w:noProof/>
      <w:lang w:val="fr-CA" w:eastAsia="en-US" w:bidi="ar-SA"/>
    </w:rPr>
  </w:style>
  <w:style w:type="character" w:customStyle="1" w:styleId="Titre9Car">
    <w:name w:val="Titre 9 Car"/>
    <w:basedOn w:val="Policepardfaut"/>
    <w:link w:val="Titre9"/>
    <w:rsid w:val="00EF76C4"/>
    <w:rPr>
      <w:rFonts w:eastAsia="Times New Roman"/>
      <w:noProof/>
      <w:lang w:val="fr-CA" w:eastAsia="en-US" w:bidi="ar-SA"/>
    </w:rPr>
  </w:style>
  <w:style w:type="character" w:styleId="Appeldenotedefin">
    <w:name w:val="endnote reference"/>
    <w:basedOn w:val="Policepardfaut"/>
    <w:rsid w:val="006614FD"/>
    <w:rPr>
      <w:vertAlign w:val="superscript"/>
    </w:rPr>
  </w:style>
  <w:style w:type="character" w:styleId="Appelnotedebasdep">
    <w:name w:val="footnote reference"/>
    <w:basedOn w:val="Policepardfaut"/>
    <w:autoRedefine/>
    <w:uiPriority w:val="99"/>
    <w:rsid w:val="006614FD"/>
    <w:rPr>
      <w:color w:val="FF0000"/>
      <w:position w:val="6"/>
      <w:sz w:val="20"/>
    </w:rPr>
  </w:style>
  <w:style w:type="paragraph" w:customStyle="1" w:styleId="Citation0i">
    <w:name w:val="Citation 0 i"/>
    <w:basedOn w:val="Citation0"/>
    <w:autoRedefine/>
    <w:rsid w:val="00B956E6"/>
    <w:rPr>
      <w:i/>
      <w:lang w:eastAsia="en-CA"/>
    </w:rPr>
  </w:style>
  <w:style w:type="paragraph" w:customStyle="1" w:styleId="Citation0c">
    <w:name w:val="Citation 0 c"/>
    <w:basedOn w:val="Citation0"/>
    <w:autoRedefine/>
    <w:rsid w:val="00B956E6"/>
    <w:pPr>
      <w:jc w:val="center"/>
    </w:pPr>
    <w:rPr>
      <w:lang w:eastAsia="en-CA"/>
    </w:rPr>
  </w:style>
  <w:style w:type="paragraph" w:customStyle="1" w:styleId="Niveau1">
    <w:name w:val="Niveau 1"/>
    <w:basedOn w:val="Normal"/>
    <w:rsid w:val="006614FD"/>
    <w:pPr>
      <w:ind w:firstLine="0"/>
    </w:pPr>
    <w:rPr>
      <w:b/>
      <w:color w:val="FF0000"/>
      <w:sz w:val="72"/>
    </w:rPr>
  </w:style>
  <w:style w:type="paragraph" w:customStyle="1" w:styleId="Niveau11">
    <w:name w:val="Niveau 1.1"/>
    <w:basedOn w:val="Niveau1"/>
    <w:autoRedefine/>
    <w:rsid w:val="006614FD"/>
    <w:rPr>
      <w:color w:val="008000"/>
      <w:sz w:val="60"/>
    </w:rPr>
  </w:style>
  <w:style w:type="paragraph" w:customStyle="1" w:styleId="Niveau12">
    <w:name w:val="Niveau 1.2"/>
    <w:basedOn w:val="Niveau11"/>
    <w:autoRedefine/>
    <w:rsid w:val="006614FD"/>
    <w:pPr>
      <w:jc w:val="center"/>
    </w:pPr>
    <w:rPr>
      <w:i/>
      <w:color w:val="000080"/>
      <w:sz w:val="36"/>
    </w:rPr>
  </w:style>
  <w:style w:type="paragraph" w:customStyle="1" w:styleId="Niveau2">
    <w:name w:val="Niveau 2"/>
    <w:basedOn w:val="Normal"/>
    <w:rsid w:val="006614FD"/>
    <w:rPr>
      <w:rFonts w:ascii="GillSans" w:hAnsi="GillSans"/>
      <w:sz w:val="20"/>
    </w:rPr>
  </w:style>
  <w:style w:type="paragraph" w:customStyle="1" w:styleId="Niveau3">
    <w:name w:val="Niveau 3"/>
    <w:basedOn w:val="Normal"/>
    <w:autoRedefine/>
    <w:rsid w:val="006614FD"/>
    <w:pPr>
      <w:ind w:left="1080" w:hanging="720"/>
    </w:pPr>
    <w:rPr>
      <w:b/>
    </w:rPr>
  </w:style>
  <w:style w:type="paragraph" w:customStyle="1" w:styleId="Titreniveau1">
    <w:name w:val="Titre niveau 1"/>
    <w:basedOn w:val="Niveau1"/>
    <w:autoRedefine/>
    <w:rsid w:val="006614FD"/>
    <w:pPr>
      <w:pBdr>
        <w:bottom w:val="single" w:sz="4" w:space="1" w:color="auto"/>
      </w:pBdr>
      <w:ind w:left="1440" w:right="1440"/>
      <w:jc w:val="center"/>
    </w:pPr>
    <w:rPr>
      <w:b w:val="0"/>
      <w:sz w:val="60"/>
    </w:rPr>
  </w:style>
  <w:style w:type="paragraph" w:customStyle="1" w:styleId="Titreniveau2">
    <w:name w:val="Titre niveau 2"/>
    <w:basedOn w:val="Titreniveau1"/>
    <w:autoRedefine/>
    <w:rsid w:val="00EF76C4"/>
    <w:pPr>
      <w:widowControl w:val="0"/>
      <w:pBdr>
        <w:bottom w:val="none" w:sz="0" w:space="0" w:color="auto"/>
      </w:pBdr>
      <w:spacing w:before="120"/>
      <w:ind w:left="0" w:right="0"/>
    </w:pPr>
    <w:rPr>
      <w:color w:val="auto"/>
      <w:sz w:val="48"/>
      <w:szCs w:val="36"/>
    </w:rPr>
  </w:style>
  <w:style w:type="paragraph" w:styleId="Corpsdetexte">
    <w:name w:val="Body Text"/>
    <w:basedOn w:val="Normal"/>
    <w:link w:val="CorpsdetexteCar"/>
    <w:rsid w:val="006614FD"/>
    <w:pPr>
      <w:spacing w:before="360" w:after="240"/>
      <w:ind w:firstLine="0"/>
      <w:jc w:val="center"/>
    </w:pPr>
    <w:rPr>
      <w:sz w:val="72"/>
    </w:rPr>
  </w:style>
  <w:style w:type="character" w:customStyle="1" w:styleId="CorpsdetexteCar">
    <w:name w:val="Corps de texte Car"/>
    <w:basedOn w:val="Policepardfaut"/>
    <w:link w:val="Corpsdetexte"/>
    <w:rsid w:val="00EF76C4"/>
    <w:rPr>
      <w:rFonts w:ascii="Times New Roman" w:eastAsia="Times New Roman" w:hAnsi="Times New Roman"/>
      <w:sz w:val="72"/>
      <w:lang w:val="fr-CA" w:eastAsia="en-US"/>
    </w:rPr>
  </w:style>
  <w:style w:type="paragraph" w:styleId="Corpsdetexte2">
    <w:name w:val="Body Text 2"/>
    <w:basedOn w:val="Normal"/>
    <w:link w:val="Corpsdetexte2Car"/>
    <w:rsid w:val="006614FD"/>
    <w:pPr>
      <w:ind w:firstLine="0"/>
      <w:jc w:val="both"/>
    </w:pPr>
    <w:rPr>
      <w:rFonts w:ascii="Arial" w:hAnsi="Arial"/>
    </w:rPr>
  </w:style>
  <w:style w:type="character" w:customStyle="1" w:styleId="Corpsdetexte2Car">
    <w:name w:val="Corps de texte 2 Car"/>
    <w:basedOn w:val="Policepardfaut"/>
    <w:link w:val="Corpsdetexte2"/>
    <w:rsid w:val="00EF76C4"/>
    <w:rPr>
      <w:rFonts w:ascii="Arial" w:eastAsia="Times New Roman" w:hAnsi="Arial"/>
      <w:sz w:val="28"/>
      <w:lang w:val="fr-CA" w:eastAsia="en-US"/>
    </w:rPr>
  </w:style>
  <w:style w:type="paragraph" w:styleId="Corpsdetexte3">
    <w:name w:val="Body Text 3"/>
    <w:basedOn w:val="Normal"/>
    <w:link w:val="Corpsdetexte3Car"/>
    <w:rsid w:val="006614FD"/>
    <w:pPr>
      <w:tabs>
        <w:tab w:val="left" w:pos="510"/>
        <w:tab w:val="left" w:pos="510"/>
      </w:tabs>
      <w:ind w:firstLine="0"/>
      <w:jc w:val="both"/>
    </w:pPr>
    <w:rPr>
      <w:rFonts w:ascii="Arial" w:hAnsi="Arial"/>
      <w:sz w:val="20"/>
    </w:rPr>
  </w:style>
  <w:style w:type="character" w:customStyle="1" w:styleId="Corpsdetexte3Car">
    <w:name w:val="Corps de texte 3 Car"/>
    <w:basedOn w:val="Policepardfaut"/>
    <w:link w:val="Corpsdetexte3"/>
    <w:rsid w:val="00EF76C4"/>
    <w:rPr>
      <w:rFonts w:ascii="Arial" w:eastAsia="Times New Roman" w:hAnsi="Arial"/>
      <w:lang w:val="fr-CA" w:eastAsia="en-US"/>
    </w:rPr>
  </w:style>
  <w:style w:type="paragraph" w:styleId="En-tte">
    <w:name w:val="header"/>
    <w:basedOn w:val="Normal"/>
    <w:link w:val="En-tteCar"/>
    <w:rsid w:val="006614FD"/>
    <w:pPr>
      <w:tabs>
        <w:tab w:val="center" w:pos="4320"/>
        <w:tab w:val="right" w:pos="8640"/>
      </w:tabs>
    </w:pPr>
    <w:rPr>
      <w:rFonts w:ascii="GillSans" w:hAnsi="GillSans"/>
      <w:sz w:val="20"/>
    </w:rPr>
  </w:style>
  <w:style w:type="character" w:customStyle="1" w:styleId="En-tteCar">
    <w:name w:val="En-tête Car"/>
    <w:basedOn w:val="Policepardfaut"/>
    <w:link w:val="En-tte"/>
    <w:rsid w:val="00EF76C4"/>
    <w:rPr>
      <w:rFonts w:ascii="GillSans" w:eastAsia="Times New Roman" w:hAnsi="GillSans"/>
      <w:lang w:val="fr-CA" w:eastAsia="en-US"/>
    </w:rPr>
  </w:style>
  <w:style w:type="paragraph" w:customStyle="1" w:styleId="En-tteimpaire">
    <w:name w:val="En-tÍte impaire"/>
    <w:basedOn w:val="En-tte"/>
    <w:rsid w:val="006614FD"/>
    <w:pPr>
      <w:tabs>
        <w:tab w:val="right" w:pos="8280"/>
        <w:tab w:val="right" w:pos="9000"/>
      </w:tabs>
      <w:ind w:firstLine="0"/>
    </w:pPr>
  </w:style>
  <w:style w:type="paragraph" w:customStyle="1" w:styleId="En-ttepaire">
    <w:name w:val="En-tÍte paire"/>
    <w:basedOn w:val="En-tte"/>
    <w:rsid w:val="006614FD"/>
    <w:pPr>
      <w:tabs>
        <w:tab w:val="left" w:pos="720"/>
      </w:tabs>
      <w:ind w:firstLine="0"/>
    </w:pPr>
  </w:style>
  <w:style w:type="paragraph" w:styleId="Lgende">
    <w:name w:val="caption"/>
    <w:basedOn w:val="Normal"/>
    <w:next w:val="Normal"/>
    <w:uiPriority w:val="35"/>
    <w:qFormat/>
    <w:rsid w:val="006614FD"/>
    <w:pPr>
      <w:spacing w:before="120" w:after="120"/>
    </w:pPr>
    <w:rPr>
      <w:rFonts w:ascii="GillSans" w:hAnsi="GillSans"/>
      <w:b/>
      <w:sz w:val="20"/>
    </w:rPr>
  </w:style>
  <w:style w:type="character" w:styleId="Lienhypertexte">
    <w:name w:val="Hyperlink"/>
    <w:basedOn w:val="Policepardfaut"/>
    <w:uiPriority w:val="99"/>
    <w:rsid w:val="006614FD"/>
    <w:rPr>
      <w:color w:val="0000FF"/>
      <w:u w:val="single"/>
    </w:rPr>
  </w:style>
  <w:style w:type="character" w:styleId="Lienhypertextesuivivisit">
    <w:name w:val="FollowedHyperlink"/>
    <w:basedOn w:val="Policepardfaut"/>
    <w:uiPriority w:val="99"/>
    <w:rsid w:val="006614FD"/>
    <w:rPr>
      <w:color w:val="800080"/>
      <w:u w:val="single"/>
    </w:rPr>
  </w:style>
  <w:style w:type="paragraph" w:customStyle="1" w:styleId="Niveau10">
    <w:name w:val="Niveau 1.0"/>
    <w:basedOn w:val="Niveau11"/>
    <w:autoRedefine/>
    <w:rsid w:val="006614FD"/>
    <w:pPr>
      <w:jc w:val="center"/>
    </w:pPr>
    <w:rPr>
      <w:b w:val="0"/>
      <w:sz w:val="48"/>
    </w:rPr>
  </w:style>
  <w:style w:type="paragraph" w:customStyle="1" w:styleId="Niveau13">
    <w:name w:val="Niveau 1.3"/>
    <w:basedOn w:val="Niveau12"/>
    <w:autoRedefine/>
    <w:rsid w:val="006614FD"/>
    <w:rPr>
      <w:b w:val="0"/>
      <w:i w:val="0"/>
      <w:color w:val="800080"/>
      <w:sz w:val="48"/>
    </w:rPr>
  </w:style>
  <w:style w:type="paragraph" w:styleId="Notedebasdepage">
    <w:name w:val="footnote text"/>
    <w:basedOn w:val="Normal"/>
    <w:link w:val="NotedebasdepageCar"/>
    <w:autoRedefine/>
    <w:rsid w:val="00A86947"/>
    <w:pPr>
      <w:tabs>
        <w:tab w:val="left" w:pos="720"/>
      </w:tabs>
      <w:ind w:left="360" w:hanging="360"/>
      <w:jc w:val="both"/>
    </w:pPr>
    <w:rPr>
      <w:color w:val="000000"/>
      <w:sz w:val="24"/>
    </w:rPr>
  </w:style>
  <w:style w:type="character" w:customStyle="1" w:styleId="NotedebasdepageCar">
    <w:name w:val="Note de bas de page Car"/>
    <w:basedOn w:val="Policepardfaut"/>
    <w:link w:val="Notedebasdepage"/>
    <w:rsid w:val="00A86947"/>
    <w:rPr>
      <w:rFonts w:ascii="Times New Roman" w:eastAsia="Times New Roman" w:hAnsi="Times New Roman"/>
      <w:color w:val="000000"/>
      <w:sz w:val="24"/>
      <w:lang w:val="fr-CA" w:eastAsia="en-US"/>
    </w:rPr>
  </w:style>
  <w:style w:type="character" w:styleId="Numrodepage">
    <w:name w:val="page number"/>
    <w:basedOn w:val="Policepardfaut"/>
    <w:rsid w:val="006614FD"/>
  </w:style>
  <w:style w:type="paragraph" w:styleId="Pieddepage">
    <w:name w:val="footer"/>
    <w:basedOn w:val="Normal"/>
    <w:link w:val="PieddepageCar"/>
    <w:uiPriority w:val="99"/>
    <w:rsid w:val="006614FD"/>
    <w:pPr>
      <w:tabs>
        <w:tab w:val="center" w:pos="4320"/>
        <w:tab w:val="right" w:pos="8640"/>
      </w:tabs>
    </w:pPr>
    <w:rPr>
      <w:rFonts w:ascii="GillSans" w:hAnsi="GillSans"/>
      <w:sz w:val="20"/>
    </w:rPr>
  </w:style>
  <w:style w:type="character" w:customStyle="1" w:styleId="PieddepageCar">
    <w:name w:val="Pied de page Car"/>
    <w:basedOn w:val="Policepardfaut"/>
    <w:link w:val="Pieddepage"/>
    <w:uiPriority w:val="99"/>
    <w:rsid w:val="00EF76C4"/>
    <w:rPr>
      <w:rFonts w:ascii="GillSans" w:eastAsia="Times New Roman" w:hAnsi="GillSans"/>
      <w:lang w:val="fr-CA" w:eastAsia="en-US"/>
    </w:rPr>
  </w:style>
  <w:style w:type="paragraph" w:styleId="Retraitcorpsdetexte">
    <w:name w:val="Body Text Indent"/>
    <w:basedOn w:val="Normal"/>
    <w:link w:val="RetraitcorpsdetexteCar"/>
    <w:uiPriority w:val="99"/>
    <w:rsid w:val="006614FD"/>
    <w:pPr>
      <w:ind w:left="20" w:firstLine="400"/>
    </w:pPr>
    <w:rPr>
      <w:rFonts w:ascii="Arial" w:hAnsi="Arial"/>
    </w:rPr>
  </w:style>
  <w:style w:type="character" w:customStyle="1" w:styleId="RetraitcorpsdetexteCar">
    <w:name w:val="Retrait corps de texte Car"/>
    <w:basedOn w:val="Policepardfaut"/>
    <w:link w:val="Retraitcorpsdetexte"/>
    <w:uiPriority w:val="99"/>
    <w:rsid w:val="00EF76C4"/>
    <w:rPr>
      <w:rFonts w:ascii="Arial" w:eastAsia="Times New Roman" w:hAnsi="Arial"/>
      <w:sz w:val="28"/>
      <w:lang w:val="fr-CA" w:eastAsia="en-US"/>
    </w:rPr>
  </w:style>
  <w:style w:type="paragraph" w:styleId="Retraitcorpsdetexte2">
    <w:name w:val="Body Text Indent 2"/>
    <w:basedOn w:val="Normal"/>
    <w:link w:val="Retraitcorpsdetexte2Car"/>
    <w:uiPriority w:val="99"/>
    <w:rsid w:val="006614FD"/>
    <w:pPr>
      <w:tabs>
        <w:tab w:val="left" w:pos="840"/>
        <w:tab w:val="right" w:pos="9360"/>
        <w:tab w:val="left" w:pos="840"/>
      </w:tabs>
      <w:ind w:left="20"/>
      <w:jc w:val="both"/>
    </w:pPr>
    <w:rPr>
      <w:rFonts w:ascii="Arial" w:hAnsi="Arial"/>
    </w:rPr>
  </w:style>
  <w:style w:type="character" w:customStyle="1" w:styleId="Retraitcorpsdetexte2Car">
    <w:name w:val="Retrait corps de texte 2 Car"/>
    <w:basedOn w:val="Policepardfaut"/>
    <w:link w:val="Retraitcorpsdetexte2"/>
    <w:uiPriority w:val="99"/>
    <w:rsid w:val="00EF76C4"/>
    <w:rPr>
      <w:rFonts w:ascii="Arial" w:eastAsia="Times New Roman" w:hAnsi="Arial"/>
      <w:sz w:val="28"/>
      <w:lang w:val="fr-CA" w:eastAsia="en-US"/>
    </w:rPr>
  </w:style>
  <w:style w:type="paragraph" w:styleId="Retraitcorpsdetexte3">
    <w:name w:val="Body Text Indent 3"/>
    <w:basedOn w:val="Normal"/>
    <w:link w:val="Retraitcorpsdetexte3Car"/>
    <w:rsid w:val="006614FD"/>
    <w:pPr>
      <w:ind w:left="20" w:firstLine="380"/>
      <w:jc w:val="both"/>
    </w:pPr>
    <w:rPr>
      <w:rFonts w:ascii="Arial" w:hAnsi="Arial"/>
    </w:rPr>
  </w:style>
  <w:style w:type="character" w:customStyle="1" w:styleId="Retraitcorpsdetexte3Car">
    <w:name w:val="Retrait corps de texte 3 Car"/>
    <w:basedOn w:val="Policepardfaut"/>
    <w:link w:val="Retraitcorpsdetexte3"/>
    <w:rsid w:val="00EF76C4"/>
    <w:rPr>
      <w:rFonts w:ascii="Arial" w:eastAsia="Times New Roman" w:hAnsi="Arial"/>
      <w:sz w:val="28"/>
      <w:lang w:val="fr-CA" w:eastAsia="en-US"/>
    </w:rPr>
  </w:style>
  <w:style w:type="paragraph" w:customStyle="1" w:styleId="texteenvidence">
    <w:name w:val="texte en évidence"/>
    <w:basedOn w:val="Normal"/>
    <w:rsid w:val="006614FD"/>
    <w:pPr>
      <w:widowControl w:val="0"/>
      <w:jc w:val="both"/>
    </w:pPr>
    <w:rPr>
      <w:rFonts w:ascii="Arial" w:hAnsi="Arial"/>
      <w:b/>
      <w:color w:val="FF0000"/>
    </w:rPr>
  </w:style>
  <w:style w:type="paragraph" w:styleId="Titre">
    <w:name w:val="Title"/>
    <w:basedOn w:val="Normal"/>
    <w:link w:val="TitreCar"/>
    <w:autoRedefine/>
    <w:qFormat/>
    <w:rsid w:val="006614FD"/>
    <w:pPr>
      <w:ind w:firstLine="0"/>
      <w:jc w:val="center"/>
    </w:pPr>
    <w:rPr>
      <w:b/>
      <w:sz w:val="48"/>
    </w:rPr>
  </w:style>
  <w:style w:type="character" w:customStyle="1" w:styleId="TitreCar">
    <w:name w:val="Titre Car"/>
    <w:basedOn w:val="Policepardfaut"/>
    <w:link w:val="Titre"/>
    <w:rsid w:val="00EF76C4"/>
    <w:rPr>
      <w:rFonts w:ascii="Times New Roman" w:eastAsia="Times New Roman" w:hAnsi="Times New Roman"/>
      <w:b/>
      <w:sz w:val="48"/>
      <w:lang w:val="fr-CA" w:eastAsia="en-US"/>
    </w:rPr>
  </w:style>
  <w:style w:type="paragraph" w:customStyle="1" w:styleId="livre">
    <w:name w:val="livre"/>
    <w:basedOn w:val="Normal"/>
    <w:rsid w:val="006614FD"/>
    <w:pPr>
      <w:tabs>
        <w:tab w:val="right" w:pos="9360"/>
      </w:tabs>
      <w:ind w:firstLine="0"/>
    </w:pPr>
    <w:rPr>
      <w:b/>
      <w:color w:val="000080"/>
      <w:sz w:val="144"/>
    </w:rPr>
  </w:style>
  <w:style w:type="paragraph" w:customStyle="1" w:styleId="livrest">
    <w:name w:val="livre_st"/>
    <w:basedOn w:val="Normal"/>
    <w:rsid w:val="006614FD"/>
    <w:pPr>
      <w:tabs>
        <w:tab w:val="right" w:pos="9360"/>
      </w:tabs>
      <w:ind w:firstLine="0"/>
    </w:pPr>
    <w:rPr>
      <w:b/>
      <w:color w:val="FF0000"/>
      <w:sz w:val="72"/>
    </w:rPr>
  </w:style>
  <w:style w:type="paragraph" w:customStyle="1" w:styleId="tableautitre">
    <w:name w:val="tableau_titre"/>
    <w:basedOn w:val="Normal"/>
    <w:rsid w:val="006614FD"/>
    <w:pPr>
      <w:ind w:firstLine="0"/>
      <w:jc w:val="center"/>
    </w:pPr>
    <w:rPr>
      <w:rFonts w:ascii="Times" w:hAnsi="Times"/>
      <w:b/>
    </w:rPr>
  </w:style>
  <w:style w:type="paragraph" w:customStyle="1" w:styleId="planche">
    <w:name w:val="planche"/>
    <w:basedOn w:val="tableautitre"/>
    <w:autoRedefine/>
    <w:rsid w:val="006614FD"/>
    <w:pPr>
      <w:widowControl w:val="0"/>
    </w:pPr>
    <w:rPr>
      <w:rFonts w:ascii="Times New Roman" w:hAnsi="Times New Roman"/>
      <w:b w:val="0"/>
      <w:color w:val="000080"/>
      <w:sz w:val="36"/>
    </w:rPr>
  </w:style>
  <w:style w:type="paragraph" w:customStyle="1" w:styleId="tableaust">
    <w:name w:val="tableau_st"/>
    <w:basedOn w:val="Normal"/>
    <w:autoRedefine/>
    <w:rsid w:val="006614FD"/>
    <w:pPr>
      <w:ind w:firstLine="0"/>
      <w:jc w:val="center"/>
    </w:pPr>
    <w:rPr>
      <w:i/>
      <w:color w:val="FF0000"/>
    </w:rPr>
  </w:style>
  <w:style w:type="paragraph" w:customStyle="1" w:styleId="planchest">
    <w:name w:val="planche_st"/>
    <w:basedOn w:val="tableaust"/>
    <w:autoRedefine/>
    <w:rsid w:val="002C7A64"/>
    <w:pPr>
      <w:spacing w:before="60"/>
    </w:pPr>
    <w:rPr>
      <w:i w:val="0"/>
      <w:sz w:val="48"/>
    </w:rPr>
  </w:style>
  <w:style w:type="paragraph" w:customStyle="1" w:styleId="section">
    <w:name w:val="section"/>
    <w:basedOn w:val="Normal"/>
    <w:rsid w:val="006614FD"/>
    <w:pPr>
      <w:ind w:firstLine="0"/>
      <w:jc w:val="center"/>
    </w:pPr>
    <w:rPr>
      <w:rFonts w:ascii="Times" w:hAnsi="Times"/>
      <w:b/>
      <w:sz w:val="48"/>
    </w:rPr>
  </w:style>
  <w:style w:type="paragraph" w:customStyle="1" w:styleId="suite">
    <w:name w:val="suite"/>
    <w:basedOn w:val="Normal"/>
    <w:autoRedefine/>
    <w:rsid w:val="006614FD"/>
    <w:pPr>
      <w:tabs>
        <w:tab w:val="right" w:pos="9360"/>
      </w:tabs>
      <w:ind w:firstLine="0"/>
      <w:jc w:val="center"/>
    </w:pPr>
    <w:rPr>
      <w:b/>
      <w:color w:val="008000"/>
    </w:rPr>
  </w:style>
  <w:style w:type="paragraph" w:customStyle="1" w:styleId="tdmchap">
    <w:name w:val="tdm_chap"/>
    <w:basedOn w:val="Normal"/>
    <w:rsid w:val="006614FD"/>
    <w:pPr>
      <w:tabs>
        <w:tab w:val="left" w:pos="1980"/>
      </w:tabs>
      <w:ind w:firstLine="0"/>
    </w:pPr>
    <w:rPr>
      <w:rFonts w:ascii="Times" w:hAnsi="Times"/>
      <w:b/>
    </w:rPr>
  </w:style>
  <w:style w:type="paragraph" w:customStyle="1" w:styleId="partie">
    <w:name w:val="partie"/>
    <w:basedOn w:val="Normal"/>
    <w:rsid w:val="006614FD"/>
    <w:pPr>
      <w:ind w:firstLine="0"/>
      <w:jc w:val="right"/>
    </w:pPr>
    <w:rPr>
      <w:b/>
      <w:sz w:val="120"/>
    </w:rPr>
  </w:style>
  <w:style w:type="paragraph" w:styleId="Normalcentr">
    <w:name w:val="Block Text"/>
    <w:basedOn w:val="Normal"/>
    <w:rsid w:val="006614FD"/>
    <w:pPr>
      <w:ind w:left="180" w:right="180"/>
      <w:jc w:val="both"/>
    </w:pPr>
  </w:style>
  <w:style w:type="paragraph" w:customStyle="1" w:styleId="Titlest">
    <w:name w:val="Title_st"/>
    <w:basedOn w:val="Titre"/>
    <w:autoRedefine/>
    <w:rsid w:val="00EF76C4"/>
    <w:rPr>
      <w:b w:val="0"/>
    </w:rPr>
  </w:style>
  <w:style w:type="paragraph" w:styleId="TableauGrille2">
    <w:name w:val="Grid Table 2"/>
    <w:basedOn w:val="Normal"/>
    <w:rsid w:val="006614FD"/>
    <w:pPr>
      <w:ind w:left="360" w:hanging="360"/>
    </w:pPr>
    <w:rPr>
      <w:sz w:val="20"/>
      <w:lang w:val="fr-FR"/>
    </w:rPr>
  </w:style>
  <w:style w:type="paragraph" w:styleId="Notedefin">
    <w:name w:val="endnote text"/>
    <w:basedOn w:val="Normal"/>
    <w:link w:val="NotedefinCar"/>
    <w:uiPriority w:val="99"/>
    <w:rsid w:val="006614FD"/>
    <w:pPr>
      <w:spacing w:before="240"/>
    </w:pPr>
    <w:rPr>
      <w:sz w:val="20"/>
      <w:lang w:val="fr-FR"/>
    </w:rPr>
  </w:style>
  <w:style w:type="character" w:customStyle="1" w:styleId="NotedefinCar">
    <w:name w:val="Note de fin Car"/>
    <w:basedOn w:val="Policepardfaut"/>
    <w:link w:val="Notedefin"/>
    <w:uiPriority w:val="99"/>
    <w:rsid w:val="00EF76C4"/>
    <w:rPr>
      <w:rFonts w:ascii="Times New Roman" w:eastAsia="Times New Roman" w:hAnsi="Times New Roman"/>
      <w:lang w:eastAsia="en-US"/>
    </w:rPr>
  </w:style>
  <w:style w:type="paragraph" w:customStyle="1" w:styleId="niveau14">
    <w:name w:val="niveau 1"/>
    <w:basedOn w:val="Normal"/>
    <w:rsid w:val="006614FD"/>
    <w:pPr>
      <w:spacing w:before="240"/>
      <w:ind w:firstLine="0"/>
    </w:pPr>
    <w:rPr>
      <w:rFonts w:ascii="B Times Bold" w:hAnsi="B Times Bold"/>
      <w:lang w:val="fr-FR"/>
    </w:rPr>
  </w:style>
  <w:style w:type="paragraph" w:customStyle="1" w:styleId="Titlest2">
    <w:name w:val="Title_st2"/>
    <w:basedOn w:val="Titlest"/>
    <w:rsid w:val="006614FD"/>
  </w:style>
  <w:style w:type="paragraph" w:customStyle="1" w:styleId="p">
    <w:name w:val="p"/>
    <w:basedOn w:val="Normal"/>
    <w:autoRedefine/>
    <w:rsid w:val="006614FD"/>
    <w:pPr>
      <w:ind w:firstLine="0"/>
    </w:pPr>
  </w:style>
  <w:style w:type="paragraph" w:customStyle="1" w:styleId="Normal0">
    <w:name w:val="Normal +"/>
    <w:basedOn w:val="Normal"/>
    <w:rsid w:val="006614FD"/>
    <w:pPr>
      <w:spacing w:before="120" w:after="120"/>
      <w:jc w:val="both"/>
    </w:pPr>
  </w:style>
  <w:style w:type="paragraph" w:customStyle="1" w:styleId="a">
    <w:name w:val="a"/>
    <w:basedOn w:val="Normal0"/>
    <w:autoRedefine/>
    <w:rsid w:val="00F36308"/>
    <w:pPr>
      <w:ind w:firstLine="0"/>
      <w:jc w:val="left"/>
    </w:pPr>
    <w:rPr>
      <w:b/>
      <w:i/>
      <w:iCs/>
      <w:color w:val="FF0000"/>
    </w:rPr>
  </w:style>
  <w:style w:type="paragraph" w:customStyle="1" w:styleId="Bodytext2">
    <w:name w:val="Body text (2)"/>
    <w:basedOn w:val="Normal"/>
    <w:rsid w:val="006614FD"/>
    <w:pPr>
      <w:widowControl w:val="0"/>
      <w:shd w:val="clear" w:color="auto" w:fill="FFFFFF"/>
      <w:spacing w:after="120" w:line="0" w:lineRule="atLeast"/>
      <w:ind w:hanging="8"/>
    </w:pPr>
    <w:rPr>
      <w:b/>
      <w:bCs/>
      <w:sz w:val="21"/>
      <w:szCs w:val="21"/>
      <w:lang w:val="fr-FR" w:eastAsia="fr-FR"/>
    </w:rPr>
  </w:style>
  <w:style w:type="paragraph" w:customStyle="1" w:styleId="Bodytext3">
    <w:name w:val="Body text (3)"/>
    <w:basedOn w:val="Normal"/>
    <w:rsid w:val="006614FD"/>
    <w:pPr>
      <w:widowControl w:val="0"/>
      <w:shd w:val="clear" w:color="auto" w:fill="FFFFFF"/>
      <w:spacing w:line="0" w:lineRule="atLeast"/>
      <w:ind w:firstLine="19"/>
    </w:pPr>
    <w:rPr>
      <w:sz w:val="26"/>
      <w:szCs w:val="26"/>
      <w:lang w:val="fr-FR" w:eastAsia="fr-FR"/>
    </w:rPr>
  </w:style>
  <w:style w:type="paragraph" w:customStyle="1" w:styleId="Bodytext4">
    <w:name w:val="Body text (4)"/>
    <w:basedOn w:val="Normal"/>
    <w:rsid w:val="006614FD"/>
    <w:pPr>
      <w:widowControl w:val="0"/>
      <w:shd w:val="clear" w:color="auto" w:fill="FFFFFF"/>
      <w:spacing w:line="0" w:lineRule="atLeast"/>
      <w:ind w:firstLine="36"/>
    </w:pPr>
    <w:rPr>
      <w:sz w:val="22"/>
      <w:szCs w:val="22"/>
      <w:lang w:val="fr-FR" w:eastAsia="fr-FR"/>
    </w:rPr>
  </w:style>
  <w:style w:type="paragraph" w:customStyle="1" w:styleId="c">
    <w:name w:val="c"/>
    <w:basedOn w:val="Normal0"/>
    <w:rsid w:val="006614FD"/>
    <w:pPr>
      <w:keepLines/>
      <w:ind w:firstLine="0"/>
      <w:jc w:val="center"/>
    </w:pPr>
    <w:rPr>
      <w:color w:val="FF0000"/>
    </w:rPr>
  </w:style>
  <w:style w:type="paragraph" w:customStyle="1" w:styleId="Citation0">
    <w:name w:val="Citation 0"/>
    <w:basedOn w:val="Normal"/>
    <w:autoRedefine/>
    <w:rsid w:val="00B956E6"/>
    <w:pPr>
      <w:spacing w:before="120" w:after="120"/>
      <w:ind w:left="720" w:firstLine="0"/>
      <w:jc w:val="both"/>
    </w:pPr>
    <w:rPr>
      <w:color w:val="000080"/>
      <w:sz w:val="24"/>
    </w:rPr>
  </w:style>
  <w:style w:type="paragraph" w:customStyle="1" w:styleId="fig">
    <w:name w:val="fig"/>
    <w:basedOn w:val="Normal0"/>
    <w:autoRedefine/>
    <w:rsid w:val="006614FD"/>
    <w:pPr>
      <w:ind w:firstLine="0"/>
      <w:jc w:val="center"/>
    </w:pPr>
  </w:style>
  <w:style w:type="paragraph" w:customStyle="1" w:styleId="figtexte">
    <w:name w:val="fig texte"/>
    <w:basedOn w:val="Normal0"/>
    <w:autoRedefine/>
    <w:rsid w:val="006614FD"/>
    <w:rPr>
      <w:color w:val="000090"/>
      <w:sz w:val="24"/>
    </w:rPr>
  </w:style>
  <w:style w:type="paragraph" w:customStyle="1" w:styleId="figtextec">
    <w:name w:val="fig texte c"/>
    <w:basedOn w:val="figtexte"/>
    <w:autoRedefine/>
    <w:rsid w:val="006614FD"/>
    <w:pPr>
      <w:ind w:firstLine="0"/>
      <w:jc w:val="center"/>
    </w:pPr>
  </w:style>
  <w:style w:type="table" w:styleId="Grilledutableau">
    <w:name w:val="Table Grid"/>
    <w:basedOn w:val="TableauNormal"/>
    <w:uiPriority w:val="59"/>
    <w:rsid w:val="006614F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
    <w:name w:val="Heading #1"/>
    <w:basedOn w:val="Normal"/>
    <w:rsid w:val="006614FD"/>
    <w:pPr>
      <w:widowControl w:val="0"/>
      <w:shd w:val="clear" w:color="auto" w:fill="FFFFFF"/>
      <w:spacing w:after="360" w:line="0" w:lineRule="atLeast"/>
      <w:ind w:firstLine="0"/>
      <w:jc w:val="center"/>
      <w:outlineLvl w:val="0"/>
    </w:pPr>
    <w:rPr>
      <w:b/>
      <w:bCs/>
      <w:szCs w:val="28"/>
      <w:lang w:val="fr-FR" w:eastAsia="fr-FR"/>
    </w:rPr>
  </w:style>
  <w:style w:type="character" w:customStyle="1" w:styleId="Marquenotebasde">
    <w:name w:val="Marque note bas de"/>
    <w:basedOn w:val="Policepardfaut"/>
    <w:uiPriority w:val="99"/>
    <w:semiHidden/>
    <w:rsid w:val="006614FD"/>
    <w:rPr>
      <w:rFonts w:cs="Times New Roman"/>
      <w:vertAlign w:val="superscript"/>
    </w:rPr>
  </w:style>
  <w:style w:type="character" w:customStyle="1" w:styleId="Marquenotebasde1">
    <w:name w:val="Marque note bas de1"/>
    <w:basedOn w:val="Policepardfaut"/>
    <w:uiPriority w:val="99"/>
    <w:semiHidden/>
    <w:rsid w:val="006614FD"/>
    <w:rPr>
      <w:rFonts w:cs="Times New Roman"/>
      <w:vertAlign w:val="superscript"/>
    </w:rPr>
  </w:style>
  <w:style w:type="character" w:customStyle="1" w:styleId="Marquenotebasde2">
    <w:name w:val="Marque note bas de2"/>
    <w:basedOn w:val="Policepardfaut"/>
    <w:uiPriority w:val="99"/>
    <w:semiHidden/>
    <w:rsid w:val="006614FD"/>
    <w:rPr>
      <w:rFonts w:cs="Times New Roman"/>
      <w:vertAlign w:val="superscript"/>
    </w:rPr>
  </w:style>
  <w:style w:type="character" w:customStyle="1" w:styleId="Marquenotebasde3">
    <w:name w:val="Marque note bas de3"/>
    <w:basedOn w:val="Policepardfaut"/>
    <w:uiPriority w:val="99"/>
    <w:semiHidden/>
    <w:rsid w:val="006614FD"/>
    <w:rPr>
      <w:rFonts w:cs="Times New Roman"/>
      <w:vertAlign w:val="superscript"/>
    </w:rPr>
  </w:style>
  <w:style w:type="character" w:customStyle="1" w:styleId="Marquenotebasde4">
    <w:name w:val="Marque note bas de4"/>
    <w:basedOn w:val="Policepardfaut"/>
    <w:uiPriority w:val="99"/>
    <w:semiHidden/>
    <w:rsid w:val="006614FD"/>
    <w:rPr>
      <w:rFonts w:cs="Times New Roman"/>
      <w:vertAlign w:val="superscript"/>
    </w:rPr>
  </w:style>
  <w:style w:type="character" w:customStyle="1" w:styleId="Marquenotebasde5">
    <w:name w:val="Marque note bas de5"/>
    <w:basedOn w:val="Policepardfaut"/>
    <w:uiPriority w:val="99"/>
    <w:semiHidden/>
    <w:rsid w:val="006614FD"/>
    <w:rPr>
      <w:rFonts w:cs="Times New Roman"/>
      <w:vertAlign w:val="superscript"/>
    </w:rPr>
  </w:style>
  <w:style w:type="character" w:customStyle="1" w:styleId="Marquenotebasde6">
    <w:name w:val="Marque note bas de6"/>
    <w:basedOn w:val="Policepardfaut"/>
    <w:uiPriority w:val="99"/>
    <w:semiHidden/>
    <w:rsid w:val="006614FD"/>
    <w:rPr>
      <w:rFonts w:cs="Times New Roman"/>
      <w:vertAlign w:val="superscript"/>
    </w:rPr>
  </w:style>
  <w:style w:type="character" w:customStyle="1" w:styleId="Marquenotebasde7">
    <w:name w:val="Marque note bas de7"/>
    <w:basedOn w:val="Policepardfaut"/>
    <w:uiPriority w:val="99"/>
    <w:semiHidden/>
    <w:rsid w:val="006614FD"/>
    <w:rPr>
      <w:rFonts w:cs="Times New Roman"/>
      <w:vertAlign w:val="superscript"/>
    </w:rPr>
  </w:style>
  <w:style w:type="character" w:customStyle="1" w:styleId="Marquenotebasde8">
    <w:name w:val="Marque note bas de8"/>
    <w:basedOn w:val="Policepardfaut"/>
    <w:uiPriority w:val="99"/>
    <w:semiHidden/>
    <w:rsid w:val="006614FD"/>
    <w:rPr>
      <w:rFonts w:cs="Times New Roman"/>
      <w:vertAlign w:val="superscript"/>
    </w:rPr>
  </w:style>
  <w:style w:type="paragraph" w:customStyle="1" w:styleId="Notedebasd">
    <w:name w:val="Note de bas d"/>
    <w:basedOn w:val="Normal"/>
    <w:uiPriority w:val="99"/>
    <w:semiHidden/>
    <w:rsid w:val="006614FD"/>
    <w:pPr>
      <w:ind w:firstLine="0"/>
    </w:pPr>
    <w:rPr>
      <w:rFonts w:ascii="Times" w:hAnsi="Times" w:cs="Times"/>
      <w:sz w:val="24"/>
      <w:szCs w:val="24"/>
      <w:lang w:val="en-US" w:eastAsia="fr-FR"/>
    </w:rPr>
  </w:style>
  <w:style w:type="paragraph" w:customStyle="1" w:styleId="Notedebasd1">
    <w:name w:val="Note de bas d1"/>
    <w:basedOn w:val="Normal"/>
    <w:uiPriority w:val="99"/>
    <w:semiHidden/>
    <w:rsid w:val="006614FD"/>
    <w:pPr>
      <w:ind w:firstLine="0"/>
    </w:pPr>
    <w:rPr>
      <w:rFonts w:ascii="Times" w:hAnsi="Times" w:cs="Times"/>
      <w:sz w:val="24"/>
      <w:szCs w:val="24"/>
      <w:lang w:val="en-US" w:eastAsia="fr-FR"/>
    </w:rPr>
  </w:style>
  <w:style w:type="paragraph" w:customStyle="1" w:styleId="Notedebasd2">
    <w:name w:val="Note de bas d2"/>
    <w:basedOn w:val="Normal"/>
    <w:uiPriority w:val="99"/>
    <w:semiHidden/>
    <w:rsid w:val="006614FD"/>
    <w:pPr>
      <w:ind w:firstLine="0"/>
    </w:pPr>
    <w:rPr>
      <w:rFonts w:ascii="Times" w:hAnsi="Times" w:cs="Times"/>
      <w:sz w:val="24"/>
      <w:szCs w:val="24"/>
      <w:lang w:val="en-US" w:eastAsia="fr-FR"/>
    </w:rPr>
  </w:style>
  <w:style w:type="paragraph" w:customStyle="1" w:styleId="Notedebasd3">
    <w:name w:val="Note de bas d3"/>
    <w:basedOn w:val="Normal"/>
    <w:uiPriority w:val="99"/>
    <w:semiHidden/>
    <w:rsid w:val="006614FD"/>
    <w:pPr>
      <w:ind w:firstLine="0"/>
    </w:pPr>
    <w:rPr>
      <w:rFonts w:ascii="Times" w:hAnsi="Times" w:cs="Times"/>
      <w:sz w:val="24"/>
      <w:szCs w:val="24"/>
      <w:lang w:val="en-US" w:eastAsia="fr-FR"/>
    </w:rPr>
  </w:style>
  <w:style w:type="paragraph" w:customStyle="1" w:styleId="Notedebasd4">
    <w:name w:val="Note de bas d4"/>
    <w:basedOn w:val="Normal"/>
    <w:uiPriority w:val="99"/>
    <w:semiHidden/>
    <w:rsid w:val="006614FD"/>
    <w:pPr>
      <w:ind w:firstLine="0"/>
    </w:pPr>
    <w:rPr>
      <w:rFonts w:ascii="Times" w:hAnsi="Times" w:cs="Times"/>
      <w:sz w:val="24"/>
      <w:szCs w:val="24"/>
      <w:lang w:val="en-US" w:eastAsia="fr-FR"/>
    </w:rPr>
  </w:style>
  <w:style w:type="paragraph" w:customStyle="1" w:styleId="Notedebasd5">
    <w:name w:val="Note de bas d5"/>
    <w:basedOn w:val="Normal"/>
    <w:uiPriority w:val="99"/>
    <w:semiHidden/>
    <w:rsid w:val="006614FD"/>
    <w:pPr>
      <w:ind w:firstLine="0"/>
    </w:pPr>
    <w:rPr>
      <w:rFonts w:ascii="Times" w:hAnsi="Times" w:cs="Times"/>
      <w:sz w:val="24"/>
      <w:szCs w:val="24"/>
      <w:lang w:val="en-US" w:eastAsia="fr-FR"/>
    </w:rPr>
  </w:style>
  <w:style w:type="paragraph" w:customStyle="1" w:styleId="Notedebasd6">
    <w:name w:val="Note de bas d6"/>
    <w:basedOn w:val="Normal"/>
    <w:uiPriority w:val="99"/>
    <w:semiHidden/>
    <w:rsid w:val="006614FD"/>
    <w:pPr>
      <w:ind w:firstLine="0"/>
    </w:pPr>
    <w:rPr>
      <w:rFonts w:ascii="Times" w:hAnsi="Times" w:cs="Times"/>
      <w:sz w:val="24"/>
      <w:szCs w:val="24"/>
      <w:lang w:val="en-US" w:eastAsia="fr-FR"/>
    </w:rPr>
  </w:style>
  <w:style w:type="paragraph" w:customStyle="1" w:styleId="Notedebasd7">
    <w:name w:val="Note de bas d7"/>
    <w:basedOn w:val="Normal"/>
    <w:uiPriority w:val="99"/>
    <w:semiHidden/>
    <w:rsid w:val="006614FD"/>
    <w:pPr>
      <w:ind w:firstLine="0"/>
    </w:pPr>
    <w:rPr>
      <w:rFonts w:ascii="Times" w:hAnsi="Times" w:cs="Times"/>
      <w:sz w:val="24"/>
      <w:szCs w:val="24"/>
      <w:lang w:val="en-US" w:eastAsia="fr-FR"/>
    </w:rPr>
  </w:style>
  <w:style w:type="paragraph" w:customStyle="1" w:styleId="Notedebasd8">
    <w:name w:val="Note de bas d8"/>
    <w:basedOn w:val="Normal"/>
    <w:uiPriority w:val="99"/>
    <w:semiHidden/>
    <w:rsid w:val="006614FD"/>
    <w:pPr>
      <w:ind w:firstLine="0"/>
    </w:pPr>
    <w:rPr>
      <w:rFonts w:ascii="Times" w:hAnsi="Times" w:cs="Times"/>
      <w:sz w:val="24"/>
      <w:szCs w:val="24"/>
      <w:lang w:val="en-US" w:eastAsia="fr-FR"/>
    </w:rPr>
  </w:style>
  <w:style w:type="paragraph" w:customStyle="1" w:styleId="Tableofcontents">
    <w:name w:val="Table of contents"/>
    <w:basedOn w:val="Normal"/>
    <w:rsid w:val="006614FD"/>
    <w:pPr>
      <w:widowControl w:val="0"/>
      <w:shd w:val="clear" w:color="auto" w:fill="FFFFFF"/>
      <w:spacing w:before="360" w:line="360" w:lineRule="exact"/>
      <w:ind w:hanging="6"/>
      <w:jc w:val="both"/>
    </w:pPr>
    <w:rPr>
      <w:sz w:val="21"/>
      <w:szCs w:val="21"/>
      <w:lang w:val="fr-FR" w:eastAsia="fr-FR"/>
    </w:rPr>
  </w:style>
  <w:style w:type="paragraph" w:customStyle="1" w:styleId="Tableofcontents2">
    <w:name w:val="Table of contents (2)"/>
    <w:basedOn w:val="Normal"/>
    <w:rsid w:val="006614FD"/>
    <w:pPr>
      <w:widowControl w:val="0"/>
      <w:shd w:val="clear" w:color="auto" w:fill="FFFFFF"/>
      <w:spacing w:before="120" w:after="120" w:line="0" w:lineRule="atLeast"/>
      <w:ind w:firstLine="0"/>
      <w:jc w:val="center"/>
    </w:pPr>
    <w:rPr>
      <w:b/>
      <w:bCs/>
      <w:sz w:val="21"/>
      <w:szCs w:val="21"/>
      <w:lang w:val="fr-FR" w:eastAsia="fr-FR"/>
    </w:rPr>
  </w:style>
  <w:style w:type="paragraph" w:customStyle="1" w:styleId="Tableofcontents3">
    <w:name w:val="Table of contents (3)"/>
    <w:basedOn w:val="Normal"/>
    <w:rsid w:val="006614FD"/>
    <w:pPr>
      <w:widowControl w:val="0"/>
      <w:shd w:val="clear" w:color="auto" w:fill="FFFFFF"/>
      <w:spacing w:line="240" w:lineRule="exact"/>
      <w:ind w:hanging="5"/>
      <w:jc w:val="both"/>
    </w:pPr>
    <w:rPr>
      <w:sz w:val="22"/>
      <w:szCs w:val="22"/>
      <w:lang w:val="fr-FR" w:eastAsia="fr-FR"/>
    </w:rPr>
  </w:style>
  <w:style w:type="character" w:customStyle="1" w:styleId="TableofcontentsItalic">
    <w:name w:val="Table of contents + Italic"/>
    <w:basedOn w:val="Policepardfaut"/>
    <w:rsid w:val="006614FD"/>
    <w:rPr>
      <w:rFonts w:ascii="Times New Roman" w:eastAsia="Times New Roman" w:hAnsi="Times New Roman"/>
      <w:i/>
      <w:iCs/>
      <w:color w:val="000000"/>
      <w:spacing w:val="0"/>
      <w:w w:val="100"/>
      <w:position w:val="0"/>
      <w:sz w:val="21"/>
      <w:szCs w:val="21"/>
      <w:shd w:val="clear" w:color="auto" w:fill="FFFFFF"/>
      <w:lang w:val="uz-Cyrl-UZ"/>
    </w:rPr>
  </w:style>
  <w:style w:type="paragraph" w:styleId="NormalWeb">
    <w:name w:val="Normal (Web)"/>
    <w:basedOn w:val="Normal"/>
    <w:uiPriority w:val="99"/>
    <w:rsid w:val="00766D2C"/>
    <w:pPr>
      <w:spacing w:beforeLines="1" w:afterLines="1"/>
      <w:ind w:firstLine="0"/>
    </w:pPr>
    <w:rPr>
      <w:rFonts w:ascii="Times" w:eastAsia="Times" w:hAnsi="Times"/>
      <w:sz w:val="20"/>
      <w:lang w:val="fr-FR" w:eastAsia="fr-FR"/>
    </w:rPr>
  </w:style>
  <w:style w:type="character" w:styleId="lev">
    <w:name w:val="Strong"/>
    <w:basedOn w:val="Policepardfaut"/>
    <w:uiPriority w:val="22"/>
    <w:qFormat/>
    <w:rsid w:val="00801ED7"/>
    <w:rPr>
      <w:b/>
    </w:rPr>
  </w:style>
  <w:style w:type="character" w:customStyle="1" w:styleId="contact-emailto">
    <w:name w:val="contact-emailto"/>
    <w:basedOn w:val="Policepardfaut"/>
    <w:rsid w:val="00EF76C4"/>
  </w:style>
  <w:style w:type="paragraph" w:customStyle="1" w:styleId="Titlesti">
    <w:name w:val="Title_st i"/>
    <w:basedOn w:val="Titlest"/>
    <w:rsid w:val="00EF76C4"/>
    <w:pPr>
      <w:widowControl w:val="0"/>
      <w:suppressAutoHyphens/>
    </w:pPr>
    <w:rPr>
      <w:rFonts w:eastAsia="Arial Unicode MS" w:cs="Arial Unicode MS"/>
      <w:i/>
      <w:kern w:val="1"/>
      <w:sz w:val="72"/>
      <w:szCs w:val="24"/>
      <w:lang w:eastAsia="hi-IN" w:bidi="hi-IN"/>
    </w:rPr>
  </w:style>
  <w:style w:type="character" w:customStyle="1" w:styleId="Caractresdenotedebasdepage">
    <w:name w:val="Caractères de note de bas de page"/>
    <w:rsid w:val="00EF76C4"/>
    <w:rPr>
      <w:vertAlign w:val="superscript"/>
    </w:rPr>
  </w:style>
  <w:style w:type="character" w:customStyle="1" w:styleId="A5">
    <w:name w:val="A5"/>
    <w:uiPriority w:val="99"/>
    <w:rsid w:val="00EF76C4"/>
    <w:rPr>
      <w:rFonts w:cs="Garamond Book"/>
      <w:color w:val="000000"/>
      <w:sz w:val="11"/>
      <w:szCs w:val="11"/>
    </w:rPr>
  </w:style>
  <w:style w:type="character" w:customStyle="1" w:styleId="googqs-tidbit">
    <w:name w:val="goog_qs-tidbit"/>
    <w:basedOn w:val="Policepardfaut"/>
    <w:rsid w:val="00EF76C4"/>
  </w:style>
  <w:style w:type="character" w:customStyle="1" w:styleId="corps">
    <w:name w:val="corps"/>
    <w:basedOn w:val="Policepardfaut"/>
    <w:rsid w:val="00EF76C4"/>
  </w:style>
  <w:style w:type="character" w:styleId="Accentuation">
    <w:name w:val="Emphasis"/>
    <w:uiPriority w:val="20"/>
    <w:qFormat/>
    <w:rsid w:val="00EF76C4"/>
    <w:rPr>
      <w:i/>
      <w:iCs/>
    </w:rPr>
  </w:style>
  <w:style w:type="character" w:customStyle="1" w:styleId="apple-style-span">
    <w:name w:val="apple-style-span"/>
    <w:basedOn w:val="Policepardfaut"/>
    <w:rsid w:val="00EF76C4"/>
  </w:style>
  <w:style w:type="character" w:customStyle="1" w:styleId="apple-converted-space">
    <w:name w:val="apple-converted-space"/>
    <w:basedOn w:val="Policepardfaut"/>
    <w:rsid w:val="00EF76C4"/>
  </w:style>
  <w:style w:type="paragraph" w:customStyle="1" w:styleId="Sansinterligne1">
    <w:name w:val="Sans interligne1"/>
    <w:uiPriority w:val="1"/>
    <w:qFormat/>
    <w:rsid w:val="00EF76C4"/>
    <w:rPr>
      <w:rFonts w:ascii="Times New Roman" w:eastAsia="Times New Roman" w:hAnsi="Times New Roman"/>
      <w:sz w:val="24"/>
      <w:szCs w:val="24"/>
      <w:lang w:val="fr-FR" w:eastAsia="en-US"/>
    </w:rPr>
  </w:style>
  <w:style w:type="paragraph" w:customStyle="1" w:styleId="Default">
    <w:name w:val="Default"/>
    <w:rsid w:val="00EF76C4"/>
    <w:pPr>
      <w:autoSpaceDE w:val="0"/>
      <w:autoSpaceDN w:val="0"/>
      <w:adjustRightInd w:val="0"/>
    </w:pPr>
    <w:rPr>
      <w:rFonts w:ascii="Garamond Book" w:eastAsia="Calibri" w:hAnsi="Garamond Book" w:cs="Garamond Book"/>
      <w:color w:val="000000"/>
      <w:sz w:val="24"/>
      <w:szCs w:val="24"/>
      <w:lang w:val="en-US" w:eastAsia="en-US"/>
    </w:rPr>
  </w:style>
  <w:style w:type="paragraph" w:customStyle="1" w:styleId="Sansinterligne2">
    <w:name w:val="Sans interligne2"/>
    <w:uiPriority w:val="1"/>
    <w:qFormat/>
    <w:rsid w:val="00EF76C4"/>
    <w:rPr>
      <w:rFonts w:ascii="Times New Roman" w:eastAsia="Times New Roman" w:hAnsi="Times New Roman"/>
      <w:sz w:val="24"/>
      <w:szCs w:val="24"/>
      <w:lang w:val="fr-FR" w:eastAsia="en-US"/>
    </w:rPr>
  </w:style>
  <w:style w:type="character" w:customStyle="1" w:styleId="googqs-tidbit-0">
    <w:name w:val="goog_qs-tidbit-0"/>
    <w:basedOn w:val="Policepardfaut"/>
    <w:rsid w:val="00EF76C4"/>
  </w:style>
  <w:style w:type="paragraph" w:customStyle="1" w:styleId="Pa5">
    <w:name w:val="Pa5"/>
    <w:basedOn w:val="Default"/>
    <w:next w:val="Default"/>
    <w:uiPriority w:val="99"/>
    <w:rsid w:val="00EF76C4"/>
    <w:pPr>
      <w:spacing w:line="161" w:lineRule="atLeast"/>
    </w:pPr>
    <w:rPr>
      <w:rFonts w:cs="Times New Roman"/>
      <w:color w:val="auto"/>
    </w:rPr>
  </w:style>
  <w:style w:type="character" w:customStyle="1" w:styleId="A6">
    <w:name w:val="A6"/>
    <w:uiPriority w:val="99"/>
    <w:rsid w:val="00EF76C4"/>
    <w:rPr>
      <w:rFonts w:cs="Garamond"/>
      <w:color w:val="000000"/>
      <w:sz w:val="17"/>
      <w:szCs w:val="17"/>
    </w:rPr>
  </w:style>
  <w:style w:type="paragraph" w:customStyle="1" w:styleId="Sansinterligne3">
    <w:name w:val="Sans interligne3"/>
    <w:uiPriority w:val="1"/>
    <w:qFormat/>
    <w:rsid w:val="00EF76C4"/>
    <w:pPr>
      <w:widowControl w:val="0"/>
      <w:suppressAutoHyphens/>
    </w:pPr>
    <w:rPr>
      <w:rFonts w:ascii="Times New Roman" w:eastAsia="Arial Unicode MS" w:hAnsi="Times New Roman" w:cs="Mangal"/>
      <w:kern w:val="1"/>
      <w:sz w:val="24"/>
      <w:szCs w:val="21"/>
      <w:lang w:eastAsia="hi-IN" w:bidi="hi-IN"/>
    </w:rPr>
  </w:style>
  <w:style w:type="character" w:customStyle="1" w:styleId="TextedebullesCar">
    <w:name w:val="Texte de bulles Car"/>
    <w:link w:val="Textedebulles"/>
    <w:uiPriority w:val="99"/>
    <w:semiHidden/>
    <w:rsid w:val="00EF76C4"/>
    <w:rPr>
      <w:rFonts w:ascii="Tahoma" w:eastAsia="Arial Unicode MS" w:hAnsi="Tahoma" w:cs="Mangal"/>
      <w:kern w:val="1"/>
      <w:sz w:val="16"/>
      <w:szCs w:val="14"/>
      <w:lang w:eastAsia="hi-IN" w:bidi="hi-IN"/>
    </w:rPr>
  </w:style>
  <w:style w:type="paragraph" w:styleId="Textedebulles">
    <w:name w:val="Balloon Text"/>
    <w:basedOn w:val="Normal"/>
    <w:link w:val="TextedebullesCar"/>
    <w:uiPriority w:val="99"/>
    <w:semiHidden/>
    <w:unhideWhenUsed/>
    <w:rsid w:val="00EF76C4"/>
    <w:pPr>
      <w:widowControl w:val="0"/>
      <w:suppressAutoHyphens/>
      <w:ind w:firstLine="0"/>
    </w:pPr>
    <w:rPr>
      <w:rFonts w:ascii="Tahoma" w:eastAsia="Arial Unicode MS" w:hAnsi="Tahoma" w:cs="Mangal"/>
      <w:kern w:val="1"/>
      <w:sz w:val="16"/>
      <w:szCs w:val="14"/>
      <w:lang w:val="x-none" w:eastAsia="hi-IN" w:bidi="hi-IN"/>
    </w:rPr>
  </w:style>
  <w:style w:type="character" w:customStyle="1" w:styleId="TextedebullesCar1">
    <w:name w:val="Texte de bulles Car1"/>
    <w:basedOn w:val="Policepardfaut"/>
    <w:link w:val="Textedebulles"/>
    <w:uiPriority w:val="99"/>
    <w:semiHidden/>
    <w:rsid w:val="00EF76C4"/>
    <w:rPr>
      <w:rFonts w:ascii="Lucida Grande" w:eastAsia="Times New Roman" w:hAnsi="Lucida Grande"/>
      <w:sz w:val="18"/>
      <w:szCs w:val="18"/>
      <w:lang w:val="fr-CA" w:eastAsia="en-US"/>
    </w:rPr>
  </w:style>
  <w:style w:type="character" w:customStyle="1" w:styleId="soustitre">
    <w:name w:val="soustitre"/>
    <w:basedOn w:val="Policepardfaut"/>
    <w:rsid w:val="00EF76C4"/>
  </w:style>
  <w:style w:type="character" w:customStyle="1" w:styleId="titlelegend">
    <w:name w:val="titlelegend"/>
    <w:basedOn w:val="Policepardfaut"/>
    <w:rsid w:val="00EF76C4"/>
  </w:style>
  <w:style w:type="character" w:customStyle="1" w:styleId="affiliation">
    <w:name w:val="affiliation"/>
    <w:basedOn w:val="Policepardfaut"/>
    <w:rsid w:val="00EF76C4"/>
  </w:style>
  <w:style w:type="paragraph" w:customStyle="1" w:styleId="free">
    <w:name w:val="free"/>
    <w:basedOn w:val="Normal"/>
    <w:rsid w:val="00EF76C4"/>
    <w:pPr>
      <w:spacing w:before="100" w:beforeAutospacing="1" w:after="100" w:afterAutospacing="1"/>
      <w:ind w:firstLine="0"/>
    </w:pPr>
    <w:rPr>
      <w:sz w:val="24"/>
      <w:szCs w:val="24"/>
      <w:lang w:val="en-CA" w:eastAsia="en-CA"/>
    </w:rPr>
  </w:style>
  <w:style w:type="character" w:customStyle="1" w:styleId="keyword">
    <w:name w:val="keyword"/>
    <w:basedOn w:val="Policepardfaut"/>
    <w:rsid w:val="00EF76C4"/>
  </w:style>
  <w:style w:type="character" w:customStyle="1" w:styleId="familyname">
    <w:name w:val="familyname"/>
    <w:basedOn w:val="Policepardfaut"/>
    <w:rsid w:val="00EF76C4"/>
  </w:style>
  <w:style w:type="paragraph" w:styleId="Commentaire">
    <w:name w:val="annotation text"/>
    <w:basedOn w:val="Normal"/>
    <w:link w:val="CommentaireCar"/>
    <w:uiPriority w:val="99"/>
    <w:unhideWhenUsed/>
    <w:rsid w:val="00EF76C4"/>
    <w:pPr>
      <w:widowControl w:val="0"/>
      <w:suppressAutoHyphens/>
      <w:ind w:firstLine="0"/>
    </w:pPr>
    <w:rPr>
      <w:rFonts w:eastAsia="Arial Unicode MS" w:cs="Mangal"/>
      <w:kern w:val="1"/>
      <w:sz w:val="20"/>
      <w:szCs w:val="18"/>
      <w:lang w:eastAsia="hi-IN" w:bidi="hi-IN"/>
    </w:rPr>
  </w:style>
  <w:style w:type="character" w:customStyle="1" w:styleId="CommentaireCar">
    <w:name w:val="Commentaire Car"/>
    <w:basedOn w:val="Policepardfaut"/>
    <w:link w:val="Commentaire"/>
    <w:uiPriority w:val="99"/>
    <w:rsid w:val="00EF76C4"/>
    <w:rPr>
      <w:rFonts w:ascii="Times New Roman" w:eastAsia="Arial Unicode MS" w:hAnsi="Times New Roman" w:cs="Mangal"/>
      <w:kern w:val="1"/>
      <w:szCs w:val="18"/>
      <w:lang w:val="fr-CA" w:eastAsia="hi-IN" w:bidi="hi-IN"/>
    </w:rPr>
  </w:style>
  <w:style w:type="paragraph" w:customStyle="1" w:styleId="Paragraphedeliste3">
    <w:name w:val="Paragraphe de liste3"/>
    <w:basedOn w:val="Normal"/>
    <w:rsid w:val="00EF76C4"/>
    <w:pPr>
      <w:spacing w:after="200" w:line="276" w:lineRule="auto"/>
      <w:ind w:left="720" w:firstLine="0"/>
    </w:pPr>
    <w:rPr>
      <w:rFonts w:ascii="Calibri" w:hAnsi="Calibri" w:cs="Arial"/>
      <w:kern w:val="1"/>
      <w:sz w:val="22"/>
      <w:szCs w:val="22"/>
      <w:lang w:val="fr-FR" w:eastAsia="ar-SA"/>
    </w:rPr>
  </w:style>
  <w:style w:type="character" w:customStyle="1" w:styleId="mw-headline">
    <w:name w:val="mw-headline"/>
    <w:basedOn w:val="Policepardfaut"/>
    <w:rsid w:val="00EF76C4"/>
  </w:style>
  <w:style w:type="character" w:customStyle="1" w:styleId="editsection">
    <w:name w:val="editsection"/>
    <w:basedOn w:val="Policepardfaut"/>
    <w:rsid w:val="00EF76C4"/>
  </w:style>
  <w:style w:type="paragraph" w:customStyle="1" w:styleId="texte">
    <w:name w:val="texte"/>
    <w:basedOn w:val="Normal"/>
    <w:rsid w:val="00EF76C4"/>
    <w:pPr>
      <w:spacing w:before="100" w:beforeAutospacing="1" w:after="100" w:afterAutospacing="1"/>
      <w:ind w:firstLine="0"/>
    </w:pPr>
    <w:rPr>
      <w:sz w:val="24"/>
      <w:szCs w:val="24"/>
      <w:lang w:val="en-CA" w:eastAsia="en-CA"/>
    </w:rPr>
  </w:style>
  <w:style w:type="character" w:customStyle="1" w:styleId="paranumber">
    <w:name w:val="paranumber"/>
    <w:basedOn w:val="Policepardfaut"/>
    <w:rsid w:val="00EF76C4"/>
  </w:style>
  <w:style w:type="character" w:customStyle="1" w:styleId="text">
    <w:name w:val="text"/>
    <w:basedOn w:val="Policepardfaut"/>
    <w:rsid w:val="00EF76C4"/>
  </w:style>
  <w:style w:type="character" w:customStyle="1" w:styleId="title">
    <w:name w:val="title"/>
    <w:basedOn w:val="Policepardfaut"/>
    <w:rsid w:val="00EF76C4"/>
  </w:style>
  <w:style w:type="character" w:customStyle="1" w:styleId="num">
    <w:name w:val="num"/>
    <w:basedOn w:val="Policepardfaut"/>
    <w:rsid w:val="00EF76C4"/>
  </w:style>
  <w:style w:type="paragraph" w:customStyle="1" w:styleId="notebaspage">
    <w:name w:val="notebaspage"/>
    <w:basedOn w:val="Normal"/>
    <w:rsid w:val="00EF76C4"/>
    <w:pPr>
      <w:spacing w:before="100" w:beforeAutospacing="1" w:after="100" w:afterAutospacing="1"/>
      <w:ind w:firstLine="0"/>
    </w:pPr>
    <w:rPr>
      <w:sz w:val="24"/>
      <w:szCs w:val="24"/>
      <w:lang w:val="en-CA" w:eastAsia="en-CA"/>
    </w:rPr>
  </w:style>
  <w:style w:type="paragraph" w:customStyle="1" w:styleId="v9nnjustify">
    <w:name w:val="v9nnjustify"/>
    <w:basedOn w:val="Normal"/>
    <w:rsid w:val="00EF76C4"/>
    <w:pPr>
      <w:spacing w:before="100" w:beforeAutospacing="1" w:after="100" w:afterAutospacing="1"/>
      <w:ind w:firstLine="0"/>
    </w:pPr>
    <w:rPr>
      <w:sz w:val="24"/>
      <w:szCs w:val="24"/>
      <w:lang w:val="en-CA" w:eastAsia="en-CA"/>
    </w:rPr>
  </w:style>
  <w:style w:type="paragraph" w:customStyle="1" w:styleId="v8nn">
    <w:name w:val="v8nn"/>
    <w:basedOn w:val="Normal"/>
    <w:rsid w:val="00EF76C4"/>
    <w:pPr>
      <w:spacing w:before="100" w:beforeAutospacing="1" w:after="100" w:afterAutospacing="1"/>
      <w:ind w:firstLine="0"/>
    </w:pPr>
    <w:rPr>
      <w:sz w:val="24"/>
      <w:szCs w:val="24"/>
      <w:lang w:val="en-CA" w:eastAsia="en-CA"/>
    </w:rPr>
  </w:style>
  <w:style w:type="paragraph" w:customStyle="1" w:styleId="v10nb">
    <w:name w:val="v10nb"/>
    <w:basedOn w:val="Normal"/>
    <w:rsid w:val="00EF76C4"/>
    <w:pPr>
      <w:spacing w:before="100" w:beforeAutospacing="1" w:after="100" w:afterAutospacing="1"/>
      <w:ind w:firstLine="0"/>
    </w:pPr>
    <w:rPr>
      <w:sz w:val="24"/>
      <w:szCs w:val="24"/>
      <w:lang w:val="en-CA" w:eastAsia="en-CA"/>
    </w:rPr>
  </w:style>
  <w:style w:type="character" w:customStyle="1" w:styleId="spipsurligne">
    <w:name w:val="spip_surligne"/>
    <w:basedOn w:val="Policepardfaut"/>
    <w:rsid w:val="00EF76C4"/>
  </w:style>
  <w:style w:type="character" w:customStyle="1" w:styleId="hps">
    <w:name w:val="hps"/>
    <w:basedOn w:val="Policepardfaut"/>
    <w:rsid w:val="00EF76C4"/>
  </w:style>
  <w:style w:type="character" w:customStyle="1" w:styleId="atn">
    <w:name w:val="atn"/>
    <w:basedOn w:val="Policepardfaut"/>
    <w:rsid w:val="00EF76C4"/>
  </w:style>
  <w:style w:type="character" w:customStyle="1" w:styleId="italique">
    <w:name w:val="italique"/>
    <w:basedOn w:val="Policepardfaut"/>
    <w:rsid w:val="00EF76C4"/>
  </w:style>
  <w:style w:type="character" w:customStyle="1" w:styleId="sstitre">
    <w:name w:val="sstitre"/>
    <w:basedOn w:val="Policepardfaut"/>
    <w:rsid w:val="00EF76C4"/>
  </w:style>
  <w:style w:type="paragraph" w:customStyle="1" w:styleId="titre0">
    <w:name w:val="titre"/>
    <w:basedOn w:val="Normal"/>
    <w:rsid w:val="00EF76C4"/>
    <w:pPr>
      <w:spacing w:before="100" w:beforeAutospacing="1" w:after="100" w:afterAutospacing="1"/>
      <w:ind w:firstLine="0"/>
    </w:pPr>
    <w:rPr>
      <w:sz w:val="24"/>
      <w:szCs w:val="24"/>
      <w:lang w:val="en-CA" w:eastAsia="en-CA"/>
    </w:rPr>
  </w:style>
  <w:style w:type="character" w:customStyle="1" w:styleId="sc">
    <w:name w:val="sc"/>
    <w:basedOn w:val="Policepardfaut"/>
    <w:rsid w:val="00EF76C4"/>
  </w:style>
  <w:style w:type="paragraph" w:customStyle="1" w:styleId="parolesliste">
    <w:name w:val="paroles liste"/>
    <w:basedOn w:val="paroles"/>
    <w:autoRedefine/>
    <w:rsid w:val="00B956E6"/>
    <w:pPr>
      <w:ind w:left="1080"/>
      <w:jc w:val="left"/>
    </w:pPr>
    <w:rPr>
      <w:color w:val="000090"/>
    </w:rPr>
  </w:style>
  <w:style w:type="character" w:customStyle="1" w:styleId="ExplorateurdedocumentsCar">
    <w:name w:val="Explorateur de documents Car"/>
    <w:link w:val="Explorateurdedocuments"/>
    <w:uiPriority w:val="99"/>
    <w:semiHidden/>
    <w:rsid w:val="00EF76C4"/>
    <w:rPr>
      <w:rFonts w:ascii="Tahoma" w:eastAsia="Arial Unicode MS" w:hAnsi="Tahoma" w:cs="Mangal"/>
      <w:kern w:val="1"/>
      <w:sz w:val="16"/>
      <w:szCs w:val="14"/>
      <w:lang w:eastAsia="hi-IN" w:bidi="hi-IN"/>
    </w:rPr>
  </w:style>
  <w:style w:type="paragraph" w:styleId="Explorateurdedocuments">
    <w:name w:val="Document Map"/>
    <w:basedOn w:val="Normal"/>
    <w:link w:val="ExplorateurdedocumentsCar"/>
    <w:uiPriority w:val="99"/>
    <w:semiHidden/>
    <w:unhideWhenUsed/>
    <w:rsid w:val="00EF76C4"/>
    <w:pPr>
      <w:widowControl w:val="0"/>
      <w:suppressAutoHyphens/>
      <w:ind w:firstLine="0"/>
    </w:pPr>
    <w:rPr>
      <w:rFonts w:ascii="Tahoma" w:eastAsia="Arial Unicode MS" w:hAnsi="Tahoma" w:cs="Mangal"/>
      <w:kern w:val="1"/>
      <w:sz w:val="16"/>
      <w:szCs w:val="14"/>
      <w:lang w:val="x-none" w:eastAsia="hi-IN" w:bidi="hi-IN"/>
    </w:rPr>
  </w:style>
  <w:style w:type="character" w:customStyle="1" w:styleId="ExplorateurdedocumentCar1">
    <w:name w:val="Explorateur de document Car1"/>
    <w:basedOn w:val="Policepardfaut"/>
    <w:link w:val="Explorateurdedocuments"/>
    <w:uiPriority w:val="99"/>
    <w:semiHidden/>
    <w:rsid w:val="00EF76C4"/>
    <w:rPr>
      <w:rFonts w:ascii="Lucida Grande" w:eastAsia="Times New Roman" w:hAnsi="Lucida Grande"/>
      <w:sz w:val="24"/>
      <w:szCs w:val="24"/>
      <w:lang w:val="fr-CA" w:eastAsia="en-US"/>
    </w:rPr>
  </w:style>
  <w:style w:type="paragraph" w:customStyle="1" w:styleId="bibliographie">
    <w:name w:val="bibliographie"/>
    <w:basedOn w:val="Normal"/>
    <w:rsid w:val="00EF76C4"/>
    <w:pPr>
      <w:spacing w:before="100" w:beforeAutospacing="1" w:after="100" w:afterAutospacing="1"/>
      <w:ind w:firstLine="0"/>
    </w:pPr>
    <w:rPr>
      <w:sz w:val="24"/>
      <w:szCs w:val="24"/>
      <w:lang w:val="en-CA" w:eastAsia="en-CA"/>
    </w:rPr>
  </w:style>
  <w:style w:type="character" w:customStyle="1" w:styleId="A0">
    <w:name w:val="A0"/>
    <w:uiPriority w:val="99"/>
    <w:rsid w:val="00EF76C4"/>
    <w:rPr>
      <w:rFonts w:cs="Trebuchet MS"/>
      <w:color w:val="000000"/>
      <w:sz w:val="18"/>
      <w:szCs w:val="18"/>
    </w:rPr>
  </w:style>
  <w:style w:type="character" w:customStyle="1" w:styleId="A2">
    <w:name w:val="A2"/>
    <w:uiPriority w:val="99"/>
    <w:rsid w:val="00EF76C4"/>
    <w:rPr>
      <w:rFonts w:cs="Trebuchet MS"/>
      <w:color w:val="000000"/>
      <w:sz w:val="10"/>
      <w:szCs w:val="10"/>
    </w:rPr>
  </w:style>
  <w:style w:type="character" w:customStyle="1" w:styleId="A1">
    <w:name w:val="A1"/>
    <w:uiPriority w:val="99"/>
    <w:rsid w:val="00EF76C4"/>
    <w:rPr>
      <w:rFonts w:cs="Trebuchet MS"/>
      <w:color w:val="000000"/>
      <w:sz w:val="14"/>
      <w:szCs w:val="14"/>
    </w:rPr>
  </w:style>
  <w:style w:type="character" w:customStyle="1" w:styleId="A4">
    <w:name w:val="A4"/>
    <w:uiPriority w:val="99"/>
    <w:rsid w:val="00EF76C4"/>
    <w:rPr>
      <w:rFonts w:cs="Minion Pro"/>
      <w:b/>
      <w:bCs/>
      <w:color w:val="000000"/>
    </w:rPr>
  </w:style>
  <w:style w:type="paragraph" w:customStyle="1" w:styleId="Pa2">
    <w:name w:val="Pa2"/>
    <w:basedOn w:val="Default"/>
    <w:next w:val="Default"/>
    <w:uiPriority w:val="99"/>
    <w:rsid w:val="00EF76C4"/>
    <w:pPr>
      <w:spacing w:line="321" w:lineRule="atLeast"/>
    </w:pPr>
    <w:rPr>
      <w:rFonts w:ascii="Trebuchet MS" w:hAnsi="Trebuchet MS" w:cs="Times New Roman"/>
      <w:color w:val="auto"/>
      <w:lang w:val="en-CA"/>
    </w:rPr>
  </w:style>
  <w:style w:type="character" w:customStyle="1" w:styleId="spipnoteref">
    <w:name w:val="spip_note_ref"/>
    <w:basedOn w:val="Policepardfaut"/>
    <w:rsid w:val="00EF76C4"/>
  </w:style>
  <w:style w:type="character" w:customStyle="1" w:styleId="author">
    <w:name w:val="author"/>
    <w:basedOn w:val="Policepardfaut"/>
    <w:rsid w:val="00EF76C4"/>
  </w:style>
  <w:style w:type="character" w:customStyle="1" w:styleId="reference-text">
    <w:name w:val="reference-text"/>
    <w:basedOn w:val="Policepardfaut"/>
    <w:rsid w:val="00EF76C4"/>
  </w:style>
  <w:style w:type="character" w:styleId="CitationHTML">
    <w:name w:val="HTML Cite"/>
    <w:uiPriority w:val="99"/>
    <w:rsid w:val="00EF76C4"/>
    <w:rPr>
      <w:i/>
    </w:rPr>
  </w:style>
  <w:style w:type="paragraph" w:customStyle="1" w:styleId="Sansinterligne4">
    <w:name w:val="Sans interligne4"/>
    <w:uiPriority w:val="1"/>
    <w:qFormat/>
    <w:rsid w:val="00EF76C4"/>
    <w:rPr>
      <w:rFonts w:ascii="Times New Roman" w:eastAsia="Times New Roman" w:hAnsi="Times New Roman"/>
      <w:sz w:val="24"/>
      <w:szCs w:val="24"/>
      <w:lang w:val="fr-FR" w:eastAsia="en-US"/>
    </w:rPr>
  </w:style>
  <w:style w:type="character" w:customStyle="1" w:styleId="citecrochet">
    <w:name w:val="cite_crochet"/>
    <w:basedOn w:val="Policepardfaut"/>
    <w:rsid w:val="00EF76C4"/>
  </w:style>
  <w:style w:type="character" w:customStyle="1" w:styleId="toctoggle">
    <w:name w:val="toctoggle"/>
    <w:basedOn w:val="Policepardfaut"/>
    <w:rsid w:val="00EF76C4"/>
  </w:style>
  <w:style w:type="character" w:customStyle="1" w:styleId="tocnumber">
    <w:name w:val="tocnumber"/>
    <w:basedOn w:val="Policepardfaut"/>
    <w:rsid w:val="00EF76C4"/>
  </w:style>
  <w:style w:type="character" w:customStyle="1" w:styleId="toctext">
    <w:name w:val="toctext"/>
    <w:basedOn w:val="Policepardfaut"/>
    <w:rsid w:val="00EF76C4"/>
  </w:style>
  <w:style w:type="character" w:customStyle="1" w:styleId="romain">
    <w:name w:val="romain"/>
    <w:basedOn w:val="Policepardfaut"/>
    <w:rsid w:val="00EF76C4"/>
  </w:style>
  <w:style w:type="character" w:customStyle="1" w:styleId="mw-editsection">
    <w:name w:val="mw-editsection"/>
    <w:basedOn w:val="Policepardfaut"/>
    <w:rsid w:val="00EF76C4"/>
  </w:style>
  <w:style w:type="character" w:customStyle="1" w:styleId="Grillecouleur-Accent1Car">
    <w:name w:val="Grille couleur - Accent 1 Car"/>
    <w:link w:val="Grilleclaire-Accent5"/>
    <w:uiPriority w:val="29"/>
    <w:rsid w:val="00EF76C4"/>
    <w:rPr>
      <w:rFonts w:ascii="Times" w:hAnsi="Times"/>
      <w:lang w:val="fr-CA"/>
    </w:rPr>
  </w:style>
  <w:style w:type="table" w:styleId="Grilleclaire-Accent5">
    <w:name w:val="Light Grid Accent 5"/>
    <w:basedOn w:val="TableauNormal"/>
    <w:link w:val="Grillecouleur-Accent1Car"/>
    <w:uiPriority w:val="29"/>
    <w:rsid w:val="00EF76C4"/>
    <w:rPr>
      <w:lang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nowrap">
    <w:name w:val="nowrap"/>
    <w:basedOn w:val="Policepardfaut"/>
    <w:rsid w:val="00EF76C4"/>
  </w:style>
  <w:style w:type="character" w:customStyle="1" w:styleId="noprintrenvoisversletexte">
    <w:name w:val="noprint renvois_vers_le_texte"/>
    <w:basedOn w:val="Policepardfaut"/>
    <w:rsid w:val="00EF76C4"/>
  </w:style>
  <w:style w:type="character" w:customStyle="1" w:styleId="indicateur-langue">
    <w:name w:val="indicateur-langue"/>
    <w:basedOn w:val="Policepardfaut"/>
    <w:rsid w:val="00EF76C4"/>
  </w:style>
  <w:style w:type="character" w:customStyle="1" w:styleId="ouvrage">
    <w:name w:val="ouvrage"/>
    <w:basedOn w:val="Policepardfaut"/>
    <w:rsid w:val="00EF76C4"/>
  </w:style>
  <w:style w:type="character" w:customStyle="1" w:styleId="z3988">
    <w:name w:val="z3988"/>
    <w:basedOn w:val="Policepardfaut"/>
    <w:rsid w:val="00EF76C4"/>
  </w:style>
  <w:style w:type="character" w:customStyle="1" w:styleId="ht">
    <w:name w:val="ht"/>
    <w:basedOn w:val="Policepardfaut"/>
    <w:rsid w:val="00EF76C4"/>
  </w:style>
  <w:style w:type="paragraph" w:customStyle="1" w:styleId="Listecouleur-Accent11">
    <w:name w:val="Liste couleur - Accent 11"/>
    <w:basedOn w:val="Normal"/>
    <w:uiPriority w:val="34"/>
    <w:qFormat/>
    <w:rsid w:val="00EF76C4"/>
    <w:pPr>
      <w:widowControl w:val="0"/>
      <w:suppressAutoHyphens/>
      <w:ind w:left="720" w:firstLine="0"/>
      <w:contextualSpacing/>
    </w:pPr>
    <w:rPr>
      <w:rFonts w:eastAsia="Arial Unicode MS" w:cs="Mangal"/>
      <w:kern w:val="1"/>
      <w:sz w:val="24"/>
      <w:szCs w:val="21"/>
      <w:lang w:eastAsia="hi-IN" w:bidi="hi-IN"/>
    </w:rPr>
  </w:style>
  <w:style w:type="character" w:customStyle="1" w:styleId="uppeccase">
    <w:name w:val="uppeccase"/>
    <w:basedOn w:val="Policepardfaut"/>
    <w:rsid w:val="00EF76C4"/>
  </w:style>
  <w:style w:type="character" w:customStyle="1" w:styleId="fn">
    <w:name w:val="fn"/>
    <w:basedOn w:val="Policepardfaut"/>
    <w:rsid w:val="00EF76C4"/>
  </w:style>
  <w:style w:type="character" w:customStyle="1" w:styleId="subtitle">
    <w:name w:val="subtitle"/>
    <w:basedOn w:val="Policepardfaut"/>
    <w:rsid w:val="00EF76C4"/>
  </w:style>
  <w:style w:type="character" w:customStyle="1" w:styleId="SansinterligneCar">
    <w:name w:val="Sans interligne Car"/>
    <w:link w:val="Sansinterligne5"/>
    <w:uiPriority w:val="1"/>
    <w:rsid w:val="00EF76C4"/>
    <w:rPr>
      <w:sz w:val="22"/>
      <w:szCs w:val="22"/>
      <w:lang w:val="en-US" w:eastAsia="en-US" w:bidi="ar-SA"/>
    </w:rPr>
  </w:style>
  <w:style w:type="paragraph" w:customStyle="1" w:styleId="Sansinterligne5">
    <w:name w:val="Sans interligne5"/>
    <w:link w:val="SansinterligneCar"/>
    <w:uiPriority w:val="1"/>
    <w:qFormat/>
    <w:rsid w:val="00EF76C4"/>
    <w:pPr>
      <w:widowControl w:val="0"/>
      <w:suppressAutoHyphens/>
    </w:pPr>
    <w:rPr>
      <w:sz w:val="22"/>
      <w:szCs w:val="22"/>
      <w:lang w:val="en-US" w:eastAsia="en-US"/>
    </w:rPr>
  </w:style>
  <w:style w:type="character" w:customStyle="1" w:styleId="hr">
    <w:name w:val="hr"/>
    <w:basedOn w:val="Policepardfaut"/>
    <w:rsid w:val="00EF76C4"/>
  </w:style>
  <w:style w:type="character" w:customStyle="1" w:styleId="date-lien">
    <w:name w:val="date-lien"/>
    <w:basedOn w:val="Policepardfaut"/>
    <w:rsid w:val="00EF76C4"/>
  </w:style>
  <w:style w:type="character" w:customStyle="1" w:styleId="bullet">
    <w:name w:val="bullet"/>
    <w:basedOn w:val="Policepardfaut"/>
    <w:rsid w:val="00EF76C4"/>
  </w:style>
  <w:style w:type="paragraph" w:customStyle="1" w:styleId="Grillecouleur-Accent11">
    <w:name w:val="Grille couleur - Accent 11"/>
    <w:basedOn w:val="Normal"/>
    <w:link w:val="Grillecouleur-Accent1Car1"/>
    <w:autoRedefine/>
    <w:qFormat/>
    <w:rsid w:val="00EF76C4"/>
    <w:pPr>
      <w:tabs>
        <w:tab w:val="left" w:pos="1080"/>
      </w:tabs>
      <w:spacing w:line="276" w:lineRule="auto"/>
      <w:ind w:left="720" w:firstLine="0"/>
      <w:jc w:val="both"/>
    </w:pPr>
    <w:rPr>
      <w:sz w:val="20"/>
      <w:lang w:val="x-none" w:eastAsia="x-none"/>
    </w:rPr>
  </w:style>
  <w:style w:type="character" w:customStyle="1" w:styleId="Grillecouleur-Accent1Car1">
    <w:name w:val="Grille couleur - Accent 1 Car1"/>
    <w:link w:val="Grillecouleur-Accent11"/>
    <w:rsid w:val="00EF76C4"/>
    <w:rPr>
      <w:rFonts w:ascii="Times New Roman" w:eastAsia="Times New Roman" w:hAnsi="Times New Roman"/>
      <w:lang w:val="x-none" w:eastAsia="x-none"/>
    </w:rPr>
  </w:style>
  <w:style w:type="character" w:customStyle="1" w:styleId="number">
    <w:name w:val="number"/>
    <w:basedOn w:val="Policepardfaut"/>
    <w:rsid w:val="00EF76C4"/>
  </w:style>
  <w:style w:type="character" w:customStyle="1" w:styleId="period">
    <w:name w:val="period"/>
    <w:basedOn w:val="Policepardfaut"/>
    <w:rsid w:val="00EF76C4"/>
  </w:style>
  <w:style w:type="paragraph" w:customStyle="1" w:styleId="pagetext">
    <w:name w:val="pagetext"/>
    <w:basedOn w:val="Normal"/>
    <w:rsid w:val="00EF76C4"/>
    <w:pPr>
      <w:spacing w:before="100" w:beforeAutospacing="1" w:after="100" w:afterAutospacing="1"/>
      <w:ind w:firstLine="0"/>
      <w:jc w:val="both"/>
    </w:pPr>
    <w:rPr>
      <w:rFonts w:ascii="Verdana" w:hAnsi="Verdana"/>
      <w:color w:val="000000"/>
      <w:sz w:val="13"/>
      <w:szCs w:val="13"/>
      <w:lang w:val="en-US"/>
    </w:rPr>
  </w:style>
  <w:style w:type="character" w:customStyle="1" w:styleId="detaillabel">
    <w:name w:val="detaillabel"/>
    <w:basedOn w:val="Policepardfaut"/>
    <w:rsid w:val="00EF76C4"/>
  </w:style>
  <w:style w:type="paragraph" w:styleId="Listepuces">
    <w:name w:val="List Bullet"/>
    <w:basedOn w:val="Normal"/>
    <w:uiPriority w:val="99"/>
    <w:unhideWhenUsed/>
    <w:rsid w:val="00EF76C4"/>
    <w:pPr>
      <w:numPr>
        <w:numId w:val="6"/>
      </w:numPr>
      <w:spacing w:after="200"/>
      <w:contextualSpacing/>
    </w:pPr>
    <w:rPr>
      <w:rFonts w:ascii="Cambria" w:eastAsia="MS Mincho" w:hAnsi="Cambria"/>
      <w:sz w:val="24"/>
      <w:szCs w:val="24"/>
      <w:lang w:val="fr-FR"/>
    </w:rPr>
  </w:style>
  <w:style w:type="paragraph" w:customStyle="1" w:styleId="body">
    <w:name w:val="body"/>
    <w:basedOn w:val="Normal"/>
    <w:rsid w:val="00EF76C4"/>
    <w:pPr>
      <w:spacing w:before="100" w:beforeAutospacing="1" w:after="100" w:afterAutospacing="1"/>
      <w:ind w:firstLine="0"/>
    </w:pPr>
    <w:rPr>
      <w:sz w:val="24"/>
      <w:szCs w:val="24"/>
      <w:lang w:val="en-CA" w:eastAsia="en-CA"/>
    </w:rPr>
  </w:style>
  <w:style w:type="paragraph" w:customStyle="1" w:styleId="firstpar">
    <w:name w:val="firstpar"/>
    <w:basedOn w:val="Normal"/>
    <w:rsid w:val="00EF76C4"/>
    <w:pPr>
      <w:spacing w:before="100" w:beforeAutospacing="1" w:after="100" w:afterAutospacing="1"/>
      <w:ind w:firstLine="0"/>
    </w:pPr>
    <w:rPr>
      <w:sz w:val="24"/>
      <w:szCs w:val="24"/>
      <w:lang w:val="en-CA" w:eastAsia="en-CA"/>
    </w:rPr>
  </w:style>
  <w:style w:type="character" w:customStyle="1" w:styleId="titlelevel0">
    <w:name w:val="titlelevel0"/>
    <w:basedOn w:val="Policepardfaut"/>
    <w:rsid w:val="00EF76C4"/>
  </w:style>
  <w:style w:type="character" w:customStyle="1" w:styleId="bodytextlarge">
    <w:name w:val="bodytextlarge"/>
    <w:basedOn w:val="Policepardfaut"/>
    <w:rsid w:val="00EF76C4"/>
  </w:style>
  <w:style w:type="paragraph" w:customStyle="1" w:styleId="spip">
    <w:name w:val="spip"/>
    <w:basedOn w:val="Normal"/>
    <w:rsid w:val="00EF76C4"/>
    <w:pPr>
      <w:spacing w:before="100" w:beforeAutospacing="1" w:after="100" w:afterAutospacing="1"/>
      <w:ind w:firstLine="0"/>
    </w:pPr>
    <w:rPr>
      <w:sz w:val="24"/>
      <w:szCs w:val="24"/>
      <w:lang w:val="en-CA" w:eastAsia="en-CA"/>
    </w:rPr>
  </w:style>
  <w:style w:type="character" w:customStyle="1" w:styleId="glmot">
    <w:name w:val="gl_mot"/>
    <w:basedOn w:val="Policepardfaut"/>
    <w:rsid w:val="00EF76C4"/>
  </w:style>
  <w:style w:type="character" w:customStyle="1" w:styleId="meta-prep">
    <w:name w:val="meta-prep"/>
    <w:basedOn w:val="Policepardfaut"/>
    <w:rsid w:val="00EF76C4"/>
  </w:style>
  <w:style w:type="character" w:customStyle="1" w:styleId="entry-date">
    <w:name w:val="entry-date"/>
    <w:basedOn w:val="Policepardfaut"/>
    <w:rsid w:val="00EF76C4"/>
  </w:style>
  <w:style w:type="character" w:customStyle="1" w:styleId="meta-sep">
    <w:name w:val="meta-sep"/>
    <w:basedOn w:val="Policepardfaut"/>
    <w:rsid w:val="00EF76C4"/>
  </w:style>
  <w:style w:type="character" w:customStyle="1" w:styleId="PrformatHTMLCar">
    <w:name w:val="Préformaté HTML Car"/>
    <w:link w:val="PrformatHTML"/>
    <w:uiPriority w:val="99"/>
    <w:rsid w:val="00EF76C4"/>
    <w:rPr>
      <w:rFonts w:ascii="Courier New" w:hAnsi="Courier New" w:cs="Courier New"/>
      <w:lang w:eastAsia="en-CA"/>
    </w:rPr>
  </w:style>
  <w:style w:type="paragraph" w:styleId="PrformatHTML">
    <w:name w:val="HTML Preformatted"/>
    <w:basedOn w:val="Normal"/>
    <w:link w:val="PrformatHTMLCar"/>
    <w:uiPriority w:val="99"/>
    <w:unhideWhenUsed/>
    <w:rsid w:val="00EF76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eastAsia="Times" w:hAnsi="Courier New"/>
      <w:sz w:val="20"/>
      <w:lang w:val="x-none" w:eastAsia="en-CA"/>
    </w:rPr>
  </w:style>
  <w:style w:type="character" w:customStyle="1" w:styleId="HTMLprformatCar1">
    <w:name w:val="HTML préformaté Car1"/>
    <w:basedOn w:val="Policepardfaut"/>
    <w:link w:val="PrformatHTML"/>
    <w:uiPriority w:val="99"/>
    <w:semiHidden/>
    <w:rsid w:val="00EF76C4"/>
    <w:rPr>
      <w:rFonts w:ascii="Courier" w:eastAsia="Times New Roman" w:hAnsi="Courier"/>
      <w:lang w:val="fr-CA" w:eastAsia="en-US"/>
    </w:rPr>
  </w:style>
  <w:style w:type="character" w:customStyle="1" w:styleId="romain1">
    <w:name w:val="romain1"/>
    <w:rsid w:val="00EF76C4"/>
    <w:rPr>
      <w:smallCaps/>
    </w:rPr>
  </w:style>
  <w:style w:type="paragraph" w:customStyle="1" w:styleId="bodytext">
    <w:name w:val="bodytext"/>
    <w:basedOn w:val="Normal"/>
    <w:rsid w:val="00EF76C4"/>
    <w:pPr>
      <w:spacing w:before="100" w:beforeAutospacing="1" w:after="100" w:afterAutospacing="1"/>
      <w:ind w:firstLine="0"/>
    </w:pPr>
    <w:rPr>
      <w:sz w:val="24"/>
      <w:szCs w:val="24"/>
      <w:lang w:val="en-CA" w:eastAsia="en-CA"/>
    </w:rPr>
  </w:style>
  <w:style w:type="character" w:customStyle="1" w:styleId="pnum">
    <w:name w:val="pnum"/>
    <w:basedOn w:val="Policepardfaut"/>
    <w:rsid w:val="00EF76C4"/>
  </w:style>
  <w:style w:type="character" w:customStyle="1" w:styleId="z-HautduformulaireCar">
    <w:name w:val="z-Haut du formulaire Car"/>
    <w:link w:val="z-Hautduformulaire"/>
    <w:uiPriority w:val="99"/>
    <w:semiHidden/>
    <w:rsid w:val="00EF76C4"/>
    <w:rPr>
      <w:rFonts w:ascii="Arial" w:hAnsi="Arial" w:cs="Arial"/>
      <w:vanish/>
      <w:sz w:val="16"/>
      <w:szCs w:val="16"/>
      <w:lang w:eastAsia="en-CA"/>
    </w:rPr>
  </w:style>
  <w:style w:type="paragraph" w:styleId="z-Hautduformulaire">
    <w:name w:val="HTML Top of Form"/>
    <w:basedOn w:val="Normal"/>
    <w:next w:val="Normal"/>
    <w:link w:val="z-HautduformulaireCar"/>
    <w:hidden/>
    <w:uiPriority w:val="99"/>
    <w:semiHidden/>
    <w:unhideWhenUsed/>
    <w:rsid w:val="00EF76C4"/>
    <w:pPr>
      <w:pBdr>
        <w:bottom w:val="single" w:sz="6" w:space="1" w:color="auto"/>
      </w:pBdr>
      <w:ind w:firstLine="0"/>
      <w:jc w:val="center"/>
    </w:pPr>
    <w:rPr>
      <w:rFonts w:ascii="Arial" w:eastAsia="Times" w:hAnsi="Arial"/>
      <w:vanish/>
      <w:sz w:val="16"/>
      <w:szCs w:val="16"/>
      <w:lang w:val="x-none" w:eastAsia="en-CA"/>
    </w:rPr>
  </w:style>
  <w:style w:type="character" w:customStyle="1" w:styleId="z-HautdeformulaireCar1">
    <w:name w:val="z-Haut de formulaire Car1"/>
    <w:basedOn w:val="Policepardfaut"/>
    <w:link w:val="z-Hautduformulaire"/>
    <w:uiPriority w:val="99"/>
    <w:semiHidden/>
    <w:rsid w:val="00EF76C4"/>
    <w:rPr>
      <w:rFonts w:ascii="Arial" w:eastAsia="Times New Roman" w:hAnsi="Arial"/>
      <w:vanish/>
      <w:sz w:val="16"/>
      <w:szCs w:val="16"/>
      <w:lang w:val="fr-CA" w:eastAsia="en-US"/>
    </w:rPr>
  </w:style>
  <w:style w:type="character" w:customStyle="1" w:styleId="z-BasduformulaireCar">
    <w:name w:val="z-Bas du formulaire Car"/>
    <w:link w:val="z-Basduformulaire"/>
    <w:uiPriority w:val="99"/>
    <w:semiHidden/>
    <w:rsid w:val="00EF76C4"/>
    <w:rPr>
      <w:rFonts w:ascii="Arial" w:hAnsi="Arial" w:cs="Arial"/>
      <w:vanish/>
      <w:sz w:val="16"/>
      <w:szCs w:val="16"/>
      <w:lang w:eastAsia="en-CA"/>
    </w:rPr>
  </w:style>
  <w:style w:type="paragraph" w:styleId="z-Basduformulaire">
    <w:name w:val="HTML Bottom of Form"/>
    <w:basedOn w:val="Normal"/>
    <w:next w:val="Normal"/>
    <w:link w:val="z-BasduformulaireCar"/>
    <w:hidden/>
    <w:uiPriority w:val="99"/>
    <w:semiHidden/>
    <w:unhideWhenUsed/>
    <w:rsid w:val="00EF76C4"/>
    <w:pPr>
      <w:pBdr>
        <w:top w:val="single" w:sz="6" w:space="1" w:color="auto"/>
      </w:pBdr>
      <w:ind w:firstLine="0"/>
      <w:jc w:val="center"/>
    </w:pPr>
    <w:rPr>
      <w:rFonts w:ascii="Arial" w:eastAsia="Times" w:hAnsi="Arial"/>
      <w:vanish/>
      <w:sz w:val="16"/>
      <w:szCs w:val="16"/>
      <w:lang w:val="x-none" w:eastAsia="en-CA"/>
    </w:rPr>
  </w:style>
  <w:style w:type="character" w:customStyle="1" w:styleId="z-BasdeformulaireCar1">
    <w:name w:val="z-Bas de formulaire Car1"/>
    <w:basedOn w:val="Policepardfaut"/>
    <w:link w:val="z-Basduformulaire"/>
    <w:uiPriority w:val="99"/>
    <w:semiHidden/>
    <w:rsid w:val="00EF76C4"/>
    <w:rPr>
      <w:rFonts w:ascii="Arial" w:eastAsia="Times New Roman" w:hAnsi="Arial"/>
      <w:vanish/>
      <w:sz w:val="16"/>
      <w:szCs w:val="16"/>
      <w:lang w:val="fr-CA" w:eastAsia="en-US"/>
    </w:rPr>
  </w:style>
  <w:style w:type="character" w:customStyle="1" w:styleId="galleria-current">
    <w:name w:val="galleria-current"/>
    <w:basedOn w:val="Policepardfaut"/>
    <w:rsid w:val="00EF76C4"/>
  </w:style>
  <w:style w:type="character" w:customStyle="1" w:styleId="ata11y">
    <w:name w:val="at_a11y"/>
    <w:basedOn w:val="Policepardfaut"/>
    <w:rsid w:val="00EF76C4"/>
  </w:style>
  <w:style w:type="character" w:customStyle="1" w:styleId="titre10">
    <w:name w:val="titre1"/>
    <w:basedOn w:val="Policepardfaut"/>
    <w:rsid w:val="00EF76C4"/>
  </w:style>
  <w:style w:type="character" w:customStyle="1" w:styleId="titre30">
    <w:name w:val="titre3"/>
    <w:basedOn w:val="Policepardfaut"/>
    <w:rsid w:val="00EF76C4"/>
  </w:style>
  <w:style w:type="character" w:customStyle="1" w:styleId="withoutcontribution">
    <w:name w:val="without_contribution"/>
    <w:basedOn w:val="Policepardfaut"/>
    <w:rsid w:val="00EF76C4"/>
  </w:style>
  <w:style w:type="character" w:customStyle="1" w:styleId="nomauteur">
    <w:name w:val="nom_auteur"/>
    <w:basedOn w:val="Policepardfaut"/>
    <w:rsid w:val="00EF76C4"/>
  </w:style>
  <w:style w:type="character" w:customStyle="1" w:styleId="marquage">
    <w:name w:val="marquage"/>
    <w:basedOn w:val="Policepardfaut"/>
    <w:rsid w:val="00EF76C4"/>
  </w:style>
  <w:style w:type="character" w:customStyle="1" w:styleId="renvoifakeno">
    <w:name w:val="renvoi_fake_no"/>
    <w:basedOn w:val="Policepardfaut"/>
    <w:rsid w:val="00EF76C4"/>
  </w:style>
  <w:style w:type="paragraph" w:customStyle="1" w:styleId="alinea">
    <w:name w:val="alinea"/>
    <w:basedOn w:val="Normal"/>
    <w:rsid w:val="00EF76C4"/>
    <w:pPr>
      <w:spacing w:before="100" w:beforeAutospacing="1" w:after="100" w:afterAutospacing="1"/>
      <w:ind w:firstLine="0"/>
    </w:pPr>
    <w:rPr>
      <w:sz w:val="24"/>
      <w:szCs w:val="24"/>
      <w:lang w:val="en-CA" w:eastAsia="en-CA"/>
    </w:rPr>
  </w:style>
  <w:style w:type="character" w:customStyle="1" w:styleId="l6">
    <w:name w:val="l6"/>
    <w:basedOn w:val="Policepardfaut"/>
    <w:rsid w:val="00EF76C4"/>
  </w:style>
  <w:style w:type="character" w:customStyle="1" w:styleId="ptbrand">
    <w:name w:val="ptbrand"/>
    <w:basedOn w:val="Policepardfaut"/>
    <w:rsid w:val="00EF76C4"/>
  </w:style>
  <w:style w:type="character" w:customStyle="1" w:styleId="bindingandrelease">
    <w:name w:val="bindingandrelease"/>
    <w:basedOn w:val="Policepardfaut"/>
    <w:rsid w:val="00EF76C4"/>
  </w:style>
  <w:style w:type="character" w:customStyle="1" w:styleId="personname">
    <w:name w:val="person_name"/>
    <w:basedOn w:val="Policepardfaut"/>
    <w:rsid w:val="00EF76C4"/>
  </w:style>
  <w:style w:type="character" w:customStyle="1" w:styleId="yellow">
    <w:name w:val="yellow"/>
    <w:basedOn w:val="Policepardfaut"/>
    <w:rsid w:val="00EF76C4"/>
  </w:style>
  <w:style w:type="character" w:customStyle="1" w:styleId="divider">
    <w:name w:val="divider"/>
    <w:basedOn w:val="Policepardfaut"/>
    <w:rsid w:val="00EF76C4"/>
  </w:style>
  <w:style w:type="character" w:customStyle="1" w:styleId="addmd">
    <w:name w:val="addmd"/>
    <w:basedOn w:val="Policepardfaut"/>
    <w:rsid w:val="00EF76C4"/>
  </w:style>
  <w:style w:type="character" w:customStyle="1" w:styleId="Emphaseple1">
    <w:name w:val="Emphase pâle1"/>
    <w:qFormat/>
    <w:rsid w:val="00EF76C4"/>
    <w:rPr>
      <w:i/>
      <w:iCs/>
      <w:color w:val="808080"/>
    </w:rPr>
  </w:style>
  <w:style w:type="character" w:customStyle="1" w:styleId="companyslogan">
    <w:name w:val="companyslogan"/>
    <w:basedOn w:val="Policepardfaut"/>
    <w:rsid w:val="00EF76C4"/>
  </w:style>
  <w:style w:type="character" w:customStyle="1" w:styleId="grame">
    <w:name w:val="grame"/>
    <w:basedOn w:val="Policepardfaut"/>
    <w:rsid w:val="00EF76C4"/>
  </w:style>
  <w:style w:type="character" w:customStyle="1" w:styleId="l">
    <w:name w:val="l"/>
    <w:basedOn w:val="Policepardfaut"/>
    <w:rsid w:val="00EF76C4"/>
  </w:style>
  <w:style w:type="character" w:customStyle="1" w:styleId="l8">
    <w:name w:val="l8"/>
    <w:basedOn w:val="Policepardfaut"/>
    <w:rsid w:val="00EF76C4"/>
  </w:style>
  <w:style w:type="paragraph" w:styleId="TM1">
    <w:name w:val="toc 1"/>
    <w:basedOn w:val="Normal"/>
    <w:next w:val="Normal"/>
    <w:autoRedefine/>
    <w:uiPriority w:val="39"/>
    <w:unhideWhenUsed/>
    <w:rsid w:val="00EF76C4"/>
    <w:pPr>
      <w:widowControl w:val="0"/>
      <w:tabs>
        <w:tab w:val="right" w:leader="dot" w:pos="9350"/>
      </w:tabs>
      <w:suppressAutoHyphens/>
      <w:ind w:left="426" w:hanging="426"/>
    </w:pPr>
    <w:rPr>
      <w:rFonts w:eastAsia="Arial Unicode MS"/>
      <w:noProof/>
      <w:kern w:val="1"/>
      <w:sz w:val="24"/>
      <w:szCs w:val="21"/>
      <w:lang w:eastAsia="hi-IN" w:bidi="hi-IN"/>
    </w:rPr>
  </w:style>
  <w:style w:type="paragraph" w:styleId="TM2">
    <w:name w:val="toc 2"/>
    <w:basedOn w:val="Normal"/>
    <w:next w:val="Normal"/>
    <w:autoRedefine/>
    <w:uiPriority w:val="39"/>
    <w:unhideWhenUsed/>
    <w:rsid w:val="00EF76C4"/>
    <w:pPr>
      <w:widowControl w:val="0"/>
      <w:tabs>
        <w:tab w:val="right" w:leader="dot" w:pos="9350"/>
      </w:tabs>
      <w:suppressAutoHyphens/>
      <w:ind w:left="709" w:hanging="469"/>
    </w:pPr>
    <w:rPr>
      <w:rFonts w:eastAsia="Arial Unicode MS"/>
      <w:noProof/>
      <w:color w:val="FF0000"/>
      <w:kern w:val="1"/>
      <w:sz w:val="24"/>
      <w:szCs w:val="21"/>
      <w:lang w:val="fr-FR" w:eastAsia="hi-IN" w:bidi="hi-IN"/>
    </w:rPr>
  </w:style>
  <w:style w:type="paragraph" w:styleId="TM3">
    <w:name w:val="toc 3"/>
    <w:basedOn w:val="Normal"/>
    <w:next w:val="Normal"/>
    <w:autoRedefine/>
    <w:uiPriority w:val="39"/>
    <w:unhideWhenUsed/>
    <w:rsid w:val="00EF76C4"/>
    <w:pPr>
      <w:widowControl w:val="0"/>
      <w:tabs>
        <w:tab w:val="right" w:leader="dot" w:pos="9350"/>
      </w:tabs>
      <w:suppressAutoHyphens/>
      <w:ind w:left="851" w:right="-519" w:hanging="851"/>
      <w:jc w:val="both"/>
    </w:pPr>
    <w:rPr>
      <w:bCs/>
      <w:kern w:val="1"/>
      <w:sz w:val="24"/>
      <w:szCs w:val="24"/>
      <w:lang w:val="fr-FR" w:eastAsia="hi-IN" w:bidi="hi-IN"/>
    </w:rPr>
  </w:style>
  <w:style w:type="paragraph" w:customStyle="1" w:styleId="h">
    <w:name w:val="h"/>
    <w:basedOn w:val="Normal"/>
    <w:rsid w:val="00EF76C4"/>
    <w:pPr>
      <w:spacing w:before="100" w:beforeAutospacing="1" w:after="100" w:afterAutospacing="1"/>
      <w:ind w:firstLine="0"/>
    </w:pPr>
    <w:rPr>
      <w:rFonts w:eastAsia="SimSun"/>
      <w:b/>
      <w:bCs/>
      <w:sz w:val="24"/>
      <w:szCs w:val="24"/>
      <w:lang w:val="en-US" w:eastAsia="zh-CN"/>
    </w:rPr>
  </w:style>
  <w:style w:type="paragraph" w:customStyle="1" w:styleId="Sansinterligne31">
    <w:name w:val="Sans interligne31"/>
    <w:uiPriority w:val="1"/>
    <w:qFormat/>
    <w:rsid w:val="00EF76C4"/>
    <w:rPr>
      <w:rFonts w:ascii="Times New Roman" w:eastAsia="Times New Roman" w:hAnsi="Times New Roman"/>
      <w:sz w:val="24"/>
      <w:szCs w:val="24"/>
      <w:lang w:val="fr-FR" w:eastAsia="en-US"/>
    </w:rPr>
  </w:style>
  <w:style w:type="character" w:customStyle="1" w:styleId="Tramemoyenne1-Accent3Car">
    <w:name w:val="Trame moyenne 1 - Accent 3 Car"/>
    <w:link w:val="Listecouleur-Accent3"/>
    <w:rsid w:val="00EF76C4"/>
    <w:rPr>
      <w:rFonts w:ascii="Times New Roman" w:eastAsia="Times New Roman" w:hAnsi="Times New Roman"/>
      <w:color w:val="000080"/>
      <w:sz w:val="24"/>
      <w:lang w:val="fr-CA" w:eastAsia="en-US"/>
    </w:rPr>
  </w:style>
  <w:style w:type="table" w:styleId="Listecouleur-Accent3">
    <w:name w:val="Colorful List Accent 3"/>
    <w:basedOn w:val="TableauNormal"/>
    <w:link w:val="Tramemoyenne1-Accent3Car"/>
    <w:rsid w:val="00EF76C4"/>
    <w:rPr>
      <w:rFonts w:ascii="Times New Roman" w:eastAsia="Times New Roman" w:hAnsi="Times New Roman"/>
      <w:color w:val="000080"/>
      <w:sz w:val="24"/>
      <w:lang w:eastAsia="en-US" w:bidi="x-none"/>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ltitre">
    <w:name w:val="l_titre"/>
    <w:basedOn w:val="Policepardfaut"/>
    <w:rsid w:val="00EF76C4"/>
  </w:style>
  <w:style w:type="character" w:customStyle="1" w:styleId="lproduction">
    <w:name w:val="l_production"/>
    <w:basedOn w:val="Policepardfaut"/>
    <w:rsid w:val="00EF76C4"/>
  </w:style>
  <w:style w:type="character" w:customStyle="1" w:styleId="lcollection">
    <w:name w:val="l_collection"/>
    <w:basedOn w:val="Policepardfaut"/>
    <w:rsid w:val="00EF76C4"/>
  </w:style>
  <w:style w:type="character" w:customStyle="1" w:styleId="ldatep">
    <w:name w:val="l_datep"/>
    <w:basedOn w:val="Policepardfaut"/>
    <w:rsid w:val="00EF76C4"/>
  </w:style>
  <w:style w:type="paragraph" w:customStyle="1" w:styleId="Sansinterligne6">
    <w:name w:val="Sans interligne6"/>
    <w:uiPriority w:val="1"/>
    <w:qFormat/>
    <w:rsid w:val="00EF76C4"/>
    <w:rPr>
      <w:rFonts w:ascii="Times New Roman" w:eastAsia="Times New Roman" w:hAnsi="Times New Roman"/>
      <w:sz w:val="24"/>
      <w:szCs w:val="24"/>
      <w:lang w:val="fr-FR" w:eastAsia="en-US"/>
    </w:rPr>
  </w:style>
  <w:style w:type="paragraph" w:styleId="Tabledesillustrations">
    <w:name w:val="table of figures"/>
    <w:basedOn w:val="Normal"/>
    <w:next w:val="Normal"/>
    <w:uiPriority w:val="99"/>
    <w:unhideWhenUsed/>
    <w:rsid w:val="00EF76C4"/>
    <w:pPr>
      <w:widowControl w:val="0"/>
      <w:suppressAutoHyphens/>
      <w:ind w:firstLine="0"/>
    </w:pPr>
    <w:rPr>
      <w:rFonts w:eastAsia="Arial Unicode MS" w:cs="Mangal"/>
      <w:kern w:val="1"/>
      <w:sz w:val="24"/>
      <w:szCs w:val="21"/>
      <w:lang w:eastAsia="hi-IN" w:bidi="hi-IN"/>
    </w:rPr>
  </w:style>
  <w:style w:type="character" w:customStyle="1" w:styleId="presentation">
    <w:name w:val="presentation"/>
    <w:basedOn w:val="Policepardfaut"/>
    <w:rsid w:val="00EF76C4"/>
  </w:style>
  <w:style w:type="character" w:customStyle="1" w:styleId="ObjetducommentaireCar">
    <w:name w:val="Objet du commentaire Car"/>
    <w:basedOn w:val="CommentaireCar"/>
    <w:link w:val="Objetducommentaire"/>
    <w:uiPriority w:val="99"/>
    <w:semiHidden/>
    <w:rsid w:val="00EF76C4"/>
    <w:rPr>
      <w:rFonts w:ascii="Times New Roman" w:eastAsia="Arial Unicode MS" w:hAnsi="Times New Roman" w:cs="Mangal"/>
      <w:b/>
      <w:bCs/>
      <w:kern w:val="1"/>
      <w:szCs w:val="18"/>
      <w:lang w:val="fr-CA" w:eastAsia="hi-IN" w:bidi="hi-IN"/>
    </w:rPr>
  </w:style>
  <w:style w:type="paragraph" w:styleId="Objetducommentaire">
    <w:name w:val="annotation subject"/>
    <w:basedOn w:val="Commentaire"/>
    <w:next w:val="Commentaire"/>
    <w:link w:val="ObjetducommentaireCar"/>
    <w:uiPriority w:val="99"/>
    <w:semiHidden/>
    <w:unhideWhenUsed/>
    <w:rsid w:val="00EF76C4"/>
    <w:rPr>
      <w:b/>
      <w:bCs/>
    </w:rPr>
  </w:style>
  <w:style w:type="character" w:customStyle="1" w:styleId="ObjetducommentaireCar1">
    <w:name w:val="Objet du commentaire Car1"/>
    <w:basedOn w:val="CommentaireCar"/>
    <w:link w:val="Objetducommentaire"/>
    <w:uiPriority w:val="99"/>
    <w:semiHidden/>
    <w:rsid w:val="00EF76C4"/>
    <w:rPr>
      <w:rFonts w:ascii="Times New Roman" w:eastAsia="Arial Unicode MS" w:hAnsi="Times New Roman" w:cs="Mangal"/>
      <w:b/>
      <w:bCs/>
      <w:kern w:val="1"/>
      <w:szCs w:val="18"/>
      <w:lang w:val="fr-CA" w:eastAsia="hi-IN" w:bidi="hi-IN"/>
    </w:rPr>
  </w:style>
  <w:style w:type="character" w:customStyle="1" w:styleId="yshortcuts">
    <w:name w:val="yshortcuts"/>
    <w:basedOn w:val="Policepardfaut"/>
    <w:rsid w:val="00EF76C4"/>
  </w:style>
  <w:style w:type="character" w:customStyle="1" w:styleId="a-size-large">
    <w:name w:val="a-size-large"/>
    <w:basedOn w:val="Policepardfaut"/>
    <w:rsid w:val="00EF76C4"/>
  </w:style>
  <w:style w:type="character" w:styleId="Tableausimple4">
    <w:name w:val="Plain Table 4"/>
    <w:qFormat/>
    <w:rsid w:val="00EF76C4"/>
    <w:rPr>
      <w:b/>
      <w:bCs/>
      <w:i/>
      <w:iCs/>
      <w:color w:val="4F81BD"/>
    </w:rPr>
  </w:style>
  <w:style w:type="paragraph" w:styleId="Grillemoyenne2">
    <w:name w:val="Medium Grid 2"/>
    <w:uiPriority w:val="1"/>
    <w:qFormat/>
    <w:rsid w:val="00EF76C4"/>
    <w:pPr>
      <w:widowControl w:val="0"/>
      <w:suppressAutoHyphens/>
    </w:pPr>
    <w:rPr>
      <w:rFonts w:ascii="Times New Roman" w:eastAsia="Arial Unicode MS" w:hAnsi="Times New Roman" w:cs="Mangal"/>
      <w:kern w:val="1"/>
      <w:sz w:val="24"/>
      <w:szCs w:val="21"/>
      <w:lang w:eastAsia="hi-IN" w:bidi="hi-IN"/>
    </w:rPr>
  </w:style>
  <w:style w:type="paragraph" w:styleId="Listecouleur-Accent1">
    <w:name w:val="Colorful List Accent 1"/>
    <w:basedOn w:val="Normal"/>
    <w:uiPriority w:val="34"/>
    <w:qFormat/>
    <w:rsid w:val="00EF76C4"/>
    <w:pPr>
      <w:spacing w:after="200" w:line="276" w:lineRule="auto"/>
      <w:ind w:left="720" w:firstLine="0"/>
      <w:contextualSpacing/>
    </w:pPr>
    <w:rPr>
      <w:rFonts w:ascii="Calibri" w:eastAsia="Batang" w:hAnsi="Calibri"/>
      <w:sz w:val="22"/>
      <w:szCs w:val="22"/>
      <w:lang w:val="fr-FR"/>
    </w:rPr>
  </w:style>
  <w:style w:type="paragraph" w:customStyle="1" w:styleId="1Sous-titreThese">
    <w:name w:val="1|Sous-titreThese"/>
    <w:basedOn w:val="Normal"/>
    <w:next w:val="Normal"/>
    <w:rsid w:val="00EF76C4"/>
    <w:pPr>
      <w:ind w:firstLine="0"/>
      <w:jc w:val="center"/>
    </w:pPr>
    <w:rPr>
      <w:rFonts w:ascii="Arial Narrow" w:hAnsi="Arial Narrow"/>
      <w:b/>
      <w:bCs/>
      <w:sz w:val="34"/>
      <w:szCs w:val="32"/>
      <w:lang w:eastAsia="fr-FR"/>
    </w:rPr>
  </w:style>
  <w:style w:type="paragraph" w:customStyle="1" w:styleId="1TitreThese">
    <w:name w:val="1|TitreThese"/>
    <w:basedOn w:val="Normal"/>
    <w:next w:val="Normal"/>
    <w:rsid w:val="00EF76C4"/>
    <w:pPr>
      <w:spacing w:before="1440"/>
      <w:ind w:firstLine="0"/>
      <w:jc w:val="center"/>
    </w:pPr>
    <w:rPr>
      <w:rFonts w:ascii="Arial Narrow" w:hAnsi="Arial Narrow"/>
      <w:b/>
      <w:bCs/>
      <w:sz w:val="40"/>
      <w:szCs w:val="36"/>
      <w:lang w:eastAsia="fr-FR"/>
    </w:rPr>
  </w:style>
  <w:style w:type="paragraph" w:customStyle="1" w:styleId="1Thesemaitrise">
    <w:name w:val="1|These_maitrise"/>
    <w:basedOn w:val="Normal"/>
    <w:next w:val="Normal"/>
    <w:rsid w:val="00EF76C4"/>
    <w:pPr>
      <w:spacing w:before="960"/>
      <w:ind w:firstLine="0"/>
      <w:jc w:val="center"/>
    </w:pPr>
    <w:rPr>
      <w:rFonts w:ascii="Arial Narrow" w:hAnsi="Arial Narrow"/>
      <w:b/>
      <w:szCs w:val="24"/>
      <w:lang w:eastAsia="fr-FR"/>
    </w:rPr>
  </w:style>
  <w:style w:type="paragraph" w:customStyle="1" w:styleId="1Auteur">
    <w:name w:val="1|Auteur"/>
    <w:next w:val="Normal"/>
    <w:rsid w:val="00EF76C4"/>
    <w:pPr>
      <w:spacing w:before="960"/>
      <w:jc w:val="center"/>
    </w:pPr>
    <w:rPr>
      <w:rFonts w:ascii="Arial Narrow" w:eastAsia="Times New Roman" w:hAnsi="Arial Narrow"/>
      <w:b/>
      <w:sz w:val="28"/>
      <w:szCs w:val="24"/>
    </w:rPr>
  </w:style>
  <w:style w:type="character" w:customStyle="1" w:styleId="authors">
    <w:name w:val="authors"/>
    <w:basedOn w:val="Policepardfaut"/>
    <w:rsid w:val="00EF76C4"/>
  </w:style>
  <w:style w:type="character" w:customStyle="1" w:styleId="date">
    <w:name w:val="date"/>
    <w:basedOn w:val="Policepardfaut"/>
    <w:rsid w:val="00EF76C4"/>
  </w:style>
  <w:style w:type="character" w:customStyle="1" w:styleId="collection">
    <w:name w:val="collection"/>
    <w:basedOn w:val="Policepardfaut"/>
    <w:rsid w:val="00EF76C4"/>
  </w:style>
  <w:style w:type="character" w:customStyle="1" w:styleId="documentyear">
    <w:name w:val="documentyear"/>
    <w:basedOn w:val="Policepardfaut"/>
    <w:rsid w:val="00EF76C4"/>
  </w:style>
  <w:style w:type="character" w:customStyle="1" w:styleId="documentpagerange">
    <w:name w:val="documentpagerange"/>
    <w:basedOn w:val="Policepardfaut"/>
    <w:rsid w:val="00EF76C4"/>
  </w:style>
  <w:style w:type="character" w:customStyle="1" w:styleId="z-HautduformulaireCar1">
    <w:name w:val="z-Haut du formulaire Car1"/>
    <w:uiPriority w:val="99"/>
    <w:semiHidden/>
    <w:rsid w:val="00103D7F"/>
    <w:rPr>
      <w:rFonts w:ascii="Arial" w:eastAsia="Arial Unicode MS" w:hAnsi="Arial" w:cs="Mangal"/>
      <w:vanish/>
      <w:kern w:val="1"/>
      <w:sz w:val="16"/>
      <w:szCs w:val="14"/>
      <w:lang w:val="fr-CA" w:eastAsia="hi-IN" w:bidi="hi-IN"/>
    </w:rPr>
  </w:style>
  <w:style w:type="paragraph" w:customStyle="1" w:styleId="b">
    <w:name w:val="b"/>
    <w:basedOn w:val="Normal"/>
    <w:autoRedefine/>
    <w:rsid w:val="000A1F06"/>
    <w:pPr>
      <w:ind w:left="720" w:firstLine="0"/>
    </w:pPr>
    <w:rPr>
      <w:i/>
      <w:color w:val="0000FF"/>
    </w:rPr>
  </w:style>
  <w:style w:type="paragraph" w:customStyle="1" w:styleId="figst">
    <w:name w:val="fig st"/>
    <w:basedOn w:val="Normal"/>
    <w:rsid w:val="000A1F06"/>
    <w:pPr>
      <w:spacing w:before="120" w:after="120"/>
      <w:jc w:val="center"/>
    </w:pPr>
    <w:rPr>
      <w:i/>
      <w:color w:val="000090"/>
      <w:sz w:val="24"/>
    </w:rPr>
  </w:style>
  <w:style w:type="paragraph" w:customStyle="1" w:styleId="figst1">
    <w:name w:val="fig st 1"/>
    <w:basedOn w:val="figst"/>
    <w:autoRedefine/>
    <w:rsid w:val="000A1F06"/>
    <w:pPr>
      <w:jc w:val="both"/>
    </w:pPr>
  </w:style>
  <w:style w:type="paragraph" w:customStyle="1" w:styleId="fig1">
    <w:name w:val="fig 1"/>
    <w:basedOn w:val="fig"/>
    <w:autoRedefine/>
    <w:rsid w:val="006D69D4"/>
    <w:pPr>
      <w:widowControl w:val="0"/>
      <w:ind w:left="-1440"/>
      <w:jc w:val="right"/>
    </w:pPr>
    <w:rPr>
      <w:lang w:eastAsia="fr-FR"/>
    </w:rPr>
  </w:style>
  <w:style w:type="paragraph" w:customStyle="1" w:styleId="paroles">
    <w:name w:val="paroles"/>
    <w:basedOn w:val="Normal"/>
    <w:rsid w:val="009A5B70"/>
    <w:pPr>
      <w:ind w:firstLine="0"/>
      <w:jc w:val="center"/>
    </w:pPr>
    <w:rPr>
      <w:sz w:val="24"/>
      <w:szCs w:val="22"/>
    </w:rPr>
  </w:style>
  <w:style w:type="paragraph" w:customStyle="1" w:styleId="parolesi">
    <w:name w:val="paroles i"/>
    <w:basedOn w:val="paroles"/>
    <w:rsid w:val="009A5B70"/>
    <w:rPr>
      <w:i/>
    </w:rPr>
  </w:style>
  <w:style w:type="paragraph" w:customStyle="1" w:styleId="parolesib">
    <w:name w:val="paroles ib"/>
    <w:basedOn w:val="paroles"/>
    <w:rsid w:val="009A5B70"/>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http://www.alterpresse.org/spip.php?article12657" TargetMode="External"/><Relationship Id="rId21" Type="http://schemas.openxmlformats.org/officeDocument/2006/relationships/hyperlink" Target="mailto:rencyinson@gmail.com" TargetMode="External"/><Relationship Id="rId42" Type="http://schemas.openxmlformats.org/officeDocument/2006/relationships/image" Target="media/image20.jpeg"/><Relationship Id="rId63" Type="http://schemas.openxmlformats.org/officeDocument/2006/relationships/image" Target="media/image37.jpeg"/><Relationship Id="rId84" Type="http://schemas.openxmlformats.org/officeDocument/2006/relationships/image" Target="media/image58.jpeg"/><Relationship Id="rId138" Type="http://schemas.openxmlformats.org/officeDocument/2006/relationships/hyperlink" Target="http://dx.doi.org/doi:10.1522/030153243" TargetMode="External"/><Relationship Id="rId159" Type="http://schemas.openxmlformats.org/officeDocument/2006/relationships/hyperlink" Target="http://www.sudoc.fr/04850243X" TargetMode="External"/><Relationship Id="rId170" Type="http://schemas.openxmlformats.org/officeDocument/2006/relationships/hyperlink" Target="http://www.touthaiti.com/economie/2424-leslie-pean-thomas-jefferson-disait-confiner-la-peste-dans-son-ile-marasme-economique-transmission-des-savoirs-et-langues-6-de-6" TargetMode="External"/><Relationship Id="rId191" Type="http://schemas.openxmlformats.org/officeDocument/2006/relationships/hyperlink" Target="http://www.slateafrique.com/80803/cameroun-afro-americain-spike-lee-racines" TargetMode="External"/><Relationship Id="rId205" Type="http://schemas.openxmlformats.org/officeDocument/2006/relationships/hyperlink" Target="http://tc.revues.org/4853" TargetMode="External"/><Relationship Id="rId107" Type="http://schemas.openxmlformats.org/officeDocument/2006/relationships/hyperlink" Target="http://lenouvelliste.com/lenouvelliste/article/29379/Patrimoine-National-enfin-le-declic" TargetMode="External"/><Relationship Id="rId11" Type="http://schemas.openxmlformats.org/officeDocument/2006/relationships/hyperlink" Target="http://bibliotheque.uqac.ca/" TargetMode="External"/><Relationship Id="rId32" Type="http://schemas.openxmlformats.org/officeDocument/2006/relationships/image" Target="media/image10.jpeg"/><Relationship Id="rId53" Type="http://schemas.openxmlformats.org/officeDocument/2006/relationships/image" Target="media/image28.png"/><Relationship Id="rId74" Type="http://schemas.openxmlformats.org/officeDocument/2006/relationships/image" Target="media/image48.jpeg"/><Relationship Id="rId128" Type="http://schemas.openxmlformats.org/officeDocument/2006/relationships/hyperlink" Target="http://tice2.univ-reunion.fr/webdocs/crlhoiocs/cresoi/document/article_1810_1880_les_contradictions_du_siecle_du_sucre/les_contradictions_du_siecle_du_sucre.pdf" TargetMode="External"/><Relationship Id="rId149" Type="http://schemas.openxmlformats.org/officeDocument/2006/relationships/hyperlink" Target="http://dx.doi.org/doi:10.1522/030165952" TargetMode="External"/><Relationship Id="rId5" Type="http://schemas.openxmlformats.org/officeDocument/2006/relationships/footnotes" Target="footnotes.xml"/><Relationship Id="rId95" Type="http://schemas.openxmlformats.org/officeDocument/2006/relationships/hyperlink" Target="https://philosophie.cegeptr.qc.ca/wp-content/documents/%C3%89thique-%C3%A0-Nicomaque.pdf" TargetMode="External"/><Relationship Id="rId160" Type="http://schemas.openxmlformats.org/officeDocument/2006/relationships/hyperlink" Target="http://www.sudoc.fr/04850243X" TargetMode="External"/><Relationship Id="rId181" Type="http://schemas.openxmlformats.org/officeDocument/2006/relationships/hyperlink" Target="http://dx.doi.org/doi:10.1522/030174842" TargetMode="External"/><Relationship Id="rId22" Type="http://schemas.openxmlformats.org/officeDocument/2006/relationships/hyperlink" Target="mailto:andersonpierre59@gmail.com" TargetMode="External"/><Relationship Id="rId43" Type="http://schemas.openxmlformats.org/officeDocument/2006/relationships/image" Target="media/image21.jpeg"/><Relationship Id="rId64" Type="http://schemas.openxmlformats.org/officeDocument/2006/relationships/image" Target="media/image38.jpeg"/><Relationship Id="rId118" Type="http://schemas.openxmlformats.org/officeDocument/2006/relationships/hyperlink" Target="http://www.ades.cnrs.fr/IMG/pdf/GDM_PP_et_CT_Poitiers.pdf" TargetMode="External"/><Relationship Id="rId139" Type="http://schemas.openxmlformats.org/officeDocument/2006/relationships/hyperlink" Target="http://classiques.uqac.ca/contemporains/hurbon_laennec/statut_du_vodou_hist_anthropo/statut_du_vodou_hist_anthropo.html" TargetMode="External"/><Relationship Id="rId85" Type="http://schemas.openxmlformats.org/officeDocument/2006/relationships/hyperlink" Target="http://www.designweek.co.uk/whats-on/haiti-art-and-vodou/3035448.article" TargetMode="External"/><Relationship Id="rId150" Type="http://schemas.openxmlformats.org/officeDocument/2006/relationships/hyperlink" Target="http://www.haitilibre.com/article-5597-haiti-politique-texte-de-la-politique-generale-du-premier-ministre-premiere-partie.html" TargetMode="External"/><Relationship Id="rId171" Type="http://schemas.openxmlformats.org/officeDocument/2006/relationships/hyperlink" Target="http://www.alterpresse.org/spip.php?article19029" TargetMode="External"/><Relationship Id="rId192" Type="http://schemas.openxmlformats.org/officeDocument/2006/relationships/hyperlink" Target="http://www.herodote.net/La_traite_un_crime_contre_l_humanite_-article-17.php" TargetMode="External"/><Relationship Id="rId206" Type="http://schemas.openxmlformats.org/officeDocument/2006/relationships/hyperlink" Target="http://www.ipimh.ulaval.ca/fiche-bois-caiman-30.html" TargetMode="External"/><Relationship Id="rId12" Type="http://schemas.openxmlformats.org/officeDocument/2006/relationships/hyperlink" Target="mailto:jean-marie_tremblay@uqac.ca" TargetMode="External"/><Relationship Id="rId33" Type="http://schemas.openxmlformats.org/officeDocument/2006/relationships/image" Target="media/image11.png"/><Relationship Id="rId108" Type="http://schemas.openxmlformats.org/officeDocument/2006/relationships/hyperlink" Target="http://lahic.cnrs.fr/IMG/pdf/Ciarca_perte_durable.pdf" TargetMode="External"/><Relationship Id="rId129" Type="http://schemas.openxmlformats.org/officeDocument/2006/relationships/hyperlink" Target="http://dx.doi.org/doi:10.1522/cla.ham.mem1" TargetMode="External"/><Relationship Id="rId54" Type="http://schemas.openxmlformats.org/officeDocument/2006/relationships/image" Target="media/image29.jpeg"/><Relationship Id="rId75" Type="http://schemas.openxmlformats.org/officeDocument/2006/relationships/image" Target="media/image49.jpeg"/><Relationship Id="rId96" Type="http://schemas.openxmlformats.org/officeDocument/2006/relationships/hyperlink" Target="http://www.ipimh.ulaval.ca/fiche-tanbou-marengwen-24.html" TargetMode="External"/><Relationship Id="rId140" Type="http://schemas.openxmlformats.org/officeDocument/2006/relationships/hyperlink" Target="http://gradhiva.revues.org/336" TargetMode="External"/><Relationship Id="rId161" Type="http://schemas.openxmlformats.org/officeDocument/2006/relationships/hyperlink" Target="http://www.napoleon.org/fr/salle_lecture/articles/files/stdomingue_fevrier1802.asp" TargetMode="External"/><Relationship Id="rId182" Type="http://schemas.openxmlformats.org/officeDocument/2006/relationships/hyperlink" Target="http://classiques.uqac.ca/classiques/price_mars_jean/bilan_etudes_haiti/bilan_etudes_haiti.html" TargetMode="External"/><Relationship Id="rId6" Type="http://schemas.openxmlformats.org/officeDocument/2006/relationships/endnotes" Target="endnotes.xml"/><Relationship Id="rId23" Type="http://schemas.openxmlformats.org/officeDocument/2006/relationships/hyperlink" Target="http://classiques.uqac.ca/contemporains/Dorce_ricarson/auteur_photo/dorce_ricarson_photo.html" TargetMode="External"/><Relationship Id="rId119" Type="http://schemas.openxmlformats.org/officeDocument/2006/relationships/hyperlink" Target="http://www.humanite.fr/node/432331" TargetMode="External"/><Relationship Id="rId44" Type="http://schemas.openxmlformats.org/officeDocument/2006/relationships/image" Target="media/image22.jpeg"/><Relationship Id="rId65" Type="http://schemas.openxmlformats.org/officeDocument/2006/relationships/image" Target="media/image39.jpeg"/><Relationship Id="rId86" Type="http://schemas.openxmlformats.org/officeDocument/2006/relationships/image" Target="media/image59.jpeg"/><Relationship Id="rId130" Type="http://schemas.openxmlformats.org/officeDocument/2006/relationships/hyperlink" Target="http://dx.doi.org/doi:10.1522/cla.ham.cad" TargetMode="External"/><Relationship Id="rId151" Type="http://schemas.openxmlformats.org/officeDocument/2006/relationships/hyperlink" Target="http://classiques.uqac.ca/contemporains/laroche_maximilien/double_scene_representation/double_scene.html" TargetMode="External"/><Relationship Id="rId172" Type="http://schemas.openxmlformats.org/officeDocument/2006/relationships/hyperlink" Target="http://www.radiokiskeya.com/spip.php?article10254" TargetMode="External"/><Relationship Id="rId193" Type="http://schemas.openxmlformats.org/officeDocument/2006/relationships/hyperlink" Target="http://remacle.org/bloodwolf/erudits/amourabi/code.htm" TargetMode="External"/><Relationship Id="rId207" Type="http://schemas.openxmlformats.org/officeDocument/2006/relationships/image" Target="media/image62.jpeg"/><Relationship Id="rId13" Type="http://schemas.openxmlformats.org/officeDocument/2006/relationships/hyperlink" Target="http://jmt-sociologue.uqac.ca/" TargetMode="External"/><Relationship Id="rId109" Type="http://schemas.openxmlformats.org/officeDocument/2006/relationships/hyperlink" Target="http://unipoplyon.fr/wordpress/wp-content/uploads/2010/04/textes-foucault-pouvoir-2-colonnes-_colson-corcuff-2010_-_2_.pdf" TargetMode="External"/><Relationship Id="rId34" Type="http://schemas.openxmlformats.org/officeDocument/2006/relationships/image" Target="media/image12.jpeg"/><Relationship Id="rId55" Type="http://schemas.openxmlformats.org/officeDocument/2006/relationships/image" Target="media/image30.jpeg"/><Relationship Id="rId76" Type="http://schemas.openxmlformats.org/officeDocument/2006/relationships/image" Target="media/image50.jpeg"/><Relationship Id="rId97" Type="http://schemas.openxmlformats.org/officeDocument/2006/relationships/hyperlink" Target="https://www2.ac-lyon.fr/.../Haiti_histoire_geographie_enseignement_1_.do" TargetMode="External"/><Relationship Id="rId120" Type="http://schemas.openxmlformats.org/officeDocument/2006/relationships/hyperlink" Target="http://temporalites.revues.org/319" TargetMode="External"/><Relationship Id="rId141" Type="http://schemas.openxmlformats.org/officeDocument/2006/relationships/hyperlink" Target="http://dx.doi.org/doi:10.1522/030174467" TargetMode="External"/><Relationship Id="rId7" Type="http://schemas.openxmlformats.org/officeDocument/2006/relationships/hyperlink" Target="http://classiques.uqac.ca/" TargetMode="External"/><Relationship Id="rId162" Type="http://schemas.openxmlformats.org/officeDocument/2006/relationships/hyperlink" Target="http://www.tanbou.com/2008/TrajectoireFrancaisCreoleHaiti.htm" TargetMode="External"/><Relationship Id="rId183" Type="http://schemas.openxmlformats.org/officeDocument/2006/relationships/hyperlink" Target="http://dx.doi.org/doi:10.1522/030174844" TargetMode="External"/><Relationship Id="rId24" Type="http://schemas.openxmlformats.org/officeDocument/2006/relationships/hyperlink" Target="http://classiques.uqac.ca/contemporains/etudes_haitiennes/etudes_haitiennes_index.html" TargetMode="External"/><Relationship Id="rId45" Type="http://schemas.openxmlformats.org/officeDocument/2006/relationships/image" Target="media/image23.jpeg"/><Relationship Id="rId66" Type="http://schemas.openxmlformats.org/officeDocument/2006/relationships/image" Target="media/image40.jpeg"/><Relationship Id="rId87" Type="http://schemas.openxmlformats.org/officeDocument/2006/relationships/hyperlink" Target="http://haiti.sewanee.edu/mirebalais-market/" TargetMode="External"/><Relationship Id="rId110" Type="http://schemas.openxmlformats.org/officeDocument/2006/relationships/hyperlink" Target="http://www.ladocumentationfrancaise.fr/var/storage/rapports-ublics/044000056.pdf" TargetMode="External"/><Relationship Id="rId131" Type="http://schemas.openxmlformats.org/officeDocument/2006/relationships/hyperlink" Target="http://dx.doi.org/doi:10.1522/030174467" TargetMode="External"/><Relationship Id="rId152" Type="http://schemas.openxmlformats.org/officeDocument/2006/relationships/hyperlink" Target="http://www.bf.refer.org/sissao/html/p2chap15_4.html" TargetMode="External"/><Relationship Id="rId173" Type="http://schemas.openxmlformats.org/officeDocument/2006/relationships/hyperlink" Target="http://www.alterpresse.org/spip.php?article14332" TargetMode="External"/><Relationship Id="rId194" Type="http://schemas.openxmlformats.org/officeDocument/2006/relationships/hyperlink" Target="http://open.salon.com/blog/timotuck/2014/11/06/big_lies_about_little_people" TargetMode="External"/><Relationship Id="rId208" Type="http://schemas.openxmlformats.org/officeDocument/2006/relationships/image" Target="media/image63.jpeg"/><Relationship Id="rId19" Type="http://schemas.openxmlformats.org/officeDocument/2006/relationships/hyperlink" Target="https://www.facebook.com/R&#233;seau-des-jeunes-b&#233;n&#233;voles-des-Classiques-de-sc-soc-en-Ha&#239;ti-990201527728211/?fref=ts" TargetMode="External"/><Relationship Id="rId14" Type="http://schemas.openxmlformats.org/officeDocument/2006/relationships/image" Target="media/image4.png"/><Relationship Id="rId30" Type="http://schemas.openxmlformats.org/officeDocument/2006/relationships/hyperlink" Target="http://www.uqac.ca/" TargetMode="External"/><Relationship Id="rId35" Type="http://schemas.openxmlformats.org/officeDocument/2006/relationships/image" Target="media/image13.jpeg"/><Relationship Id="rId56" Type="http://schemas.openxmlformats.org/officeDocument/2006/relationships/image" Target="media/image31.jpeg"/><Relationship Id="rId77" Type="http://schemas.openxmlformats.org/officeDocument/2006/relationships/image" Target="media/image51.jpeg"/><Relationship Id="rId100" Type="http://schemas.openxmlformats.org/officeDocument/2006/relationships/hyperlink" Target="https://www.cairn.info/revue-materiaux-pour-l-histoire-de-notre-temps-2007-1-page-14.htm" TargetMode="External"/><Relationship Id="rId105" Type="http://schemas.openxmlformats.org/officeDocument/2006/relationships/hyperlink" Target="http://gallica.bnf.fr/ark:/12148/bpt6k57838774/f8.item.zoom" TargetMode="External"/><Relationship Id="rId126" Type="http://schemas.openxmlformats.org/officeDocument/2006/relationships/hyperlink" Target="https://monoskop.org/images/5/58/Foucault_Michel_Dits_et_ecrits_4_1980-1988.pdf" TargetMode="External"/><Relationship Id="rId147" Type="http://schemas.openxmlformats.org/officeDocument/2006/relationships/hyperlink" Target="http://www.anamnesis.fl.ulaval.ca/andromeda" TargetMode="External"/><Relationship Id="rId168" Type="http://schemas.openxmlformats.org/officeDocument/2006/relationships/hyperlink" Target="http://www.alterpresse.org/spip.php?article15298" TargetMode="External"/><Relationship Id="rId8" Type="http://schemas.openxmlformats.org/officeDocument/2006/relationships/image" Target="media/image2.jpeg"/><Relationship Id="rId51" Type="http://schemas.openxmlformats.org/officeDocument/2006/relationships/hyperlink" Target="http://classiques.uqac.ca/classiques/price_hannibal/rehabilitation_race_noire_haiti/rehabilitation_race_noire_haiti.html" TargetMode="External"/><Relationship Id="rId72" Type="http://schemas.openxmlformats.org/officeDocument/2006/relationships/image" Target="media/image46.jpeg"/><Relationship Id="rId93" Type="http://schemas.openxmlformats.org/officeDocument/2006/relationships/hyperlink" Target="http://crdp.ac-paris.fr/preacpatrimoinesetdiversite" TargetMode="External"/><Relationship Id="rId98" Type="http://schemas.openxmlformats.org/officeDocument/2006/relationships/hyperlink" Target="http://shakespeare.revues.org/1919" TargetMode="External"/><Relationship Id="rId121" Type="http://schemas.openxmlformats.org/officeDocument/2006/relationships/hyperlink" Target="http://dx.doi.org/doi:10.1522/030294731" TargetMode="External"/><Relationship Id="rId142" Type="http://schemas.openxmlformats.org/officeDocument/2006/relationships/hyperlink" Target="http://dx.doi.org/doi:10.1522/030174406" TargetMode="External"/><Relationship Id="rId163" Type="http://schemas.openxmlformats.org/officeDocument/2006/relationships/hyperlink" Target="http://www.minustah.org/le-rara-rythme-vaudou/" TargetMode="External"/><Relationship Id="rId184" Type="http://schemas.openxmlformats.org/officeDocument/2006/relationships/hyperlink" Target="http://etudescaribeennes.revues.org/390" TargetMode="External"/><Relationship Id="rId189" Type="http://schemas.openxmlformats.org/officeDocument/2006/relationships/hyperlink" Target="http://lenouvelliste.com/lenouvelliste%20/article/127340/Le-patrimoine-gastronomique-haitien-un-marqueur-identitaire-et-un-atout-pour-le-developpement-touristique-durable.html" TargetMode="External"/><Relationship Id="rId3" Type="http://schemas.openxmlformats.org/officeDocument/2006/relationships/settings" Target="settings.xml"/><Relationship Id="rId214" Type="http://schemas.openxmlformats.org/officeDocument/2006/relationships/fontTable" Target="fontTable.xml"/><Relationship Id="rId25" Type="http://schemas.openxmlformats.org/officeDocument/2006/relationships/image" Target="media/image8.jpeg"/><Relationship Id="rId46" Type="http://schemas.openxmlformats.org/officeDocument/2006/relationships/image" Target="media/image24.jpeg"/><Relationship Id="rId67" Type="http://schemas.openxmlformats.org/officeDocument/2006/relationships/image" Target="media/image41.jpeg"/><Relationship Id="rId116" Type="http://schemas.openxmlformats.org/officeDocument/2006/relationships/hyperlink" Target="http://www.politique-actu.com/debat/haiti-regis-debray/55859/" TargetMode="External"/><Relationship Id="rId137" Type="http://schemas.openxmlformats.org/officeDocument/2006/relationships/hyperlink" Target="http://classiques.uqac.ca/contemporains/hoffmann_leon_francois/complexite_%20linguistique/complexite_linguistique_texte.html" TargetMode="External"/><Relationship Id="rId158" Type="http://schemas.openxmlformats.org/officeDocument/2006/relationships/hyperlink" Target="http://unesdoc.unesco.org/images/0013/001337/133738f.pdf" TargetMode="External"/><Relationship Id="rId20" Type="http://schemas.openxmlformats.org/officeDocument/2006/relationships/image" Target="media/image7.jpeg"/><Relationship Id="rId41" Type="http://schemas.openxmlformats.org/officeDocument/2006/relationships/image" Target="media/image19.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0.jpeg"/><Relationship Id="rId111" Type="http://schemas.openxmlformats.org/officeDocument/2006/relationships/hyperlink" Target="http://www.ladocumentationfrancaise.fr/var/storage/rapports-publics/074000374/0000.pdf" TargetMode="External"/><Relationship Id="rId132" Type="http://schemas.openxmlformats.org/officeDocument/2006/relationships/hyperlink" Target="http://www.persee.fr/web/revues/home/prescript/article/ahrf_00034436_%201993_%20%20num_%20293_1_3395" TargetMode="External"/><Relationship Id="rId153" Type="http://schemas.openxmlformats.org/officeDocument/2006/relationships/hyperlink" Target="http://osp.revues.org/752" TargetMode="External"/><Relationship Id="rId174" Type="http://schemas.openxmlformats.org/officeDocument/2006/relationships/hyperlink" Target="http://www.alterpresse.org/spip.php?article15461" TargetMode="External"/><Relationship Id="rId179" Type="http://schemas.openxmlformats.org/officeDocument/2006/relationships/hyperlink" Target="http://dx.doi.org/doi:10.1522/030174844" TargetMode="External"/><Relationship Id="rId195" Type="http://schemas.openxmlformats.org/officeDocument/2006/relationships/hyperlink" Target="http://www.canalplushaiti.net/haitifrancelyonel-trouillot-la-france-nous-a-fait-violence/" TargetMode="External"/><Relationship Id="rId209" Type="http://schemas.openxmlformats.org/officeDocument/2006/relationships/image" Target="media/image64.jpeg"/><Relationship Id="rId190" Type="http://schemas.openxmlformats.org/officeDocument/2006/relationships/hyperlink" Target="http://www.pyepimanla.com/octobre-novembre/articles/art-culture/poete-humaniste" TargetMode="External"/><Relationship Id="rId204" Type="http://schemas.openxmlformats.org/officeDocument/2006/relationships/hyperlink" Target="http://lenouvelliste.com/lenouvelliste/article/102799/Price-Mars-expulse-de-lindigenisme" TargetMode="External"/><Relationship Id="rId15" Type="http://schemas.openxmlformats.org/officeDocument/2006/relationships/hyperlink" Target="mailto:jeanronaldaugustin@gmail.com" TargetMode="External"/><Relationship Id="rId36" Type="http://schemas.openxmlformats.org/officeDocument/2006/relationships/image" Target="media/image14.jpeg"/><Relationship Id="rId57" Type="http://schemas.openxmlformats.org/officeDocument/2006/relationships/image" Target="media/image32.jpeg"/><Relationship Id="rId106" Type="http://schemas.openxmlformats.org/officeDocument/2006/relationships/hyperlink" Target="http://gradhiva.revues.org/313" TargetMode="External"/><Relationship Id="rId127" Type="http://schemas.openxmlformats.org/officeDocument/2006/relationships/hyperlink" Target="https://monoskop.org/images/2/22/Foucault_Michel_Surveiller_et_Punir_Naissance_de_la_Prison_2004.pdf" TargetMode="External"/><Relationship Id="rId10" Type="http://schemas.openxmlformats.org/officeDocument/2006/relationships/image" Target="media/image3.jpeg"/><Relationship Id="rId31" Type="http://schemas.openxmlformats.org/officeDocument/2006/relationships/hyperlink" Target="http://classiques.uqac.ca/" TargetMode="External"/><Relationship Id="rId52" Type="http://schemas.openxmlformats.org/officeDocument/2006/relationships/image" Target="media/image27.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hyperlink" Target="http://www.analuciaaraujo.org/wp-content/uploads/2010/08/Araujo-Lusotopie.pdf" TargetMode="External"/><Relationship Id="rId99" Type="http://schemas.openxmlformats.org/officeDocument/2006/relationships/hyperlink" Target="http://www.philippe-berthelot-conteur.com/le-conte-traditionnel-d%C3%A9finition/" TargetMode="External"/><Relationship Id="rId101" Type="http://schemas.openxmlformats.org/officeDocument/2006/relationships/hyperlink" Target="http://lenouvelliste.com/lenouvelliste/article/134823/A-propos-des-vepres-de-Jeremie" TargetMode="External"/><Relationship Id="rId122" Type="http://schemas.openxmlformats.org/officeDocument/2006/relationships/hyperlink" Target="http://dx.doi.org/doi:10.1522/030294726" TargetMode="External"/><Relationship Id="rId143" Type="http://schemas.openxmlformats.org/officeDocument/2006/relationships/hyperlink" Target="http://classiques.uqac.ca/contemporains/hurbon_laennec/culture_et_dictature_en_Haiti/culture_et_dictature_en_Haiti.html" TargetMode="External"/><Relationship Id="rId148" Type="http://schemas.openxmlformats.org/officeDocument/2006/relationships/hyperlink" Target="http://lenouvelliste.com/lenouvelliste/article/124076/Dessalines-a-la-rencontre-de-Petion-Au-dela-du-slogan-politique.html" TargetMode="External"/><Relationship Id="rId164" Type="http://schemas.openxmlformats.org/officeDocument/2006/relationships/hyperlink" Target="http://echogeo.revues.org/11300" TargetMode="External"/><Relationship Id="rId169" Type="http://schemas.openxmlformats.org/officeDocument/2006/relationships/hyperlink" Target="Leslie%20P&#233;an,%20" TargetMode="External"/><Relationship Id="rId185" Type="http://schemas.openxmlformats.org/officeDocument/2006/relationships/hyperlink" Target="http://classiques.uqac.ca/contemporains/regulus_samuel/vodou_haitien_patrimonialite_enjeux/vodou_haitien.html" TargetMode="External"/><Relationship Id="rId4" Type="http://schemas.openxmlformats.org/officeDocument/2006/relationships/webSettings" Target="webSettings.xml"/><Relationship Id="rId9" Type="http://schemas.openxmlformats.org/officeDocument/2006/relationships/hyperlink" Target="http://classiques.uqac.ca/" TargetMode="External"/><Relationship Id="rId180" Type="http://schemas.openxmlformats.org/officeDocument/2006/relationships/hyperlink" Target="http://dx.doi.org/doi:10.1522/030151754" TargetMode="External"/><Relationship Id="rId210" Type="http://schemas.openxmlformats.org/officeDocument/2006/relationships/image" Target="media/image65.jpeg"/><Relationship Id="rId215" Type="http://schemas.openxmlformats.org/officeDocument/2006/relationships/theme" Target="theme/theme1.xml"/><Relationship Id="rId26" Type="http://schemas.openxmlformats.org/officeDocument/2006/relationships/hyperlink" Target="http://www.scienceetbiencommun.org/" TargetMode="External"/><Relationship Id="rId47" Type="http://schemas.openxmlformats.org/officeDocument/2006/relationships/image" Target="media/image25.jpeg"/><Relationship Id="rId68" Type="http://schemas.openxmlformats.org/officeDocument/2006/relationships/image" Target="media/image42.jpeg"/><Relationship Id="rId89" Type="http://schemas.openxmlformats.org/officeDocument/2006/relationships/image" Target="media/image61.jpeg"/><Relationship Id="rId112" Type="http://schemas.openxmlformats.org/officeDocument/2006/relationships/hyperlink" Target="http://www.karthala.com/esclavages/2324-traites-et-les-esclavages-les-perspectives-historiques-et-contemporaines.html" TargetMode="External"/><Relationship Id="rId133" Type="http://schemas.openxmlformats.org/officeDocument/2006/relationships/hyperlink" Target="http://dx.doi.org/doi:10.1522/030596162" TargetMode="External"/><Relationship Id="rId154" Type="http://schemas.openxmlformats.org/officeDocument/2006/relationships/hyperlink" Target="http://bcs.fltr.ucl.ac.be/fe/05/toponymie.html" TargetMode="External"/><Relationship Id="rId175" Type="http://schemas.openxmlformats.org/officeDocument/2006/relationships/hyperlink" Target="http://lenouvelliste.com/lenouvelliste/article/41536/Texte-de-presentation-de-Leslie-Pean-a-lAcademie-Dominicaine-dHistoire" TargetMode="External"/><Relationship Id="rId196" Type="http://schemas.openxmlformats.org/officeDocument/2006/relationships/hyperlink" Target="http://www.cairn.info/revue-internationale-des-sciences-sociales-2006-2-page-205.htm" TargetMode="External"/><Relationship Id="rId200" Type="http://schemas.openxmlformats.org/officeDocument/2006/relationships/hyperlink" Target="http://www.un.org/french/WCAR/durban_fr.pdf%20septembre%202001" TargetMode="External"/><Relationship Id="rId16" Type="http://schemas.openxmlformats.org/officeDocument/2006/relationships/hyperlink" Target="mailto:dorce87@yahoo.fr" TargetMode="External"/><Relationship Id="rId37" Type="http://schemas.openxmlformats.org/officeDocument/2006/relationships/image" Target="media/image15.jpeg"/><Relationship Id="rId58" Type="http://schemas.openxmlformats.org/officeDocument/2006/relationships/hyperlink" Target="http://www.timogrubing.de/portfolio/laden-der-traeume/karte-tortuga/" TargetMode="External"/><Relationship Id="rId79" Type="http://schemas.openxmlformats.org/officeDocument/2006/relationships/image" Target="media/image53.jpeg"/><Relationship Id="rId102" Type="http://schemas.openxmlformats.org/officeDocument/2006/relationships/hyperlink" Target="https://vimeo.com/22572070" TargetMode="External"/><Relationship Id="rId123" Type="http://schemas.openxmlformats.org/officeDocument/2006/relationships/hyperlink" Target="https://hal.archives-ouvertes.fr/halshs.../document" TargetMode="External"/><Relationship Id="rId144" Type="http://schemas.openxmlformats.org/officeDocument/2006/relationships/hyperlink" Target="http://www.unesco.org/csi/pub/papers/papf24.htm" TargetMode="External"/><Relationship Id="rId90" Type="http://schemas.openxmlformats.org/officeDocument/2006/relationships/hyperlink" Target="http://www.ipimh.ulaval.ca/fiche-soupe-joumou-36.html" TargetMode="External"/><Relationship Id="rId165" Type="http://schemas.openxmlformats.org/officeDocument/2006/relationships/hyperlink" Target="http://anabases.revues.org/1531" TargetMode="External"/><Relationship Id="rId186" Type="http://schemas.openxmlformats.org/officeDocument/2006/relationships/hyperlink" Target="http://portail.unesco.org/culture/fr/.html" TargetMode="External"/><Relationship Id="rId211" Type="http://schemas.openxmlformats.org/officeDocument/2006/relationships/image" Target="media/image66.jpeg"/><Relationship Id="rId27" Type="http://schemas.openxmlformats.org/officeDocument/2006/relationships/image" Target="media/image9.jpeg"/><Relationship Id="rId48" Type="http://schemas.openxmlformats.org/officeDocument/2006/relationships/hyperlink" Target="http://quoteimg.com/jean-jacques-dessalines-quotes/" TargetMode="External"/><Relationship Id="rId69" Type="http://schemas.openxmlformats.org/officeDocument/2006/relationships/image" Target="media/image43.jpeg"/><Relationship Id="rId113" Type="http://schemas.openxmlformats.org/officeDocument/2006/relationships/hyperlink" Target="http://www.liberation.fr/planete/2010/03/25/haitila-dette-originelle_617159" TargetMode="External"/><Relationship Id="rId134" Type="http://schemas.openxmlformats.org/officeDocument/2006/relationships/hyperlink" Target="http://classiques.uqac.ca/contemporains/hoffmann_leon_francois/Haiti_couleurs_croyances_creole/Haiti_couleurs_croyances_creole.html" TargetMode="External"/><Relationship Id="rId80" Type="http://schemas.openxmlformats.org/officeDocument/2006/relationships/image" Target="media/image54.jpeg"/><Relationship Id="rId155" Type="http://schemas.openxmlformats.org/officeDocument/2006/relationships/hyperlink" Target="http://www.slate.fr/story/4839/la-traite-n&#233;gri&#232;re-reste-un-sujet-tabou" TargetMode="External"/><Relationship Id="rId176" Type="http://schemas.openxmlformats.org/officeDocument/2006/relationships/hyperlink" Target="http://radiokiskeya.com/spip.php?breve1605" TargetMode="External"/><Relationship Id="rId197" Type="http://schemas.openxmlformats.org/officeDocument/2006/relationships/hyperlink" Target="http://unesdoc.unesco.org/" TargetMode="External"/><Relationship Id="rId201" Type="http://schemas.openxmlformats.org/officeDocument/2006/relationships/hyperlink" Target="http://www.unesco.org/bpi/pdf/memobpi50_slavery_fr.pdf" TargetMode="External"/><Relationship Id="rId17" Type="http://schemas.openxmlformats.org/officeDocument/2006/relationships/image" Target="media/image5.png"/><Relationship Id="rId38" Type="http://schemas.openxmlformats.org/officeDocument/2006/relationships/image" Target="media/image16.jpeg"/><Relationship Id="rId59" Type="http://schemas.openxmlformats.org/officeDocument/2006/relationships/image" Target="media/image33.emf"/><Relationship Id="rId103" Type="http://schemas.openxmlformats.org/officeDocument/2006/relationships/hyperlink" Target="http://gradhiva.revues.org/301" TargetMode="External"/><Relationship Id="rId124" Type="http://schemas.openxmlformats.org/officeDocument/2006/relationships/hyperlink" Target="http://www.lemonde.fr/afrique/article/2015/05/10/cinq-choses-a-savoir-sur-le-memorial-acte-enguadeloupe_4630682_3212.html" TargetMode="External"/><Relationship Id="rId70" Type="http://schemas.openxmlformats.org/officeDocument/2006/relationships/image" Target="media/image44.jpeg"/><Relationship Id="rId91" Type="http://schemas.openxmlformats.org/officeDocument/2006/relationships/hyperlink" Target="http://lenouvelliste.com/.../Haiti-pays-sans-papier.html" TargetMode="External"/><Relationship Id="rId145" Type="http://schemas.openxmlformats.org/officeDocument/2006/relationships/hyperlink" Target="http://lenouvelliste.com/lenouvelliste/article/140039/Pour-les-20-ans-de-La-Route-de-lesclave" TargetMode="External"/><Relationship Id="rId166" Type="http://schemas.openxmlformats.org/officeDocument/2006/relationships/hyperlink" Target="http://www.lefigaro.fr/international/2010/02/04/01003-20100204ARTFIG00002-en-haiti-le-vaudou-est-toujours-debout-.php" TargetMode="External"/><Relationship Id="rId187" Type="http://schemas.openxmlformats.org/officeDocument/2006/relationships/hyperlink" Target="http://classiques.uqac.ca/classiques/roumain_jacques/gouverneurs_de_la_rosee/gouverneurs_de_la_rosee.html" TargetMode="External"/><Relationship Id="rId1" Type="http://schemas.openxmlformats.org/officeDocument/2006/relationships/numbering" Target="numbering.xml"/><Relationship Id="rId212" Type="http://schemas.openxmlformats.org/officeDocument/2006/relationships/image" Target="media/image67.jpeg"/><Relationship Id="rId28" Type="http://schemas.openxmlformats.org/officeDocument/2006/relationships/hyperlink" Target="http://scienceetbiencommun.org/" TargetMode="External"/><Relationship Id="rId49" Type="http://schemas.openxmlformats.org/officeDocument/2006/relationships/image" Target="media/image26.jpeg"/><Relationship Id="rId114" Type="http://schemas.openxmlformats.org/officeDocument/2006/relationships/hyperlink" Target="http://www.ipimh.ulaval.ca/fiche-rara-leogane-19.html" TargetMode="External"/><Relationship Id="rId60" Type="http://schemas.openxmlformats.org/officeDocument/2006/relationships/image" Target="media/image34.jpeg"/><Relationship Id="rId81" Type="http://schemas.openxmlformats.org/officeDocument/2006/relationships/image" Target="media/image55.jpeg"/><Relationship Id="rId135" Type="http://schemas.openxmlformats.org/officeDocument/2006/relationships/hyperlink" Target="http://dx.doi.org/doi:10.1522/030592957" TargetMode="External"/><Relationship Id="rId156" Type="http://schemas.openxmlformats.org/officeDocument/2006/relationships/hyperlink" Target="http://www.listindiario.com/puntos-de-vista/2013/09/30/294004/la-sentencia-del-tc" TargetMode="External"/><Relationship Id="rId177" Type="http://schemas.openxmlformats.org/officeDocument/2006/relationships/hyperlink" Target="http://dx.doi.org/doi:10.1522/cla.pij.pen" TargetMode="External"/><Relationship Id="rId198" Type="http://schemas.openxmlformats.org/officeDocument/2006/relationships/hyperlink" Target="http://unesdoc.unesco.org/images/0022/002284/228475f.pdf" TargetMode="External"/><Relationship Id="rId202" Type="http://schemas.openxmlformats.org/officeDocument/2006/relationships/hyperlink" Target="http://www.questia.com/read/1P3-1476918131/maurice-dartigue-educational-reform-and-intellectual" TargetMode="External"/><Relationship Id="rId18" Type="http://schemas.openxmlformats.org/officeDocument/2006/relationships/image" Target="media/image6.jpeg"/><Relationship Id="rId39" Type="http://schemas.openxmlformats.org/officeDocument/2006/relationships/image" Target="media/image17.jpeg"/><Relationship Id="rId50" Type="http://schemas.openxmlformats.org/officeDocument/2006/relationships/hyperlink" Target="http://classiques.uqac.ca/classiques/firmin_antenor/de_egalite_races_humaines/de_egalite_races_humaines.html" TargetMode="External"/><Relationship Id="rId104" Type="http://schemas.openxmlformats.org/officeDocument/2006/relationships/hyperlink" Target="http://www.persee.fr/doc/hom_0439-4216_1998_num_38_145_370431" TargetMode="External"/><Relationship Id="rId125" Type="http://schemas.openxmlformats.org/officeDocument/2006/relationships/hyperlink" Target="https://monoskop.org/images/9/99/Foucault_Michel_Il_faut_defendre_la_societe.pdf" TargetMode="External"/><Relationship Id="rId146" Type="http://schemas.openxmlformats.org/officeDocument/2006/relationships/hyperlink" Target="http://www.parl.gc.ca/content/lop/researchpublications/933-f.htm" TargetMode="External"/><Relationship Id="rId167" Type="http://schemas.openxmlformats.org/officeDocument/2006/relationships/hyperlink" Target="http://www.un.org/french/WCAR/durban_fr.pdf" TargetMode="External"/><Relationship Id="rId188" Type="http://schemas.openxmlformats.org/officeDocument/2006/relationships/hyperlink" Target="http://www.abbaye-saint-benoit.ch/saints/augustin/citededieu/livre19.htm" TargetMode="External"/><Relationship Id="rId71" Type="http://schemas.openxmlformats.org/officeDocument/2006/relationships/image" Target="media/image45.jpeg"/><Relationship Id="rId92" Type="http://schemas.openxmlformats.org/officeDocument/2006/relationships/hyperlink" Target="http://www.alterpresse.org/spip.php?article14015" TargetMode="External"/><Relationship Id="rId213"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www.ueh.edu.ht/" TargetMode="External"/><Relationship Id="rId40" Type="http://schemas.openxmlformats.org/officeDocument/2006/relationships/image" Target="media/image18.jpeg"/><Relationship Id="rId115" Type="http://schemas.openxmlformats.org/officeDocument/2006/relationships/hyperlink" Target="http://id.erudit.org/iderudit/303814ar" TargetMode="External"/><Relationship Id="rId136" Type="http://schemas.openxmlformats.org/officeDocument/2006/relationships/hyperlink" Target="http://dx.doi.org/doi:10.1522/030596485" TargetMode="External"/><Relationship Id="rId157" Type="http://schemas.openxmlformats.org/officeDocument/2006/relationships/hyperlink" Target="https://archive.org/details/lacrisehaitienne00mani" TargetMode="External"/><Relationship Id="rId178" Type="http://schemas.openxmlformats.org/officeDocument/2006/relationships/hyperlink" Target="http://classiques.uqac.ca/classiques/price_hannibal/rehabilitation_race_noire_haiti/rehabilitation_race_noire_haiti.html" TargetMode="External"/><Relationship Id="rId61" Type="http://schemas.openxmlformats.org/officeDocument/2006/relationships/image" Target="media/image35.emf"/><Relationship Id="rId82" Type="http://schemas.openxmlformats.org/officeDocument/2006/relationships/image" Target="media/image56.jpeg"/><Relationship Id="rId199" Type="http://schemas.openxmlformats.org/officeDocument/2006/relationships/hyperlink" Target="http://portail.unesco.org/culture/fr/ev.php-URL_ID=25659&amp;URL_DO=DO_TOPIC&amp;URL_SECTION=201.html" TargetMode="External"/><Relationship Id="rId203" Type="http://schemas.openxmlformats.org/officeDocument/2006/relationships/hyperlink" Target="http://cafe-geo.net/wp-content/uploads/processus-patrimonialisation.pdf"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classiques.uqac.ca/contemporains/hurbon_laennec/culture_et_dictature_en_Haiti/culture_et_dictature_en_Haiti.html" TargetMode="External"/><Relationship Id="rId21" Type="http://schemas.openxmlformats.org/officeDocument/2006/relationships/hyperlink" Target="http://dx.doi.org/10.3917/rhis.061.0139" TargetMode="External"/><Relationship Id="rId42" Type="http://schemas.openxmlformats.org/officeDocument/2006/relationships/hyperlink" Target="http://www.larousse.fr/encyclopedie/pays/R%C3%A9publique_dominicaine/116821" TargetMode="External"/><Relationship Id="rId63" Type="http://schemas.openxmlformats.org/officeDocument/2006/relationships/hyperlink" Target="http://www.un.org/fr/rights/overview/themes/culture.shtml" TargetMode="External"/><Relationship Id="rId84" Type="http://schemas.openxmlformats.org/officeDocument/2006/relationships/hyperlink" Target="http://dx.doi.org/doi:10.1522/030174842" TargetMode="External"/><Relationship Id="rId138" Type="http://schemas.openxmlformats.org/officeDocument/2006/relationships/hyperlink" Target="http://www.medecinsdumonde.org/Nos-Combats/Priorites-d-action/Crises-et-conflits" TargetMode="External"/><Relationship Id="rId159" Type="http://schemas.openxmlformats.org/officeDocument/2006/relationships/hyperlink" Target="http://www.unesco.org/csi/pub/papers/papf24.htm" TargetMode="External"/><Relationship Id="rId170" Type="http://schemas.openxmlformats.org/officeDocument/2006/relationships/hyperlink" Target="http://www.canalplushaiti.net/haitifrancelyonel-trouillot-la-france-nous-a-fait-violence/" TargetMode="External"/><Relationship Id="rId107" Type="http://schemas.openxmlformats.org/officeDocument/2006/relationships/hyperlink" Target="http://www.mappinghaitianhistory.com/marchand-dessalines/" TargetMode="External"/><Relationship Id="rId11" Type="http://schemas.openxmlformats.org/officeDocument/2006/relationships/hyperlink" Target="http://ressources-cla.univ-fcomte.fr/gerflint/Baltique8/vihalem.pdf" TargetMode="External"/><Relationship Id="rId32" Type="http://schemas.openxmlformats.org/officeDocument/2006/relationships/hyperlink" Target="http://www.ohchr.org/Documents/Events/IYPAD/EURESCL.pdf" TargetMode="External"/><Relationship Id="rId53" Type="http://schemas.openxmlformats.org/officeDocument/2006/relationships/hyperlink" Target="https://monoskop.org/images/4/40/Foucault_Michel_Les_mots_et_les_choses.pdf" TargetMode="External"/><Relationship Id="rId74" Type="http://schemas.openxmlformats.org/officeDocument/2006/relationships/hyperlink" Target="http://www.ades.cnrs.fr/IMG/pdf/GDM_PP_et_CT_Poitiers.pdf" TargetMode="External"/><Relationship Id="rId128" Type="http://schemas.openxmlformats.org/officeDocument/2006/relationships/hyperlink" Target="http://www.lefigaro.fr/international/2010/02/04/01003-20100204ARTFIG00002-en-haiti-le-vaudou-est-toujours-debout-.php" TargetMode="External"/><Relationship Id="rId149" Type="http://schemas.openxmlformats.org/officeDocument/2006/relationships/hyperlink" Target="https://www.youtube.com/watch?v=fqdhtoi_ZgM" TargetMode="External"/><Relationship Id="rId5" Type="http://schemas.openxmlformats.org/officeDocument/2006/relationships/hyperlink" Target="http://www.alterpresse.org/spip.php?article15298" TargetMode="External"/><Relationship Id="rId95" Type="http://schemas.openxmlformats.org/officeDocument/2006/relationships/hyperlink" Target="http://radiokiskeya.com/spip.php?article6685" TargetMode="External"/><Relationship Id="rId160" Type="http://schemas.openxmlformats.org/officeDocument/2006/relationships/hyperlink" Target="http://www.unesco.org/csi/pub/papers/papf211.htm" TargetMode="External"/><Relationship Id="rId22" Type="http://schemas.openxmlformats.org/officeDocument/2006/relationships/hyperlink" Target="http://anabases.revues.org/1531" TargetMode="External"/><Relationship Id="rId43" Type="http://schemas.openxmlformats.org/officeDocument/2006/relationships/hyperlink" Target="http://www.alterpresse.org/spip.php?article15298" TargetMode="External"/><Relationship Id="rId64" Type="http://schemas.openxmlformats.org/officeDocument/2006/relationships/hyperlink" Target="http://gradhiva.revues.org/313" TargetMode="External"/><Relationship Id="rId118" Type="http://schemas.openxmlformats.org/officeDocument/2006/relationships/hyperlink" Target="http://www.philippe-berthelot-conteur.com/le-conte-traditionnel-d%C3%A9finition/" TargetMode="External"/><Relationship Id="rId139" Type="http://schemas.openxmlformats.org/officeDocument/2006/relationships/hyperlink" Target="http://dx.doi.org/10.3406/rfsp.2002.403712" TargetMode="External"/><Relationship Id="rId85" Type="http://schemas.openxmlformats.org/officeDocument/2006/relationships/hyperlink" Target="http://lenouvelliste.com/lenouvelliste/article/73917/Jean-F-Brierre-poete-humaniste" TargetMode="External"/><Relationship Id="rId150" Type="http://schemas.openxmlformats.org/officeDocument/2006/relationships/hyperlink" Target="http://www.oas.org/juridico/PDFs/XXI_hti.doc" TargetMode="External"/><Relationship Id="rId171" Type="http://schemas.openxmlformats.org/officeDocument/2006/relationships/hyperlink" Target="http://www.unesco.org/bpi/pdf/memobpi50_slavery_fr.pdf" TargetMode="External"/><Relationship Id="rId12" Type="http://schemas.openxmlformats.org/officeDocument/2006/relationships/hyperlink" Target="http://dx.doi.org/doi:10.1522/030151754" TargetMode="External"/><Relationship Id="rId33" Type="http://schemas.openxmlformats.org/officeDocument/2006/relationships/hyperlink" Target="http://www.un.org/french/WCAR/durban_fr.pdf" TargetMode="External"/><Relationship Id="rId108" Type="http://schemas.openxmlformats.org/officeDocument/2006/relationships/hyperlink" Target="http://www4.culture.fr/patrimoines/patrimoine_monumental_et_archeologique/insitu/image.xsp?numero=3&amp;id_article=v8-64&amp;no_image=10" TargetMode="External"/><Relationship Id="rId129" Type="http://schemas.openxmlformats.org/officeDocument/2006/relationships/hyperlink" Target="http://dx.doi.org/doi:10.1522/030294726" TargetMode="External"/><Relationship Id="rId54" Type="http://schemas.openxmlformats.org/officeDocument/2006/relationships/hyperlink" Target="http://classiques.uqac.ca/classiques/price_hannibal/rehabilitation_race_noire_haiti/rehabilitation_race_noire_haiti.html" TargetMode="External"/><Relationship Id="rId70" Type="http://schemas.openxmlformats.org/officeDocument/2006/relationships/hyperlink" Target="http://dx.doi.org/doi:10.1522/030138119" TargetMode="External"/><Relationship Id="rId75" Type="http://schemas.openxmlformats.org/officeDocument/2006/relationships/hyperlink" Target="http://www.persee.fr/web/revues/home/prescript/article/ahrf_0003-4436_1993_num_293_1_3395" TargetMode="External"/><Relationship Id="rId91" Type="http://schemas.openxmlformats.org/officeDocument/2006/relationships/hyperlink" Target="http://www.ipimh.ulaval.ca/fiche-tanbou-marengwen-24.html" TargetMode="External"/><Relationship Id="rId96" Type="http://schemas.openxmlformats.org/officeDocument/2006/relationships/hyperlink" Target="http://lenouvelliste.com/lenouvelliste/article/134823/A-propos-des-vepres-de-Jeremie" TargetMode="External"/><Relationship Id="rId140" Type="http://schemas.openxmlformats.org/officeDocument/2006/relationships/hyperlink" Target="http://etudescaribeennes.revues.org/390" TargetMode="External"/><Relationship Id="rId145" Type="http://schemas.openxmlformats.org/officeDocument/2006/relationships/hyperlink" Target="http://lenouvelliste.com/lenouvelliste/article/125887/La-diaspora-haitienne-commemore-les-210-ans-de-lindependance-dHaiti.html" TargetMode="External"/><Relationship Id="rId161" Type="http://schemas.openxmlformats.org/officeDocument/2006/relationships/hyperlink" Target="http://unesdoc.unesco.org/" TargetMode="External"/><Relationship Id="rId166" Type="http://schemas.openxmlformats.org/officeDocument/2006/relationships/hyperlink" Target="http://lenouvelliste.com/lenouvelliste/article/140039/Pour-les-20-ans-de-La-Route-de-lesclave" TargetMode="External"/><Relationship Id="rId1" Type="http://schemas.openxmlformats.org/officeDocument/2006/relationships/hyperlink" Target="http://www.humanite.fr/node/432331" TargetMode="External"/><Relationship Id="rId6" Type="http://schemas.openxmlformats.org/officeDocument/2006/relationships/hyperlink" Target="http://dx.doi.org/doi:10.1522/cla.ham.mem1" TargetMode="External"/><Relationship Id="rId23" Type="http://schemas.openxmlformats.org/officeDocument/2006/relationships/hyperlink" Target="http://www.abbaye-saint-benoit.ch/saints/augustin/citededieu/livre19.htm" TargetMode="External"/><Relationship Id="rId28" Type="http://schemas.openxmlformats.org/officeDocument/2006/relationships/hyperlink" Target="http://www.jeuneafrique.com/Article/" TargetMode="External"/><Relationship Id="rId49" Type="http://schemas.openxmlformats.org/officeDocument/2006/relationships/hyperlink" Target="http://classiques.uqac.ca/contemporains/hurbon_laennec/insurrection_esclaves/insurrection_esclaves_tdm.html" TargetMode="External"/><Relationship Id="rId114" Type="http://schemas.openxmlformats.org/officeDocument/2006/relationships/hyperlink" Target="http://www.alterpresse.org/spip.php?article14015" TargetMode="External"/><Relationship Id="rId119" Type="http://schemas.openxmlformats.org/officeDocument/2006/relationships/hyperlink" Target="http://www.tanbou.com/2008/TrajectoireFrancaisCreoleHaiti.htm" TargetMode="External"/><Relationship Id="rId44" Type="http://schemas.openxmlformats.org/officeDocument/2006/relationships/hyperlink" Target="http://www.listindiario.com/puntos-de-vista/2013/09/30/294004/la-sentencia-del-tc" TargetMode="External"/><Relationship Id="rId60" Type="http://schemas.openxmlformats.org/officeDocument/2006/relationships/hyperlink" Target="http://www.gestiondesarts.com/media/wysiwyg/documents/Colbert_Politiquesculturelles.pdf" TargetMode="External"/><Relationship Id="rId65" Type="http://schemas.openxmlformats.org/officeDocument/2006/relationships/hyperlink" Target="http://oxi80.com/LLFOOWC54/edito_du_service_culturel.pdf" TargetMode="External"/><Relationship Id="rId81" Type="http://schemas.openxmlformats.org/officeDocument/2006/relationships/hyperlink" Target="http://gradhiva.revues.org/301" TargetMode="External"/><Relationship Id="rId86" Type="http://schemas.openxmlformats.org/officeDocument/2006/relationships/hyperlink" Target="http://id.erudit.org/iderudit/500516ar" TargetMode="External"/><Relationship Id="rId130" Type="http://schemas.openxmlformats.org/officeDocument/2006/relationships/hyperlink" Target="https://hal.archives-ouvertes.fr/halshs.../document" TargetMode="External"/><Relationship Id="rId135" Type="http://schemas.openxmlformats.org/officeDocument/2006/relationships/hyperlink" Target="http://www.ipimh.ulaval.ca/fiche-soupe-joumou-36.html" TargetMode="External"/><Relationship Id="rId151" Type="http://schemas.openxmlformats.org/officeDocument/2006/relationships/hyperlink" Target="http://osp.revues.org/752" TargetMode="External"/><Relationship Id="rId156" Type="http://schemas.openxmlformats.org/officeDocument/2006/relationships/hyperlink" Target="http://etudescaribeennes.revues.org/390" TargetMode="External"/><Relationship Id="rId172" Type="http://schemas.openxmlformats.org/officeDocument/2006/relationships/hyperlink" Target="Karl%20Marx,%20Capital" TargetMode="External"/><Relationship Id="rId13" Type="http://schemas.openxmlformats.org/officeDocument/2006/relationships/hyperlink" Target="http://classiques.uqac.ca/contemporains/hoffmann_leon_francois/Haiti_couleurs_croyances_creole/Haiti_couleurs_croyances_creole.html" TargetMode="External"/><Relationship Id="rId18" Type="http://schemas.openxmlformats.org/officeDocument/2006/relationships/hyperlink" Target="http://lahic.cnrs.fr/IMG/pdf/Ciarca_perte_durable.pdf" TargetMode="External"/><Relationship Id="rId39" Type="http://schemas.openxmlformats.org/officeDocument/2006/relationships/hyperlink" Target="http://www.slate.fr/auteur/737" TargetMode="External"/><Relationship Id="rId109" Type="http://schemas.openxmlformats.org/officeDocument/2006/relationships/hyperlink" Target="http://histoireengagee.ca/reconstruction-d%E2%80%99haiti-re-construire-l%E2%80%99etat/" TargetMode="External"/><Relationship Id="rId34" Type="http://schemas.openxmlformats.org/officeDocument/2006/relationships/hyperlink" Target="http://www.ohchr.org/Documents/Events/IYPAD/EURESCL.pdf" TargetMode="External"/><Relationship Id="rId50" Type="http://schemas.openxmlformats.org/officeDocument/2006/relationships/hyperlink" Target="Leslie%20P&#233;an,%20" TargetMode="External"/><Relationship Id="rId55" Type="http://schemas.openxmlformats.org/officeDocument/2006/relationships/hyperlink" Target="http://dx.doi.org/doi:10.1522/030151754" TargetMode="External"/><Relationship Id="rId76" Type="http://schemas.openxmlformats.org/officeDocument/2006/relationships/hyperlink" Target="http://gallica.bnf.fr/ark:/12148/bpt6k57838774/f8.item.zoom" TargetMode="External"/><Relationship Id="rId97" Type="http://schemas.openxmlformats.org/officeDocument/2006/relationships/hyperlink" Target="http://lenouvelliste.com/lenouvelliste/article/41536/Texte-de-presentation-de-Leslie-Pean-a-lAcademie-Dominicaine-dHistoire" TargetMode="External"/><Relationship Id="rId104" Type="http://schemas.openxmlformats.org/officeDocument/2006/relationships/hyperlink" Target="http://www.google.com/icone/fortification" TargetMode="External"/><Relationship Id="rId120" Type="http://schemas.openxmlformats.org/officeDocument/2006/relationships/hyperlink" Target="http://www.alterpresse.org/spip.php?article12657" TargetMode="External"/><Relationship Id="rId125" Type="http://schemas.openxmlformats.org/officeDocument/2006/relationships/hyperlink" Target="http://www.academia.edu/306197/image_des_populations_dites_minoritaires_noirs_am&#233;rindiens_m&#233;tis_femmes_v&#233;hicul&#233;e_par_les_manuels_scolaires_destin&#233;s_aux_" TargetMode="External"/><Relationship Id="rId141" Type="http://schemas.openxmlformats.org/officeDocument/2006/relationships/hyperlink" Target="http://dx.doi.org/doi:10.1522/cla.ham.mem1" TargetMode="External"/><Relationship Id="rId146" Type="http://schemas.openxmlformats.org/officeDocument/2006/relationships/hyperlink" Target="http://shakespeare.revues.org/1919" TargetMode="External"/><Relationship Id="rId167" Type="http://schemas.openxmlformats.org/officeDocument/2006/relationships/hyperlink" Target="http://www.alterpresse.org/spip.php?article17216" TargetMode="External"/><Relationship Id="rId7" Type="http://schemas.openxmlformats.org/officeDocument/2006/relationships/hyperlink" Target="http://dx.doi.org/doi:10.1522/cla.ham.cad" TargetMode="External"/><Relationship Id="rId71" Type="http://schemas.openxmlformats.org/officeDocument/2006/relationships/hyperlink" Target="http://classiques.uqac.ca/.../usages_memoire_esclavage.rtf" TargetMode="External"/><Relationship Id="rId92" Type="http://schemas.openxmlformats.org/officeDocument/2006/relationships/hyperlink" Target="http://museeogierfombrun.org/mof/notre-histoire/" TargetMode="External"/><Relationship Id="rId162" Type="http://schemas.openxmlformats.org/officeDocument/2006/relationships/hyperlink" Target="http://unesdoc.unesco.org/images/0022/002284/228475f.pdf" TargetMode="External"/><Relationship Id="rId2" Type="http://schemas.openxmlformats.org/officeDocument/2006/relationships/hyperlink" Target="http://www.liberation.fr/planete/2010/03/25/haitila-dette-originelle_617159" TargetMode="External"/><Relationship Id="rId29" Type="http://schemas.openxmlformats.org/officeDocument/2006/relationships/hyperlink" Target="http://haiti.upmf-grenoble.fr/?page_id=2367" TargetMode="External"/><Relationship Id="rId24" Type="http://schemas.openxmlformats.org/officeDocument/2006/relationships/hyperlink" Target="http://id.erudit.org/iderudit/303814ar" TargetMode="External"/><Relationship Id="rId40" Type="http://schemas.openxmlformats.org/officeDocument/2006/relationships/hyperlink" Target="http://www.ladocumentationfrancaise.fr/var/storage/rapports-publics/074000374/0000.pdf" TargetMode="External"/><Relationship Id="rId45" Type="http://schemas.openxmlformats.org/officeDocument/2006/relationships/hyperlink" Target="http://hoy.com.do/app/frontpage.aspx" TargetMode="External"/><Relationship Id="rId66" Type="http://schemas.openxmlformats.org/officeDocument/2006/relationships/hyperlink" Target="http://lenouvelliste.com/lenouvelliste/article/29379/Patrimoine-National-enfin-le-declic" TargetMode="External"/><Relationship Id="rId87" Type="http://schemas.openxmlformats.org/officeDocument/2006/relationships/hyperlink" Target="http://classiques.uqac.ca/contemporains/hoffmann_leon_francois/complexite_linguistique/complexite_linguistique_texte.html" TargetMode="External"/><Relationship Id="rId110" Type="http://schemas.openxmlformats.org/officeDocument/2006/relationships/hyperlink" Target="http://open.salon.com/blog/timotuck/2014/11/06/big_lies_about_little_people" TargetMode="External"/><Relationship Id="rId115" Type="http://schemas.openxmlformats.org/officeDocument/2006/relationships/hyperlink" Target="http://dx.doi.org/doi:10.1522/030174844" TargetMode="External"/><Relationship Id="rId131" Type="http://schemas.openxmlformats.org/officeDocument/2006/relationships/hyperlink" Target="http://mangerensemble.mcq.org/node/479-fra" TargetMode="External"/><Relationship Id="rId136" Type="http://schemas.openxmlformats.org/officeDocument/2006/relationships/hyperlink" Target="http://www.ipimh.ulaval.ca/fiche-soupe-joumou-36.html" TargetMode="External"/><Relationship Id="rId157" Type="http://schemas.openxmlformats.org/officeDocument/2006/relationships/hyperlink" Target="http://www.unesco.org/csi/pub/papers/papf24.htm" TargetMode="External"/><Relationship Id="rId61" Type="http://schemas.openxmlformats.org/officeDocument/2006/relationships/hyperlink" Target="http://www.un.org/fr/rights/overview/themes/culture.shtml" TargetMode="External"/><Relationship Id="rId82" Type="http://schemas.openxmlformats.org/officeDocument/2006/relationships/hyperlink" Target="http://lenouvelliste.com/lenouvelliste/article/102799/Price-Mars-expulse-de-lindigenisme" TargetMode="External"/><Relationship Id="rId152" Type="http://schemas.openxmlformats.org/officeDocument/2006/relationships/hyperlink" Target="https://archive.org/details/lacrisehaitienne00mani" TargetMode="External"/><Relationship Id="rId19" Type="http://schemas.openxmlformats.org/officeDocument/2006/relationships/hyperlink" Target="http://remacle.org/bloodwolf/erudits/amourabi/code.htm" TargetMode="External"/><Relationship Id="rId14" Type="http://schemas.openxmlformats.org/officeDocument/2006/relationships/hyperlink" Target="http://dx.doi.org/doi:10.1522/030174406" TargetMode="External"/><Relationship Id="rId30" Type="http://schemas.openxmlformats.org/officeDocument/2006/relationships/hyperlink" Target="http://www.assemblee-nationale.fr/histoire/esclavage/abolition.asp" TargetMode="External"/><Relationship Id="rId35" Type="http://schemas.openxmlformats.org/officeDocument/2006/relationships/hyperlink" Target="http://www.un.org/fr/events/africandescentdecade/slavetrade.shtml" TargetMode="External"/><Relationship Id="rId56" Type="http://schemas.openxmlformats.org/officeDocument/2006/relationships/hyperlink" Target="http://classiques.uqac.ca/contemporains/hoffmann_leon_francois/Haiti_couleurs_croyances_creole/Haiti_couleurs_croyances_creole.html" TargetMode="External"/><Relationship Id="rId77" Type="http://schemas.openxmlformats.org/officeDocument/2006/relationships/hyperlink" Target="http://gallica.bnf.fr/ark:/12148/cb328829955/date,%20consult&#233;" TargetMode="External"/><Relationship Id="rId100" Type="http://schemas.openxmlformats.org/officeDocument/2006/relationships/hyperlink" Target="https://www.youtube.com/watch?v=b7tOpUJA-YY" TargetMode="External"/><Relationship Id="rId105" Type="http://schemas.openxmlformats.org/officeDocument/2006/relationships/hyperlink" Target="http://www.cairn.info/revue-l-homme-2006-4-page-7.htm.%202004" TargetMode="External"/><Relationship Id="rId126" Type="http://schemas.openxmlformats.org/officeDocument/2006/relationships/hyperlink" Target="http://dx.doi.org/doi:10.1522/030151495" TargetMode="External"/><Relationship Id="rId147" Type="http://schemas.openxmlformats.org/officeDocument/2006/relationships/hyperlink" Target="https://www.google.ca/url?sa=t&amp;rct=j&amp;q=&amp;esrc=s&amp;source=web&amp;cd=1&amp;cad=rja&amp;uact=8&amp;ved=0ahUKEwjPjbDP5LLRAhXo54MKHR2RCxYQtwIIHjAA&amp;url=https%3A%2F%2Fwww.youtube.com%2Fwatch%3Fv%3Db7tOpUJA-YY&amp;usg=AFQjCNHMZlgUVlqMyXYYVEK3r0F4FMa3qw&amp;sig2=sISW7UoJ8jCJQaz7QIIu5w" TargetMode="External"/><Relationship Id="rId168" Type="http://schemas.openxmlformats.org/officeDocument/2006/relationships/hyperlink" Target="http://www.ladocumentationfrancaise.fr/var/storage/rapports-ublics/044000056.pdf" TargetMode="External"/><Relationship Id="rId8" Type="http://schemas.openxmlformats.org/officeDocument/2006/relationships/hyperlink" Target="http://crdp.ac-paris.fr/preacpatrimoinesetdiversite" TargetMode="External"/><Relationship Id="rId51" Type="http://schemas.openxmlformats.org/officeDocument/2006/relationships/hyperlink" Target="http://www.touthaiti.com/economie/2424-leslie-pean-thomas-jefferson-disait-confiner-la-peste-dans-son-ile-marasme-economique-transmission-des-savoirs-et-langues-6-de-6" TargetMode="External"/><Relationship Id="rId72" Type="http://schemas.openxmlformats.org/officeDocument/2006/relationships/hyperlink" Target="http://www.questia.com/read/1P3-1476918131/maurice-dartigue-educational-reform-and-intellectual" TargetMode="External"/><Relationship Id="rId93" Type="http://schemas.openxmlformats.org/officeDocument/2006/relationships/hyperlink" Target="http://www.anneauxdelamemoire.org/fr/acteurs-du-reseau/ameriques/institutions-culturelles/item/629-mus%C3%A9e-ogier-fombrun.html" TargetMode="External"/><Relationship Id="rId98" Type="http://schemas.openxmlformats.org/officeDocument/2006/relationships/hyperlink" Target="http://www.signalfmhaiti.com/articles/categorie/2012-02-08-01-57-30/1787-haiti-culture-il-a-perdu-la-presidentielle-de-1930-parce-que-les-votes-ont-ete-achetes.html" TargetMode="External"/><Relationship Id="rId121" Type="http://schemas.openxmlformats.org/officeDocument/2006/relationships/hyperlink" Target="http://www.minustah.org/le-rara-rythme-vaudou/" TargetMode="External"/><Relationship Id="rId142" Type="http://schemas.openxmlformats.org/officeDocument/2006/relationships/hyperlink" Target="http://www.ipimh.ulaval.ca/fiche-bois-caiman-30.html" TargetMode="External"/><Relationship Id="rId163" Type="http://schemas.openxmlformats.org/officeDocument/2006/relationships/hyperlink" Target="http://portail.unesco.org/culture/fr/ev.php-URL_ID=25659&amp;URL_DO=DO_TOPIC&amp;URL_SECTION=201.html" TargetMode="External"/><Relationship Id="rId3" Type="http://schemas.openxmlformats.org/officeDocument/2006/relationships/hyperlink" Target="http://dx.doi.org/doi:10.1522/030174842" TargetMode="External"/><Relationship Id="rId25" Type="http://schemas.openxmlformats.org/officeDocument/2006/relationships/hyperlink" Target="http://id.erudit.org/iderudit/801510ar" TargetMode="External"/><Relationship Id="rId46" Type="http://schemas.openxmlformats.org/officeDocument/2006/relationships/hyperlink" Target="http://www.slateafrique.com/80803/cameroun-afro-americain-spike-lee-racines" TargetMode="External"/><Relationship Id="rId67" Type="http://schemas.openxmlformats.org/officeDocument/2006/relationships/hyperlink" Target="http://dx.doi.org/doi:10.1522/cla.ham.mem1" TargetMode="External"/><Relationship Id="rId116" Type="http://schemas.openxmlformats.org/officeDocument/2006/relationships/hyperlink" Target="http://www.radiokiskeya.com/spip.php?article10254" TargetMode="External"/><Relationship Id="rId137" Type="http://schemas.openxmlformats.org/officeDocument/2006/relationships/hyperlink" Target="http://www.ghcaraibe.org/debien/NHC210bis-htm.htm" TargetMode="External"/><Relationship Id="rId158" Type="http://schemas.openxmlformats.org/officeDocument/2006/relationships/hyperlink" Target="http://www.un.org/esa/agenda21/natlinfo/countr/haiti/eco.htm" TargetMode="External"/><Relationship Id="rId20" Type="http://schemas.openxmlformats.org/officeDocument/2006/relationships/hyperlink" Target="http://www.cairn.info/revue-historique-2006-1-page-139.htm" TargetMode="External"/><Relationship Id="rId41" Type="http://schemas.openxmlformats.org/officeDocument/2006/relationships/hyperlink" Target="http://www.lemonde.fr/afrique/article/2015/05/10/cinq-choses-a-savoir-sur-le-memorial-acte-en-guadeloupe_4630682_3212.html" TargetMode="External"/><Relationship Id="rId62" Type="http://schemas.openxmlformats.org/officeDocument/2006/relationships/hyperlink" Target="http://unesdoc.unesco.org/images/0012/001271/127160m.pdf" TargetMode="External"/><Relationship Id="rId83" Type="http://schemas.openxmlformats.org/officeDocument/2006/relationships/hyperlink" Target="http://classiques.uqac.ca/classiques/price_mars_jean/ainsi_parla_oncle/ainsi_parla_oncle_preface.html" TargetMode="External"/><Relationship Id="rId88" Type="http://schemas.openxmlformats.org/officeDocument/2006/relationships/hyperlink" Target="http://www.analuciaaraujo.org/wp-content/uploads/2010/08/Araujo-Lusotopie.pdf" TargetMode="External"/><Relationship Id="rId111" Type="http://schemas.openxmlformats.org/officeDocument/2006/relationships/hyperlink" Target="http://dx.doi.org/doi:10.1522/030174467" TargetMode="External"/><Relationship Id="rId132" Type="http://schemas.openxmlformats.org/officeDocument/2006/relationships/hyperlink" Target="http://lenouvelliste.com/lenouvelliste/article/127340/Le-patrimoine-gastronomique-haitien-un-marqueur-identitaire-et-un-atout-pour-le-developpement-touristique-durable.html" TargetMode="External"/><Relationship Id="rId153" Type="http://schemas.openxmlformats.org/officeDocument/2006/relationships/hyperlink" Target="https://archive.org/stream/lacrisehaitienne00mani/lacrisehaitienne00mani_djvu.txt" TargetMode="External"/><Relationship Id="rId15" Type="http://schemas.openxmlformats.org/officeDocument/2006/relationships/hyperlink" Target="http://dx.doi.org/doi:10.1522/030174406" TargetMode="External"/><Relationship Id="rId36" Type="http://schemas.openxmlformats.org/officeDocument/2006/relationships/hyperlink" Target="http://portal.unesco.org/culture/fr/ev.php-URL_ID=25659&amp;URL_DO=DO_TOPIC&amp;URL_SECTION=201.html" TargetMode="External"/><Relationship Id="rId57" Type="http://schemas.openxmlformats.org/officeDocument/2006/relationships/hyperlink" Target="http://classiques.uqac.ca/classiques/price_mars_jean/bilan_etudes_haiti/bilan_etudes_haiti.html" TargetMode="External"/><Relationship Id="rId106" Type="http://schemas.openxmlformats.org/officeDocument/2006/relationships/hyperlink" Target="http://www.napoleon.org/fr/salle_lecture/articles/files/stdomingue_fevrier1802.asp" TargetMode="External"/><Relationship Id="rId127" Type="http://schemas.openxmlformats.org/officeDocument/2006/relationships/hyperlink" Target="http://gradhiva.revues.org/336" TargetMode="External"/><Relationship Id="rId10" Type="http://schemas.openxmlformats.org/officeDocument/2006/relationships/hyperlink" Target="https://monoskop.org/images/2/22/Foucault_Michel_Surveiller_et_Punir_Naissance_de_la_Prison_2004.pdf" TargetMode="External"/><Relationship Id="rId31" Type="http://schemas.openxmlformats.org/officeDocument/2006/relationships/hyperlink" Target="http://www.scribd.com/doc/178478985/Anthropologie-geographique-de-l-esclavage" TargetMode="External"/><Relationship Id="rId52" Type="http://schemas.openxmlformats.org/officeDocument/2006/relationships/hyperlink" Target="https://vimeo.com/22572070" TargetMode="External"/><Relationship Id="rId73" Type="http://schemas.openxmlformats.org/officeDocument/2006/relationships/hyperlink" Target="http://windowsonhaiti.com/windowsonhaiti/act2.shtml" TargetMode="External"/><Relationship Id="rId78" Type="http://schemas.openxmlformats.org/officeDocument/2006/relationships/hyperlink" Target="http://classiques.uqac.ca/contemporains/hoffmann_leon_francois/Haiti_couleurs_croyances_creole/Haiti_couleurs_croyances_creole.html" TargetMode="External"/><Relationship Id="rId94" Type="http://schemas.openxmlformats.org/officeDocument/2006/relationships/hyperlink" Target="https://www.pinterest.com/pin/509610514056990292/" TargetMode="External"/><Relationship Id="rId99" Type="http://schemas.openxmlformats.org/officeDocument/2006/relationships/hyperlink" Target="https://www.google.ca/url?sa=t&amp;rct=j&amp;q=&amp;esrc=s&amp;source=web&amp;cd=1&amp;cad=rja&amp;uact=8&amp;ved=0ahUKEwjPjbDP5LLRAhXo54MKHR2RCxYQtwIIHjAA&amp;url=https%3A%2F%2Fwww.youtube.com%2Fwatch%3Fv%3Db7tOpUJA-YY&amp;usg=AFQjCNHMZlgUVlqMyXYYVEK3r0F4FMa3qw&amp;sig2=sISW7UoJ8jCJQaz7QIIu5w" TargetMode="External"/><Relationship Id="rId101" Type="http://schemas.openxmlformats.org/officeDocument/2006/relationships/hyperlink" Target="http://dx.doi.org/doi:10.1522/cla.goj.ess" TargetMode="External"/><Relationship Id="rId122" Type="http://schemas.openxmlformats.org/officeDocument/2006/relationships/hyperlink" Target="http://www.ipimh.ulaval.ca/fiche-rara-leogane-19.html" TargetMode="External"/><Relationship Id="rId143" Type="http://schemas.openxmlformats.org/officeDocument/2006/relationships/hyperlink" Target="http://www.alterpresse.org/spip.php?article664" TargetMode="External"/><Relationship Id="rId148" Type="http://schemas.openxmlformats.org/officeDocument/2006/relationships/hyperlink" Target="https://www.youtube.com/watch?v=b7tOpUJA-YY" TargetMode="External"/><Relationship Id="rId164" Type="http://schemas.openxmlformats.org/officeDocument/2006/relationships/hyperlink" Target="http://www.un.org/french/WCAR/durban_fr.pdf%20septembre%202001" TargetMode="External"/><Relationship Id="rId169" Type="http://schemas.openxmlformats.org/officeDocument/2006/relationships/hyperlink" Target="http://www.politique-actu.com/debat/haiti-regis-debray/55859/" TargetMode="External"/><Relationship Id="rId4" Type="http://schemas.openxmlformats.org/officeDocument/2006/relationships/hyperlink" Target="http://www.herodote.net/La_traite_un_crime_contre_l_humanite_-article-17.php" TargetMode="External"/><Relationship Id="rId9" Type="http://schemas.openxmlformats.org/officeDocument/2006/relationships/hyperlink" Target="https://monoskop.org/images/5/58/Foucault_Michel_Dits_et_ecrits_4_1980-1988.pdf" TargetMode="External"/><Relationship Id="rId26" Type="http://schemas.openxmlformats.org/officeDocument/2006/relationships/hyperlink" Target="http://classiques.uqac.ca/" TargetMode="External"/><Relationship Id="rId47" Type="http://schemas.openxmlformats.org/officeDocument/2006/relationships/hyperlink" Target="http://www.karthala.com/esclavages/2324-traites-et-les-esclavages-les-perspectives-historiques-et-contemporaines.html" TargetMode="External"/><Relationship Id="rId68" Type="http://schemas.openxmlformats.org/officeDocument/2006/relationships/hyperlink" Target="http://dx.doi.org/doi:10.1522/cla.ham.cad" TargetMode="External"/><Relationship Id="rId89" Type="http://schemas.openxmlformats.org/officeDocument/2006/relationships/hyperlink" Target="http://lenouvelliste.com/lenouvelliste/article/124076/Dessalines-a-la-rencontre-de-Petion-Au-dela-du-slogan-politique.html" TargetMode="External"/><Relationship Id="rId112" Type="http://schemas.openxmlformats.org/officeDocument/2006/relationships/hyperlink" Target="https://books.google.ca/books" TargetMode="External"/><Relationship Id="rId133" Type="http://schemas.openxmlformats.org/officeDocument/2006/relationships/hyperlink" Target="http://radiokiskeya.com/spip.php?breve1605" TargetMode="External"/><Relationship Id="rId154" Type="http://schemas.openxmlformats.org/officeDocument/2006/relationships/hyperlink" Target="http://dx.doi.org/doi:10.1522/cla.pij.pen" TargetMode="External"/><Relationship Id="rId16" Type="http://schemas.openxmlformats.org/officeDocument/2006/relationships/hyperlink" Target="http://dx.doi.org/doi:10.1522/030294726" TargetMode="External"/><Relationship Id="rId37" Type="http://schemas.openxmlformats.org/officeDocument/2006/relationships/hyperlink" Target="http://anneauxdelamemoire.org/fr/component/k2/item/402-des-expositions.html" TargetMode="External"/><Relationship Id="rId58" Type="http://schemas.openxmlformats.org/officeDocument/2006/relationships/hyperlink" Target="http://www.thecanadianencyclopedia.ca/fr/article/cultural-policy/%20consult&#233;" TargetMode="External"/><Relationship Id="rId79" Type="http://schemas.openxmlformats.org/officeDocument/2006/relationships/hyperlink" Target="http://www.tanbou.com/2008/TrajectoireFrancaisCreoleHaiti.htm" TargetMode="External"/><Relationship Id="rId102" Type="http://schemas.openxmlformats.org/officeDocument/2006/relationships/hyperlink" Target="http://tice2.univ-reunion.fr/webdocs/crlhoiocs/cresoi/document/article_1810_1880_les_contradictions_du_siecle_du_sucre/les_contradictions_du_siecle_du_sucre.pdf" TargetMode="External"/><Relationship Id="rId123" Type="http://schemas.openxmlformats.org/officeDocument/2006/relationships/hyperlink" Target="http://www.premiere.fr/TV/News-Tele/EXCLU-Toussaint-Louverture-Il-faut-regarder-ce-film-mais-savoir-que-tout-nest-pas-exact" TargetMode="External"/><Relationship Id="rId144" Type="http://schemas.openxmlformats.org/officeDocument/2006/relationships/hyperlink" Target="http://etudescaribeennes.revues.org/390" TargetMode="External"/><Relationship Id="rId90" Type="http://schemas.openxmlformats.org/officeDocument/2006/relationships/hyperlink" Target="https://books.google.com/books/about/Encyclopaedia_universalis.html" TargetMode="External"/><Relationship Id="rId165" Type="http://schemas.openxmlformats.org/officeDocument/2006/relationships/hyperlink" Target="http://www.auf.org/media/IMG2//pdf/programme-colloque-inter_-_Copie.pdf" TargetMode="External"/><Relationship Id="rId27" Type="http://schemas.openxmlformats.org/officeDocument/2006/relationships/hyperlink" Target="https://www2.ac-lyon.fr/.../Haiti_histoire_geographie_enseignement_1_.do" TargetMode="External"/><Relationship Id="rId48" Type="http://schemas.openxmlformats.org/officeDocument/2006/relationships/hyperlink" Target="http://classiques.uqac.ca/contemporains/hurbon_laennec/insurrection_esclaves/insurrection_esclaves_tdm.html" TargetMode="External"/><Relationship Id="rId69" Type="http://schemas.openxmlformats.org/officeDocument/2006/relationships/hyperlink" Target="http://dx.doi.org/doi:10.1522/030138103" TargetMode="External"/><Relationship Id="rId113" Type="http://schemas.openxmlformats.org/officeDocument/2006/relationships/hyperlink" Target="http://www.bf.refer.org/sissao/html/p2chap15_4.html" TargetMode="External"/><Relationship Id="rId134" Type="http://schemas.openxmlformats.org/officeDocument/2006/relationships/hyperlink" Target="http://www.ipimh.ulaval.ca/fiche-soupe-joumou-36.html" TargetMode="External"/><Relationship Id="rId80" Type="http://schemas.openxmlformats.org/officeDocument/2006/relationships/hyperlink" Target="http://dx.doi.org/doi:10.1522/030174406" TargetMode="External"/><Relationship Id="rId155" Type="http://schemas.openxmlformats.org/officeDocument/2006/relationships/hyperlink" Target="http://id.erudit.org/iderudit/18498ac" TargetMode="External"/><Relationship Id="rId17" Type="http://schemas.openxmlformats.org/officeDocument/2006/relationships/hyperlink" Target="http://dx.doi.org/doi:10.1522/030294731" TargetMode="External"/><Relationship Id="rId38" Type="http://schemas.openxmlformats.org/officeDocument/2006/relationships/hyperlink" Target="http://memorial.nantes.fr/" TargetMode="External"/><Relationship Id="rId59" Type="http://schemas.openxmlformats.org/officeDocument/2006/relationships/hyperlink" Target="http://www.parl.gc.ca/content/lop/researchpublications/933-f.htm" TargetMode="External"/><Relationship Id="rId103" Type="http://schemas.openxmlformats.org/officeDocument/2006/relationships/hyperlink" Target="http://www.alterpresse.org/spip.php?article15461#nb5" TargetMode="External"/><Relationship Id="rId124" Type="http://schemas.openxmlformats.org/officeDocument/2006/relationships/hyperlink" Target="http://classiques.uqac.ca/classiques/price_hannibal/rehabilitation_race_noire_haiti/rehabilitation_race_noire_haiti.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167649</Words>
  <Characters>922070</Characters>
  <Application>Microsoft Office Word</Application>
  <DocSecurity>0</DocSecurity>
  <Lines>7683</Lines>
  <Paragraphs>2175</Paragraphs>
  <ScaleCrop>false</ScaleCrop>
  <HeadingPairs>
    <vt:vector size="2" baseType="variant">
      <vt:variant>
        <vt:lpstr>Title</vt:lpstr>
      </vt:variant>
      <vt:variant>
        <vt:i4>1</vt:i4>
      </vt:variant>
    </vt:vector>
  </HeadingPairs>
  <TitlesOfParts>
    <vt:vector size="1" baseType="lpstr">
      <vt:lpstr>Mémoire de l’esclavage en Haïti. Entrecroisement des mémoires et enjeux de la patrimonialisation.</vt:lpstr>
    </vt:vector>
  </TitlesOfParts>
  <Manager>jean-marie tremblay, bénévole, 2019.</Manager>
  <Company>Les Classiques des sciences sociales</Company>
  <LinksUpToDate>false</LinksUpToDate>
  <CharactersWithSpaces>1087544</CharactersWithSpaces>
  <SharedDoc>false</SharedDoc>
  <HyperlinkBase/>
  <HLinks>
    <vt:vector size="3186" baseType="variant">
      <vt:variant>
        <vt:i4>6553625</vt:i4>
      </vt:variant>
      <vt:variant>
        <vt:i4>1182</vt:i4>
      </vt:variant>
      <vt:variant>
        <vt:i4>0</vt:i4>
      </vt:variant>
      <vt:variant>
        <vt:i4>5</vt:i4>
      </vt:variant>
      <vt:variant>
        <vt:lpwstr/>
      </vt:variant>
      <vt:variant>
        <vt:lpwstr>tdm</vt:lpwstr>
      </vt:variant>
      <vt:variant>
        <vt:i4>6553625</vt:i4>
      </vt:variant>
      <vt:variant>
        <vt:i4>1179</vt:i4>
      </vt:variant>
      <vt:variant>
        <vt:i4>0</vt:i4>
      </vt:variant>
      <vt:variant>
        <vt:i4>5</vt:i4>
      </vt:variant>
      <vt:variant>
        <vt:lpwstr/>
      </vt:variant>
      <vt:variant>
        <vt:lpwstr>tdm</vt:lpwstr>
      </vt:variant>
      <vt:variant>
        <vt:i4>6553625</vt:i4>
      </vt:variant>
      <vt:variant>
        <vt:i4>1176</vt:i4>
      </vt:variant>
      <vt:variant>
        <vt:i4>0</vt:i4>
      </vt:variant>
      <vt:variant>
        <vt:i4>5</vt:i4>
      </vt:variant>
      <vt:variant>
        <vt:lpwstr/>
      </vt:variant>
      <vt:variant>
        <vt:lpwstr>tdm</vt:lpwstr>
      </vt:variant>
      <vt:variant>
        <vt:i4>6553625</vt:i4>
      </vt:variant>
      <vt:variant>
        <vt:i4>1173</vt:i4>
      </vt:variant>
      <vt:variant>
        <vt:i4>0</vt:i4>
      </vt:variant>
      <vt:variant>
        <vt:i4>5</vt:i4>
      </vt:variant>
      <vt:variant>
        <vt:lpwstr/>
      </vt:variant>
      <vt:variant>
        <vt:lpwstr>tdm</vt:lpwstr>
      </vt:variant>
      <vt:variant>
        <vt:i4>6553625</vt:i4>
      </vt:variant>
      <vt:variant>
        <vt:i4>1170</vt:i4>
      </vt:variant>
      <vt:variant>
        <vt:i4>0</vt:i4>
      </vt:variant>
      <vt:variant>
        <vt:i4>5</vt:i4>
      </vt:variant>
      <vt:variant>
        <vt:lpwstr/>
      </vt:variant>
      <vt:variant>
        <vt:lpwstr>tdm</vt:lpwstr>
      </vt:variant>
      <vt:variant>
        <vt:i4>6553625</vt:i4>
      </vt:variant>
      <vt:variant>
        <vt:i4>1167</vt:i4>
      </vt:variant>
      <vt:variant>
        <vt:i4>0</vt:i4>
      </vt:variant>
      <vt:variant>
        <vt:i4>5</vt:i4>
      </vt:variant>
      <vt:variant>
        <vt:lpwstr/>
      </vt:variant>
      <vt:variant>
        <vt:lpwstr>tdm</vt:lpwstr>
      </vt:variant>
      <vt:variant>
        <vt:i4>6553625</vt:i4>
      </vt:variant>
      <vt:variant>
        <vt:i4>1164</vt:i4>
      </vt:variant>
      <vt:variant>
        <vt:i4>0</vt:i4>
      </vt:variant>
      <vt:variant>
        <vt:i4>5</vt:i4>
      </vt:variant>
      <vt:variant>
        <vt:lpwstr/>
      </vt:variant>
      <vt:variant>
        <vt:lpwstr>tdm</vt:lpwstr>
      </vt:variant>
      <vt:variant>
        <vt:i4>6553625</vt:i4>
      </vt:variant>
      <vt:variant>
        <vt:i4>1161</vt:i4>
      </vt:variant>
      <vt:variant>
        <vt:i4>0</vt:i4>
      </vt:variant>
      <vt:variant>
        <vt:i4>5</vt:i4>
      </vt:variant>
      <vt:variant>
        <vt:lpwstr/>
      </vt:variant>
      <vt:variant>
        <vt:lpwstr>tdm</vt:lpwstr>
      </vt:variant>
      <vt:variant>
        <vt:i4>6553625</vt:i4>
      </vt:variant>
      <vt:variant>
        <vt:i4>1158</vt:i4>
      </vt:variant>
      <vt:variant>
        <vt:i4>0</vt:i4>
      </vt:variant>
      <vt:variant>
        <vt:i4>5</vt:i4>
      </vt:variant>
      <vt:variant>
        <vt:lpwstr/>
      </vt:variant>
      <vt:variant>
        <vt:lpwstr>tdm</vt:lpwstr>
      </vt:variant>
      <vt:variant>
        <vt:i4>6553625</vt:i4>
      </vt:variant>
      <vt:variant>
        <vt:i4>1155</vt:i4>
      </vt:variant>
      <vt:variant>
        <vt:i4>0</vt:i4>
      </vt:variant>
      <vt:variant>
        <vt:i4>5</vt:i4>
      </vt:variant>
      <vt:variant>
        <vt:lpwstr/>
      </vt:variant>
      <vt:variant>
        <vt:lpwstr>tdm</vt:lpwstr>
      </vt:variant>
      <vt:variant>
        <vt:i4>5767194</vt:i4>
      </vt:variant>
      <vt:variant>
        <vt:i4>1152</vt:i4>
      </vt:variant>
      <vt:variant>
        <vt:i4>0</vt:i4>
      </vt:variant>
      <vt:variant>
        <vt:i4>5</vt:i4>
      </vt:variant>
      <vt:variant>
        <vt:lpwstr>http://www.ipimh.ulaval.ca/fiche-bois-caiman-30.html</vt:lpwstr>
      </vt:variant>
      <vt:variant>
        <vt:lpwstr/>
      </vt:variant>
      <vt:variant>
        <vt:i4>1769587</vt:i4>
      </vt:variant>
      <vt:variant>
        <vt:i4>1149</vt:i4>
      </vt:variant>
      <vt:variant>
        <vt:i4>0</vt:i4>
      </vt:variant>
      <vt:variant>
        <vt:i4>5</vt:i4>
      </vt:variant>
      <vt:variant>
        <vt:lpwstr>http://tc.revues.org/4853</vt:lpwstr>
      </vt:variant>
      <vt:variant>
        <vt:lpwstr/>
      </vt:variant>
      <vt:variant>
        <vt:i4>4849756</vt:i4>
      </vt:variant>
      <vt:variant>
        <vt:i4>1146</vt:i4>
      </vt:variant>
      <vt:variant>
        <vt:i4>0</vt:i4>
      </vt:variant>
      <vt:variant>
        <vt:i4>5</vt:i4>
      </vt:variant>
      <vt:variant>
        <vt:lpwstr>http://lenouvelliste.com/lenouvelliste/article/102799/Price-Mars-expulse-de-lindigenisme</vt:lpwstr>
      </vt:variant>
      <vt:variant>
        <vt:lpwstr/>
      </vt:variant>
      <vt:variant>
        <vt:i4>3801113</vt:i4>
      </vt:variant>
      <vt:variant>
        <vt:i4>1143</vt:i4>
      </vt:variant>
      <vt:variant>
        <vt:i4>0</vt:i4>
      </vt:variant>
      <vt:variant>
        <vt:i4>5</vt:i4>
      </vt:variant>
      <vt:variant>
        <vt:lpwstr>http://cafe-geo.net/wp-content/uploads/processus-patrimonialisation.pdf</vt:lpwstr>
      </vt:variant>
      <vt:variant>
        <vt:lpwstr/>
      </vt:variant>
      <vt:variant>
        <vt:i4>7733260</vt:i4>
      </vt:variant>
      <vt:variant>
        <vt:i4>1140</vt:i4>
      </vt:variant>
      <vt:variant>
        <vt:i4>0</vt:i4>
      </vt:variant>
      <vt:variant>
        <vt:i4>5</vt:i4>
      </vt:variant>
      <vt:variant>
        <vt:lpwstr>http://www.questia.com/read/1P3-1476918131/maurice-dartigue-educational-reform-and-intellectual</vt:lpwstr>
      </vt:variant>
      <vt:variant>
        <vt:lpwstr/>
      </vt:variant>
      <vt:variant>
        <vt:i4>8126510</vt:i4>
      </vt:variant>
      <vt:variant>
        <vt:i4>1137</vt:i4>
      </vt:variant>
      <vt:variant>
        <vt:i4>0</vt:i4>
      </vt:variant>
      <vt:variant>
        <vt:i4>5</vt:i4>
      </vt:variant>
      <vt:variant>
        <vt:lpwstr>http://www.unesco.org/bpi/pdf/memobpi50_slavery_fr.pdf</vt:lpwstr>
      </vt:variant>
      <vt:variant>
        <vt:lpwstr/>
      </vt:variant>
      <vt:variant>
        <vt:i4>3801159</vt:i4>
      </vt:variant>
      <vt:variant>
        <vt:i4>1134</vt:i4>
      </vt:variant>
      <vt:variant>
        <vt:i4>0</vt:i4>
      </vt:variant>
      <vt:variant>
        <vt:i4>5</vt:i4>
      </vt:variant>
      <vt:variant>
        <vt:lpwstr>http://www.un.org/french/WCAR/durban_fr.pdf septembre 2001</vt:lpwstr>
      </vt:variant>
      <vt:variant>
        <vt:lpwstr/>
      </vt:variant>
      <vt:variant>
        <vt:i4>3145813</vt:i4>
      </vt:variant>
      <vt:variant>
        <vt:i4>1131</vt:i4>
      </vt:variant>
      <vt:variant>
        <vt:i4>0</vt:i4>
      </vt:variant>
      <vt:variant>
        <vt:i4>5</vt:i4>
      </vt:variant>
      <vt:variant>
        <vt:lpwstr>http://portail.unesco.org/culture/fr/ev.php-URL_ID=25659&amp;URL_DO=DO_TOPIC&amp;URL_SECTION=201.html</vt:lpwstr>
      </vt:variant>
      <vt:variant>
        <vt:lpwstr/>
      </vt:variant>
      <vt:variant>
        <vt:i4>1245187</vt:i4>
      </vt:variant>
      <vt:variant>
        <vt:i4>1128</vt:i4>
      </vt:variant>
      <vt:variant>
        <vt:i4>0</vt:i4>
      </vt:variant>
      <vt:variant>
        <vt:i4>5</vt:i4>
      </vt:variant>
      <vt:variant>
        <vt:lpwstr>http://unesdoc.unesco.org/images/0022/002284/228475f.pdf</vt:lpwstr>
      </vt:variant>
      <vt:variant>
        <vt:lpwstr/>
      </vt:variant>
      <vt:variant>
        <vt:i4>3932207</vt:i4>
      </vt:variant>
      <vt:variant>
        <vt:i4>1125</vt:i4>
      </vt:variant>
      <vt:variant>
        <vt:i4>0</vt:i4>
      </vt:variant>
      <vt:variant>
        <vt:i4>5</vt:i4>
      </vt:variant>
      <vt:variant>
        <vt:lpwstr>http://unesdoc.unesco.org/</vt:lpwstr>
      </vt:variant>
      <vt:variant>
        <vt:lpwstr/>
      </vt:variant>
      <vt:variant>
        <vt:i4>1966150</vt:i4>
      </vt:variant>
      <vt:variant>
        <vt:i4>1122</vt:i4>
      </vt:variant>
      <vt:variant>
        <vt:i4>0</vt:i4>
      </vt:variant>
      <vt:variant>
        <vt:i4>5</vt:i4>
      </vt:variant>
      <vt:variant>
        <vt:lpwstr>http://www.cairn.info/revue-internationale-des-sciences-sociales-2006-2-page-205.htm</vt:lpwstr>
      </vt:variant>
      <vt:variant>
        <vt:lpwstr/>
      </vt:variant>
      <vt:variant>
        <vt:i4>5111841</vt:i4>
      </vt:variant>
      <vt:variant>
        <vt:i4>1119</vt:i4>
      </vt:variant>
      <vt:variant>
        <vt:i4>0</vt:i4>
      </vt:variant>
      <vt:variant>
        <vt:i4>5</vt:i4>
      </vt:variant>
      <vt:variant>
        <vt:lpwstr>http://www.canalplushaiti.net/haitifrancelyonel-trouillot-la-france-nous-a-fait-violence/</vt:lpwstr>
      </vt:variant>
      <vt:variant>
        <vt:lpwstr/>
      </vt:variant>
      <vt:variant>
        <vt:i4>7929949</vt:i4>
      </vt:variant>
      <vt:variant>
        <vt:i4>1116</vt:i4>
      </vt:variant>
      <vt:variant>
        <vt:i4>0</vt:i4>
      </vt:variant>
      <vt:variant>
        <vt:i4>5</vt:i4>
      </vt:variant>
      <vt:variant>
        <vt:lpwstr>http://open.salon.com/blog/timotuck/2014/11/06/big_lies_about_little_people</vt:lpwstr>
      </vt:variant>
      <vt:variant>
        <vt:lpwstr/>
      </vt:variant>
      <vt:variant>
        <vt:i4>7208997</vt:i4>
      </vt:variant>
      <vt:variant>
        <vt:i4>1113</vt:i4>
      </vt:variant>
      <vt:variant>
        <vt:i4>0</vt:i4>
      </vt:variant>
      <vt:variant>
        <vt:i4>5</vt:i4>
      </vt:variant>
      <vt:variant>
        <vt:lpwstr>http://remacle.org/bloodwolf/erudits/amourabi/code.htm</vt:lpwstr>
      </vt:variant>
      <vt:variant>
        <vt:lpwstr/>
      </vt:variant>
      <vt:variant>
        <vt:i4>3932251</vt:i4>
      </vt:variant>
      <vt:variant>
        <vt:i4>1110</vt:i4>
      </vt:variant>
      <vt:variant>
        <vt:i4>0</vt:i4>
      </vt:variant>
      <vt:variant>
        <vt:i4>5</vt:i4>
      </vt:variant>
      <vt:variant>
        <vt:lpwstr>http://www.herodote.net/La_traite_un_crime_contre_l_humanite_-article-17.php</vt:lpwstr>
      </vt:variant>
      <vt:variant>
        <vt:lpwstr/>
      </vt:variant>
      <vt:variant>
        <vt:i4>7798855</vt:i4>
      </vt:variant>
      <vt:variant>
        <vt:i4>1107</vt:i4>
      </vt:variant>
      <vt:variant>
        <vt:i4>0</vt:i4>
      </vt:variant>
      <vt:variant>
        <vt:i4>5</vt:i4>
      </vt:variant>
      <vt:variant>
        <vt:lpwstr>http://www.slateafrique.com/80803/cameroun-afro-americain-spike-lee-racines</vt:lpwstr>
      </vt:variant>
      <vt:variant>
        <vt:lpwstr/>
      </vt:variant>
      <vt:variant>
        <vt:i4>6946818</vt:i4>
      </vt:variant>
      <vt:variant>
        <vt:i4>1104</vt:i4>
      </vt:variant>
      <vt:variant>
        <vt:i4>0</vt:i4>
      </vt:variant>
      <vt:variant>
        <vt:i4>5</vt:i4>
      </vt:variant>
      <vt:variant>
        <vt:lpwstr>http://www.pyepimanla.com/octobre-novembre/articles/art-culture/poete-humaniste</vt:lpwstr>
      </vt:variant>
      <vt:variant>
        <vt:lpwstr/>
      </vt:variant>
      <vt:variant>
        <vt:i4>983145</vt:i4>
      </vt:variant>
      <vt:variant>
        <vt:i4>1101</vt:i4>
      </vt:variant>
      <vt:variant>
        <vt:i4>0</vt:i4>
      </vt:variant>
      <vt:variant>
        <vt:i4>5</vt:i4>
      </vt:variant>
      <vt:variant>
        <vt:lpwstr>http://lenouvelliste.com/lenouvelliste /article/127340/Le-patrimoine-gastronomique-haitien-un-marqueur-identitaire-et-un-atout-pour-le-developpement-touristique-durable.html</vt:lpwstr>
      </vt:variant>
      <vt:variant>
        <vt:lpwstr/>
      </vt:variant>
      <vt:variant>
        <vt:i4>1376269</vt:i4>
      </vt:variant>
      <vt:variant>
        <vt:i4>1098</vt:i4>
      </vt:variant>
      <vt:variant>
        <vt:i4>0</vt:i4>
      </vt:variant>
      <vt:variant>
        <vt:i4>5</vt:i4>
      </vt:variant>
      <vt:variant>
        <vt:lpwstr>http://www.abbaye-saint-benoit.ch/saints/augustin/citededieu/livre19.htm</vt:lpwstr>
      </vt:variant>
      <vt:variant>
        <vt:lpwstr/>
      </vt:variant>
      <vt:variant>
        <vt:i4>4980767</vt:i4>
      </vt:variant>
      <vt:variant>
        <vt:i4>1095</vt:i4>
      </vt:variant>
      <vt:variant>
        <vt:i4>0</vt:i4>
      </vt:variant>
      <vt:variant>
        <vt:i4>5</vt:i4>
      </vt:variant>
      <vt:variant>
        <vt:lpwstr>http://classiques.uqac.ca/classiques/roumain_jacques/gouverneurs_de_la_rosee/gouverneurs_de_la_rosee.html</vt:lpwstr>
      </vt:variant>
      <vt:variant>
        <vt:lpwstr/>
      </vt:variant>
      <vt:variant>
        <vt:i4>3932284</vt:i4>
      </vt:variant>
      <vt:variant>
        <vt:i4>1092</vt:i4>
      </vt:variant>
      <vt:variant>
        <vt:i4>0</vt:i4>
      </vt:variant>
      <vt:variant>
        <vt:i4>5</vt:i4>
      </vt:variant>
      <vt:variant>
        <vt:lpwstr>http://portail.unesco.org/culture/fr/.html</vt:lpwstr>
      </vt:variant>
      <vt:variant>
        <vt:lpwstr/>
      </vt:variant>
      <vt:variant>
        <vt:i4>2031693</vt:i4>
      </vt:variant>
      <vt:variant>
        <vt:i4>1089</vt:i4>
      </vt:variant>
      <vt:variant>
        <vt:i4>0</vt:i4>
      </vt:variant>
      <vt:variant>
        <vt:i4>5</vt:i4>
      </vt:variant>
      <vt:variant>
        <vt:lpwstr>http://classiques.uqac.ca/contemporains/regulus_samuel/vodou_haitien_patrimonialite_enjeux/vodou_haitien.html</vt:lpwstr>
      </vt:variant>
      <vt:variant>
        <vt:lpwstr/>
      </vt:variant>
      <vt:variant>
        <vt:i4>8257610</vt:i4>
      </vt:variant>
      <vt:variant>
        <vt:i4>1086</vt:i4>
      </vt:variant>
      <vt:variant>
        <vt:i4>0</vt:i4>
      </vt:variant>
      <vt:variant>
        <vt:i4>5</vt:i4>
      </vt:variant>
      <vt:variant>
        <vt:lpwstr>http://etudescaribeennes.revues.org/390</vt:lpwstr>
      </vt:variant>
      <vt:variant>
        <vt:lpwstr/>
      </vt:variant>
      <vt:variant>
        <vt:i4>3539034</vt:i4>
      </vt:variant>
      <vt:variant>
        <vt:i4>1083</vt:i4>
      </vt:variant>
      <vt:variant>
        <vt:i4>0</vt:i4>
      </vt:variant>
      <vt:variant>
        <vt:i4>5</vt:i4>
      </vt:variant>
      <vt:variant>
        <vt:lpwstr>http://dx.doi.org/doi:10.1522/030174844</vt:lpwstr>
      </vt:variant>
      <vt:variant>
        <vt:lpwstr/>
      </vt:variant>
      <vt:variant>
        <vt:i4>5242917</vt:i4>
      </vt:variant>
      <vt:variant>
        <vt:i4>1080</vt:i4>
      </vt:variant>
      <vt:variant>
        <vt:i4>0</vt:i4>
      </vt:variant>
      <vt:variant>
        <vt:i4>5</vt:i4>
      </vt:variant>
      <vt:variant>
        <vt:lpwstr>http://classiques.uqac.ca/classiques/price_mars_jean/bilan_etudes_haiti/bilan_etudes_haiti.html</vt:lpwstr>
      </vt:variant>
      <vt:variant>
        <vt:lpwstr/>
      </vt:variant>
      <vt:variant>
        <vt:i4>3539036</vt:i4>
      </vt:variant>
      <vt:variant>
        <vt:i4>1077</vt:i4>
      </vt:variant>
      <vt:variant>
        <vt:i4>0</vt:i4>
      </vt:variant>
      <vt:variant>
        <vt:i4>5</vt:i4>
      </vt:variant>
      <vt:variant>
        <vt:lpwstr>http://dx.doi.org/doi:10.1522/030174842</vt:lpwstr>
      </vt:variant>
      <vt:variant>
        <vt:lpwstr/>
      </vt:variant>
      <vt:variant>
        <vt:i4>3276887</vt:i4>
      </vt:variant>
      <vt:variant>
        <vt:i4>1074</vt:i4>
      </vt:variant>
      <vt:variant>
        <vt:i4>0</vt:i4>
      </vt:variant>
      <vt:variant>
        <vt:i4>5</vt:i4>
      </vt:variant>
      <vt:variant>
        <vt:lpwstr>http://dx.doi.org/doi:10.1522/030151754</vt:lpwstr>
      </vt:variant>
      <vt:variant>
        <vt:lpwstr/>
      </vt:variant>
      <vt:variant>
        <vt:i4>3539034</vt:i4>
      </vt:variant>
      <vt:variant>
        <vt:i4>1071</vt:i4>
      </vt:variant>
      <vt:variant>
        <vt:i4>0</vt:i4>
      </vt:variant>
      <vt:variant>
        <vt:i4>5</vt:i4>
      </vt:variant>
      <vt:variant>
        <vt:lpwstr>http://dx.doi.org/doi:10.1522/030174844</vt:lpwstr>
      </vt:variant>
      <vt:variant>
        <vt:lpwstr/>
      </vt:variant>
      <vt:variant>
        <vt:i4>655394</vt:i4>
      </vt:variant>
      <vt:variant>
        <vt:i4>1068</vt:i4>
      </vt:variant>
      <vt:variant>
        <vt:i4>0</vt:i4>
      </vt:variant>
      <vt:variant>
        <vt:i4>5</vt:i4>
      </vt:variant>
      <vt:variant>
        <vt:lpwstr>http://classiques.uqac.ca/classiques/price_hannibal/rehabilitation_race_noire_haiti/rehabilitation_race_noire_haiti.html</vt:lpwstr>
      </vt:variant>
      <vt:variant>
        <vt:lpwstr/>
      </vt:variant>
      <vt:variant>
        <vt:i4>5505127</vt:i4>
      </vt:variant>
      <vt:variant>
        <vt:i4>1065</vt:i4>
      </vt:variant>
      <vt:variant>
        <vt:i4>0</vt:i4>
      </vt:variant>
      <vt:variant>
        <vt:i4>5</vt:i4>
      </vt:variant>
      <vt:variant>
        <vt:lpwstr>http://dx.doi.org/doi:10.1522/cla.pij.pen</vt:lpwstr>
      </vt:variant>
      <vt:variant>
        <vt:lpwstr/>
      </vt:variant>
      <vt:variant>
        <vt:i4>2490485</vt:i4>
      </vt:variant>
      <vt:variant>
        <vt:i4>1062</vt:i4>
      </vt:variant>
      <vt:variant>
        <vt:i4>0</vt:i4>
      </vt:variant>
      <vt:variant>
        <vt:i4>5</vt:i4>
      </vt:variant>
      <vt:variant>
        <vt:lpwstr>http://radiokiskeya.com/spip.php?breve1605</vt:lpwstr>
      </vt:variant>
      <vt:variant>
        <vt:lpwstr/>
      </vt:variant>
      <vt:variant>
        <vt:i4>7733276</vt:i4>
      </vt:variant>
      <vt:variant>
        <vt:i4>1059</vt:i4>
      </vt:variant>
      <vt:variant>
        <vt:i4>0</vt:i4>
      </vt:variant>
      <vt:variant>
        <vt:i4>5</vt:i4>
      </vt:variant>
      <vt:variant>
        <vt:lpwstr>http://lenouvelliste.com/lenouvelliste/article/41536/Texte-de-presentation-de-Leslie-Pean-a-lAcademie-Dominicaine-dHistoire</vt:lpwstr>
      </vt:variant>
      <vt:variant>
        <vt:lpwstr/>
      </vt:variant>
      <vt:variant>
        <vt:i4>6422535</vt:i4>
      </vt:variant>
      <vt:variant>
        <vt:i4>1056</vt:i4>
      </vt:variant>
      <vt:variant>
        <vt:i4>0</vt:i4>
      </vt:variant>
      <vt:variant>
        <vt:i4>5</vt:i4>
      </vt:variant>
      <vt:variant>
        <vt:lpwstr>http://www.alterpresse.org/spip.php?article15461</vt:lpwstr>
      </vt:variant>
      <vt:variant>
        <vt:lpwstr>nb5</vt:lpwstr>
      </vt:variant>
      <vt:variant>
        <vt:i4>8257568</vt:i4>
      </vt:variant>
      <vt:variant>
        <vt:i4>1053</vt:i4>
      </vt:variant>
      <vt:variant>
        <vt:i4>0</vt:i4>
      </vt:variant>
      <vt:variant>
        <vt:i4>5</vt:i4>
      </vt:variant>
      <vt:variant>
        <vt:lpwstr>http://www.alterpresse.org/spip.php?article14332</vt:lpwstr>
      </vt:variant>
      <vt:variant>
        <vt:lpwstr>.VBy4U</vt:lpwstr>
      </vt:variant>
      <vt:variant>
        <vt:i4>5308521</vt:i4>
      </vt:variant>
      <vt:variant>
        <vt:i4>1050</vt:i4>
      </vt:variant>
      <vt:variant>
        <vt:i4>0</vt:i4>
      </vt:variant>
      <vt:variant>
        <vt:i4>5</vt:i4>
      </vt:variant>
      <vt:variant>
        <vt:lpwstr>http://www.radiokiskeya.com/spip.php?article10254</vt:lpwstr>
      </vt:variant>
      <vt:variant>
        <vt:lpwstr/>
      </vt:variant>
      <vt:variant>
        <vt:i4>6029336</vt:i4>
      </vt:variant>
      <vt:variant>
        <vt:i4>1047</vt:i4>
      </vt:variant>
      <vt:variant>
        <vt:i4>0</vt:i4>
      </vt:variant>
      <vt:variant>
        <vt:i4>5</vt:i4>
      </vt:variant>
      <vt:variant>
        <vt:lpwstr>http://www.alterpresse.org/spip.php?article19029</vt:lpwstr>
      </vt:variant>
      <vt:variant>
        <vt:lpwstr>.VjoJomQvcy4</vt:lpwstr>
      </vt:variant>
      <vt:variant>
        <vt:i4>4128853</vt:i4>
      </vt:variant>
      <vt:variant>
        <vt:i4>1044</vt:i4>
      </vt:variant>
      <vt:variant>
        <vt:i4>0</vt:i4>
      </vt:variant>
      <vt:variant>
        <vt:i4>5</vt:i4>
      </vt:variant>
      <vt:variant>
        <vt:lpwstr>http://www.touthaiti.com/economie/2424-leslie-pean-thomas-jefferson-disait-confiner-la-peste-dans-son-ile-marasme-economique-transmission-des-savoirs-et-langues-6-de-6</vt:lpwstr>
      </vt:variant>
      <vt:variant>
        <vt:lpwstr>_edn4</vt:lpwstr>
      </vt:variant>
      <vt:variant>
        <vt:i4>2752619</vt:i4>
      </vt:variant>
      <vt:variant>
        <vt:i4>1041</vt:i4>
      </vt:variant>
      <vt:variant>
        <vt:i4>0</vt:i4>
      </vt:variant>
      <vt:variant>
        <vt:i4>5</vt:i4>
      </vt:variant>
      <vt:variant>
        <vt:lpwstr>Leslie%20P%C3%A9an,%20</vt:lpwstr>
      </vt:variant>
      <vt:variant>
        <vt:lpwstr/>
      </vt:variant>
      <vt:variant>
        <vt:i4>4587539</vt:i4>
      </vt:variant>
      <vt:variant>
        <vt:i4>1038</vt:i4>
      </vt:variant>
      <vt:variant>
        <vt:i4>0</vt:i4>
      </vt:variant>
      <vt:variant>
        <vt:i4>5</vt:i4>
      </vt:variant>
      <vt:variant>
        <vt:lpwstr>http://www.alterpresse.org/spip.php?article15298</vt:lpwstr>
      </vt:variant>
      <vt:variant>
        <vt:lpwstr>.UwU53PldW8A</vt:lpwstr>
      </vt:variant>
      <vt:variant>
        <vt:i4>3473444</vt:i4>
      </vt:variant>
      <vt:variant>
        <vt:i4>1035</vt:i4>
      </vt:variant>
      <vt:variant>
        <vt:i4>0</vt:i4>
      </vt:variant>
      <vt:variant>
        <vt:i4>5</vt:i4>
      </vt:variant>
      <vt:variant>
        <vt:lpwstr>http://www.un.org/french/WCAR/durban_fr.pdf</vt:lpwstr>
      </vt:variant>
      <vt:variant>
        <vt:lpwstr/>
      </vt:variant>
      <vt:variant>
        <vt:i4>5701673</vt:i4>
      </vt:variant>
      <vt:variant>
        <vt:i4>1032</vt:i4>
      </vt:variant>
      <vt:variant>
        <vt:i4>0</vt:i4>
      </vt:variant>
      <vt:variant>
        <vt:i4>5</vt:i4>
      </vt:variant>
      <vt:variant>
        <vt:lpwstr>http://www.lefigaro.fr/international/2010/02/04/01003-20100204ARTFIG00002-en-haiti-le-vaudou-est-toujours-debout-.php</vt:lpwstr>
      </vt:variant>
      <vt:variant>
        <vt:lpwstr/>
      </vt:variant>
      <vt:variant>
        <vt:i4>6815763</vt:i4>
      </vt:variant>
      <vt:variant>
        <vt:i4>1029</vt:i4>
      </vt:variant>
      <vt:variant>
        <vt:i4>0</vt:i4>
      </vt:variant>
      <vt:variant>
        <vt:i4>5</vt:i4>
      </vt:variant>
      <vt:variant>
        <vt:lpwstr>http://anabases.revues.org/1531</vt:lpwstr>
      </vt:variant>
      <vt:variant>
        <vt:lpwstr/>
      </vt:variant>
      <vt:variant>
        <vt:i4>3997719</vt:i4>
      </vt:variant>
      <vt:variant>
        <vt:i4>1026</vt:i4>
      </vt:variant>
      <vt:variant>
        <vt:i4>0</vt:i4>
      </vt:variant>
      <vt:variant>
        <vt:i4>5</vt:i4>
      </vt:variant>
      <vt:variant>
        <vt:lpwstr>http://echogeo.revues.org/11300</vt:lpwstr>
      </vt:variant>
      <vt:variant>
        <vt:lpwstr/>
      </vt:variant>
      <vt:variant>
        <vt:i4>3538991</vt:i4>
      </vt:variant>
      <vt:variant>
        <vt:i4>1023</vt:i4>
      </vt:variant>
      <vt:variant>
        <vt:i4>0</vt:i4>
      </vt:variant>
      <vt:variant>
        <vt:i4>5</vt:i4>
      </vt:variant>
      <vt:variant>
        <vt:lpwstr>http://www.minustah.org/le-rara-rythme-vaudou/</vt:lpwstr>
      </vt:variant>
      <vt:variant>
        <vt:lpwstr/>
      </vt:variant>
      <vt:variant>
        <vt:i4>589929</vt:i4>
      </vt:variant>
      <vt:variant>
        <vt:i4>1020</vt:i4>
      </vt:variant>
      <vt:variant>
        <vt:i4>0</vt:i4>
      </vt:variant>
      <vt:variant>
        <vt:i4>5</vt:i4>
      </vt:variant>
      <vt:variant>
        <vt:lpwstr>http://www.tanbou.com/2008/TrajectoireFrancaisCreoleHaiti.htm</vt:lpwstr>
      </vt:variant>
      <vt:variant>
        <vt:lpwstr/>
      </vt:variant>
      <vt:variant>
        <vt:i4>2949223</vt:i4>
      </vt:variant>
      <vt:variant>
        <vt:i4>1017</vt:i4>
      </vt:variant>
      <vt:variant>
        <vt:i4>0</vt:i4>
      </vt:variant>
      <vt:variant>
        <vt:i4>5</vt:i4>
      </vt:variant>
      <vt:variant>
        <vt:lpwstr>http://www.napoleon.org/fr/salle_lecture/articles/files/stdomingue_fevrier1802.asp</vt:lpwstr>
      </vt:variant>
      <vt:variant>
        <vt:lpwstr/>
      </vt:variant>
      <vt:variant>
        <vt:i4>1441890</vt:i4>
      </vt:variant>
      <vt:variant>
        <vt:i4>1014</vt:i4>
      </vt:variant>
      <vt:variant>
        <vt:i4>0</vt:i4>
      </vt:variant>
      <vt:variant>
        <vt:i4>5</vt:i4>
      </vt:variant>
      <vt:variant>
        <vt:lpwstr>http://www.sudoc.fr/04850243X</vt:lpwstr>
      </vt:variant>
      <vt:variant>
        <vt:lpwstr/>
      </vt:variant>
      <vt:variant>
        <vt:i4>1441890</vt:i4>
      </vt:variant>
      <vt:variant>
        <vt:i4>1011</vt:i4>
      </vt:variant>
      <vt:variant>
        <vt:i4>0</vt:i4>
      </vt:variant>
      <vt:variant>
        <vt:i4>5</vt:i4>
      </vt:variant>
      <vt:variant>
        <vt:lpwstr>http://www.sudoc.fr/04850243X</vt:lpwstr>
      </vt:variant>
      <vt:variant>
        <vt:lpwstr/>
      </vt:variant>
      <vt:variant>
        <vt:i4>1966085</vt:i4>
      </vt:variant>
      <vt:variant>
        <vt:i4>1008</vt:i4>
      </vt:variant>
      <vt:variant>
        <vt:i4>0</vt:i4>
      </vt:variant>
      <vt:variant>
        <vt:i4>5</vt:i4>
      </vt:variant>
      <vt:variant>
        <vt:lpwstr>http://unesdoc.unesco.org/images/0013/001337/133738f.pdf</vt:lpwstr>
      </vt:variant>
      <vt:variant>
        <vt:lpwstr/>
      </vt:variant>
      <vt:variant>
        <vt:i4>7471202</vt:i4>
      </vt:variant>
      <vt:variant>
        <vt:i4>1005</vt:i4>
      </vt:variant>
      <vt:variant>
        <vt:i4>0</vt:i4>
      </vt:variant>
      <vt:variant>
        <vt:i4>5</vt:i4>
      </vt:variant>
      <vt:variant>
        <vt:lpwstr>https://archive.org/details/lacrisehaitienne00mani</vt:lpwstr>
      </vt:variant>
      <vt:variant>
        <vt:lpwstr/>
      </vt:variant>
      <vt:variant>
        <vt:i4>262241</vt:i4>
      </vt:variant>
      <vt:variant>
        <vt:i4>1002</vt:i4>
      </vt:variant>
      <vt:variant>
        <vt:i4>0</vt:i4>
      </vt:variant>
      <vt:variant>
        <vt:i4>5</vt:i4>
      </vt:variant>
      <vt:variant>
        <vt:lpwstr>http://www.listindiario.com/puntos-de-vista/2013/09/30/294004/la-sentencia-del-tc</vt:lpwstr>
      </vt:variant>
      <vt:variant>
        <vt:lpwstr/>
      </vt:variant>
      <vt:variant>
        <vt:i4>1376281</vt:i4>
      </vt:variant>
      <vt:variant>
        <vt:i4>999</vt:i4>
      </vt:variant>
      <vt:variant>
        <vt:i4>0</vt:i4>
      </vt:variant>
      <vt:variant>
        <vt:i4>5</vt:i4>
      </vt:variant>
      <vt:variant>
        <vt:lpwstr>http://www.slate.fr/story/4839/la-traite-n%C3%A9gri%C3%A8re-reste-un-sujet-tabou</vt:lpwstr>
      </vt:variant>
      <vt:variant>
        <vt:lpwstr/>
      </vt:variant>
      <vt:variant>
        <vt:i4>3735666</vt:i4>
      </vt:variant>
      <vt:variant>
        <vt:i4>996</vt:i4>
      </vt:variant>
      <vt:variant>
        <vt:i4>0</vt:i4>
      </vt:variant>
      <vt:variant>
        <vt:i4>5</vt:i4>
      </vt:variant>
      <vt:variant>
        <vt:lpwstr>http://bcs.fltr.ucl.ac.be/fe/05/toponymie.html</vt:lpwstr>
      </vt:variant>
      <vt:variant>
        <vt:lpwstr/>
      </vt:variant>
      <vt:variant>
        <vt:i4>1245242</vt:i4>
      </vt:variant>
      <vt:variant>
        <vt:i4>993</vt:i4>
      </vt:variant>
      <vt:variant>
        <vt:i4>0</vt:i4>
      </vt:variant>
      <vt:variant>
        <vt:i4>5</vt:i4>
      </vt:variant>
      <vt:variant>
        <vt:lpwstr>http://osp.revues.org/752</vt:lpwstr>
      </vt:variant>
      <vt:variant>
        <vt:lpwstr/>
      </vt:variant>
      <vt:variant>
        <vt:i4>6619172</vt:i4>
      </vt:variant>
      <vt:variant>
        <vt:i4>990</vt:i4>
      </vt:variant>
      <vt:variant>
        <vt:i4>0</vt:i4>
      </vt:variant>
      <vt:variant>
        <vt:i4>5</vt:i4>
      </vt:variant>
      <vt:variant>
        <vt:lpwstr>http://www.bf.refer.org/sissao/html/p2chap15_4.html</vt:lpwstr>
      </vt:variant>
      <vt:variant>
        <vt:lpwstr/>
      </vt:variant>
      <vt:variant>
        <vt:i4>6094931</vt:i4>
      </vt:variant>
      <vt:variant>
        <vt:i4>987</vt:i4>
      </vt:variant>
      <vt:variant>
        <vt:i4>0</vt:i4>
      </vt:variant>
      <vt:variant>
        <vt:i4>5</vt:i4>
      </vt:variant>
      <vt:variant>
        <vt:lpwstr>http://classiques.uqac.ca/contemporains/laroche_maximilien/double_scene_representation/double_scene.html</vt:lpwstr>
      </vt:variant>
      <vt:variant>
        <vt:lpwstr/>
      </vt:variant>
      <vt:variant>
        <vt:i4>7012463</vt:i4>
      </vt:variant>
      <vt:variant>
        <vt:i4>984</vt:i4>
      </vt:variant>
      <vt:variant>
        <vt:i4>0</vt:i4>
      </vt:variant>
      <vt:variant>
        <vt:i4>5</vt:i4>
      </vt:variant>
      <vt:variant>
        <vt:lpwstr>http://www.haitilibre.com/article-5597-haiti-politique-texte-de-la-politique-generale-du-premier-ministre-premiere-partie.html</vt:lpwstr>
      </vt:variant>
      <vt:variant>
        <vt:lpwstr/>
      </vt:variant>
      <vt:variant>
        <vt:i4>3539036</vt:i4>
      </vt:variant>
      <vt:variant>
        <vt:i4>981</vt:i4>
      </vt:variant>
      <vt:variant>
        <vt:i4>0</vt:i4>
      </vt:variant>
      <vt:variant>
        <vt:i4>5</vt:i4>
      </vt:variant>
      <vt:variant>
        <vt:lpwstr>http://dx.doi.org/doi:10.1522/030165952</vt:lpwstr>
      </vt:variant>
      <vt:variant>
        <vt:lpwstr/>
      </vt:variant>
      <vt:variant>
        <vt:i4>2162795</vt:i4>
      </vt:variant>
      <vt:variant>
        <vt:i4>978</vt:i4>
      </vt:variant>
      <vt:variant>
        <vt:i4>0</vt:i4>
      </vt:variant>
      <vt:variant>
        <vt:i4>5</vt:i4>
      </vt:variant>
      <vt:variant>
        <vt:lpwstr>http://lenouvelliste.com/lenouvelliste/article/124076/Dessalines-a-la-rencontre-de-Petion-Au-dela-du-slogan-politique.html</vt:lpwstr>
      </vt:variant>
      <vt:variant>
        <vt:lpwstr/>
      </vt:variant>
      <vt:variant>
        <vt:i4>2228297</vt:i4>
      </vt:variant>
      <vt:variant>
        <vt:i4>975</vt:i4>
      </vt:variant>
      <vt:variant>
        <vt:i4>0</vt:i4>
      </vt:variant>
      <vt:variant>
        <vt:i4>5</vt:i4>
      </vt:variant>
      <vt:variant>
        <vt:lpwstr>http://www.anamnesis.fl.ulaval.ca/andromeda</vt:lpwstr>
      </vt:variant>
      <vt:variant>
        <vt:lpwstr/>
      </vt:variant>
      <vt:variant>
        <vt:i4>7208988</vt:i4>
      </vt:variant>
      <vt:variant>
        <vt:i4>972</vt:i4>
      </vt:variant>
      <vt:variant>
        <vt:i4>0</vt:i4>
      </vt:variant>
      <vt:variant>
        <vt:i4>5</vt:i4>
      </vt:variant>
      <vt:variant>
        <vt:lpwstr>http://www.parl.gc.ca/content/lop/researchpublications/933-f.htm</vt:lpwstr>
      </vt:variant>
      <vt:variant>
        <vt:lpwstr>D%C3%89FINITION</vt:lpwstr>
      </vt:variant>
      <vt:variant>
        <vt:i4>458862</vt:i4>
      </vt:variant>
      <vt:variant>
        <vt:i4>969</vt:i4>
      </vt:variant>
      <vt:variant>
        <vt:i4>0</vt:i4>
      </vt:variant>
      <vt:variant>
        <vt:i4>5</vt:i4>
      </vt:variant>
      <vt:variant>
        <vt:lpwstr>http://lenouvelliste.com/lenouvelliste/article/140039/Pour-les-20-ans-de-La-Route-de-lesclave</vt:lpwstr>
      </vt:variant>
      <vt:variant>
        <vt:lpwstr/>
      </vt:variant>
      <vt:variant>
        <vt:i4>3276908</vt:i4>
      </vt:variant>
      <vt:variant>
        <vt:i4>966</vt:i4>
      </vt:variant>
      <vt:variant>
        <vt:i4>0</vt:i4>
      </vt:variant>
      <vt:variant>
        <vt:i4>5</vt:i4>
      </vt:variant>
      <vt:variant>
        <vt:lpwstr>http://www.unesco.org/csi/pub/papers/papf24.htm</vt:lpwstr>
      </vt:variant>
      <vt:variant>
        <vt:lpwstr>5</vt:lpwstr>
      </vt:variant>
      <vt:variant>
        <vt:i4>8323108</vt:i4>
      </vt:variant>
      <vt:variant>
        <vt:i4>963</vt:i4>
      </vt:variant>
      <vt:variant>
        <vt:i4>0</vt:i4>
      </vt:variant>
      <vt:variant>
        <vt:i4>5</vt:i4>
      </vt:variant>
      <vt:variant>
        <vt:lpwstr>http://classiques.uqac.ca/contemporains/hurbon_laennec/culture_et_dictature_en_Haiti/culture_et_dictature_en_Haiti.html</vt:lpwstr>
      </vt:variant>
      <vt:variant>
        <vt:lpwstr/>
      </vt:variant>
      <vt:variant>
        <vt:i4>3276884</vt:i4>
      </vt:variant>
      <vt:variant>
        <vt:i4>960</vt:i4>
      </vt:variant>
      <vt:variant>
        <vt:i4>0</vt:i4>
      </vt:variant>
      <vt:variant>
        <vt:i4>5</vt:i4>
      </vt:variant>
      <vt:variant>
        <vt:lpwstr>http://dx.doi.org/doi:10.1522/030174406</vt:lpwstr>
      </vt:variant>
      <vt:variant>
        <vt:lpwstr/>
      </vt:variant>
      <vt:variant>
        <vt:i4>3407957</vt:i4>
      </vt:variant>
      <vt:variant>
        <vt:i4>957</vt:i4>
      </vt:variant>
      <vt:variant>
        <vt:i4>0</vt:i4>
      </vt:variant>
      <vt:variant>
        <vt:i4>5</vt:i4>
      </vt:variant>
      <vt:variant>
        <vt:lpwstr>http://dx.doi.org/doi:10.1522/030174467</vt:lpwstr>
      </vt:variant>
      <vt:variant>
        <vt:lpwstr/>
      </vt:variant>
      <vt:variant>
        <vt:i4>7536694</vt:i4>
      </vt:variant>
      <vt:variant>
        <vt:i4>954</vt:i4>
      </vt:variant>
      <vt:variant>
        <vt:i4>0</vt:i4>
      </vt:variant>
      <vt:variant>
        <vt:i4>5</vt:i4>
      </vt:variant>
      <vt:variant>
        <vt:lpwstr>http://gradhiva.revues.org/336</vt:lpwstr>
      </vt:variant>
      <vt:variant>
        <vt:lpwstr/>
      </vt:variant>
      <vt:variant>
        <vt:i4>8323108</vt:i4>
      </vt:variant>
      <vt:variant>
        <vt:i4>951</vt:i4>
      </vt:variant>
      <vt:variant>
        <vt:i4>0</vt:i4>
      </vt:variant>
      <vt:variant>
        <vt:i4>5</vt:i4>
      </vt:variant>
      <vt:variant>
        <vt:lpwstr>http://classiques.uqac.ca/contemporains/hurbon_laennec/statut_du_vodou_hist_anthropo/statut_du_vodou_hist_anthropo.html</vt:lpwstr>
      </vt:variant>
      <vt:variant>
        <vt:lpwstr/>
      </vt:variant>
      <vt:variant>
        <vt:i4>3211349</vt:i4>
      </vt:variant>
      <vt:variant>
        <vt:i4>948</vt:i4>
      </vt:variant>
      <vt:variant>
        <vt:i4>0</vt:i4>
      </vt:variant>
      <vt:variant>
        <vt:i4>5</vt:i4>
      </vt:variant>
      <vt:variant>
        <vt:lpwstr>http://dx.doi.org/doi:10.1522/030153243</vt:lpwstr>
      </vt:variant>
      <vt:variant>
        <vt:lpwstr/>
      </vt:variant>
      <vt:variant>
        <vt:i4>2097181</vt:i4>
      </vt:variant>
      <vt:variant>
        <vt:i4>945</vt:i4>
      </vt:variant>
      <vt:variant>
        <vt:i4>0</vt:i4>
      </vt:variant>
      <vt:variant>
        <vt:i4>5</vt:i4>
      </vt:variant>
      <vt:variant>
        <vt:lpwstr>http://classiques.uqac.ca/contemporains/hoffmann_leon_francois/complexite_ linguistique/complexite_linguistique_texte.html</vt:lpwstr>
      </vt:variant>
      <vt:variant>
        <vt:lpwstr>_ftnref</vt:lpwstr>
      </vt:variant>
      <vt:variant>
        <vt:i4>3932249</vt:i4>
      </vt:variant>
      <vt:variant>
        <vt:i4>942</vt:i4>
      </vt:variant>
      <vt:variant>
        <vt:i4>0</vt:i4>
      </vt:variant>
      <vt:variant>
        <vt:i4>5</vt:i4>
      </vt:variant>
      <vt:variant>
        <vt:lpwstr>http://dx.doi.org/doi:10.1522/030596485</vt:lpwstr>
      </vt:variant>
      <vt:variant>
        <vt:lpwstr/>
      </vt:variant>
      <vt:variant>
        <vt:i4>3473494</vt:i4>
      </vt:variant>
      <vt:variant>
        <vt:i4>939</vt:i4>
      </vt:variant>
      <vt:variant>
        <vt:i4>0</vt:i4>
      </vt:variant>
      <vt:variant>
        <vt:i4>5</vt:i4>
      </vt:variant>
      <vt:variant>
        <vt:lpwstr>http://dx.doi.org/doi:10.1522/030592957</vt:lpwstr>
      </vt:variant>
      <vt:variant>
        <vt:lpwstr/>
      </vt:variant>
      <vt:variant>
        <vt:i4>5767216</vt:i4>
      </vt:variant>
      <vt:variant>
        <vt:i4>936</vt:i4>
      </vt:variant>
      <vt:variant>
        <vt:i4>0</vt:i4>
      </vt:variant>
      <vt:variant>
        <vt:i4>5</vt:i4>
      </vt:variant>
      <vt:variant>
        <vt:lpwstr>http://classiques.uqac.ca/contemporains/hoffmann_leon_francois/Haiti_couleurs_croyances_creole/Haiti_couleurs_croyances_creole.html</vt:lpwstr>
      </vt:variant>
      <vt:variant>
        <vt:lpwstr/>
      </vt:variant>
      <vt:variant>
        <vt:i4>3276891</vt:i4>
      </vt:variant>
      <vt:variant>
        <vt:i4>933</vt:i4>
      </vt:variant>
      <vt:variant>
        <vt:i4>0</vt:i4>
      </vt:variant>
      <vt:variant>
        <vt:i4>5</vt:i4>
      </vt:variant>
      <vt:variant>
        <vt:lpwstr>http://dx.doi.org/doi:10.1522/030596162</vt:lpwstr>
      </vt:variant>
      <vt:variant>
        <vt:lpwstr/>
      </vt:variant>
      <vt:variant>
        <vt:i4>6422572</vt:i4>
      </vt:variant>
      <vt:variant>
        <vt:i4>930</vt:i4>
      </vt:variant>
      <vt:variant>
        <vt:i4>0</vt:i4>
      </vt:variant>
      <vt:variant>
        <vt:i4>5</vt:i4>
      </vt:variant>
      <vt:variant>
        <vt:lpwstr>http://www.persee.fr/web/revues/home/prescript/article/ahrf_00034436_ 1993_  num_ 293_1_3395</vt:lpwstr>
      </vt:variant>
      <vt:variant>
        <vt:lpwstr/>
      </vt:variant>
      <vt:variant>
        <vt:i4>3407957</vt:i4>
      </vt:variant>
      <vt:variant>
        <vt:i4>927</vt:i4>
      </vt:variant>
      <vt:variant>
        <vt:i4>0</vt:i4>
      </vt:variant>
      <vt:variant>
        <vt:i4>5</vt:i4>
      </vt:variant>
      <vt:variant>
        <vt:lpwstr>http://dx.doi.org/doi:10.1522/030174467</vt:lpwstr>
      </vt:variant>
      <vt:variant>
        <vt:lpwstr/>
      </vt:variant>
      <vt:variant>
        <vt:i4>5767265</vt:i4>
      </vt:variant>
      <vt:variant>
        <vt:i4>924</vt:i4>
      </vt:variant>
      <vt:variant>
        <vt:i4>0</vt:i4>
      </vt:variant>
      <vt:variant>
        <vt:i4>5</vt:i4>
      </vt:variant>
      <vt:variant>
        <vt:lpwstr>http://dx.doi.org/doi:10.1522/cla.ham.cad</vt:lpwstr>
      </vt:variant>
      <vt:variant>
        <vt:lpwstr/>
      </vt:variant>
      <vt:variant>
        <vt:i4>7143526</vt:i4>
      </vt:variant>
      <vt:variant>
        <vt:i4>921</vt:i4>
      </vt:variant>
      <vt:variant>
        <vt:i4>0</vt:i4>
      </vt:variant>
      <vt:variant>
        <vt:i4>5</vt:i4>
      </vt:variant>
      <vt:variant>
        <vt:lpwstr>http://dx.doi.org/doi:10.1522/cla.ham.mem1</vt:lpwstr>
      </vt:variant>
      <vt:variant>
        <vt:lpwstr/>
      </vt:variant>
      <vt:variant>
        <vt:i4>7143512</vt:i4>
      </vt:variant>
      <vt:variant>
        <vt:i4>918</vt:i4>
      </vt:variant>
      <vt:variant>
        <vt:i4>0</vt:i4>
      </vt:variant>
      <vt:variant>
        <vt:i4>5</vt:i4>
      </vt:variant>
      <vt:variant>
        <vt:lpwstr>http://tice2.univ-reunion.fr/webdocs/crlhoiocs/cresoi/document/article_1810_1880_les_contradictions_du_siecle_du_sucre/les_contradictions_du_siecle_du_sucre.pdf</vt:lpwstr>
      </vt:variant>
      <vt:variant>
        <vt:lpwstr/>
      </vt:variant>
      <vt:variant>
        <vt:i4>4522096</vt:i4>
      </vt:variant>
      <vt:variant>
        <vt:i4>915</vt:i4>
      </vt:variant>
      <vt:variant>
        <vt:i4>0</vt:i4>
      </vt:variant>
      <vt:variant>
        <vt:i4>5</vt:i4>
      </vt:variant>
      <vt:variant>
        <vt:lpwstr>https://monoskop.org/images/2/22/Foucault_Michel_Surveiller_et_Punir_Naissance_de_la_Prison_2004.pdf</vt:lpwstr>
      </vt:variant>
      <vt:variant>
        <vt:lpwstr/>
      </vt:variant>
      <vt:variant>
        <vt:i4>6881309</vt:i4>
      </vt:variant>
      <vt:variant>
        <vt:i4>912</vt:i4>
      </vt:variant>
      <vt:variant>
        <vt:i4>0</vt:i4>
      </vt:variant>
      <vt:variant>
        <vt:i4>5</vt:i4>
      </vt:variant>
      <vt:variant>
        <vt:lpwstr>https://monoskop.org/images/5/58/Foucault_Michel_Dits_et_ecrits_4_1980-1988.pdf</vt:lpwstr>
      </vt:variant>
      <vt:variant>
        <vt:lpwstr/>
      </vt:variant>
      <vt:variant>
        <vt:i4>8323177</vt:i4>
      </vt:variant>
      <vt:variant>
        <vt:i4>909</vt:i4>
      </vt:variant>
      <vt:variant>
        <vt:i4>0</vt:i4>
      </vt:variant>
      <vt:variant>
        <vt:i4>5</vt:i4>
      </vt:variant>
      <vt:variant>
        <vt:lpwstr>https://monoskop.org/images/9/99/Foucault_Michel_Il_faut_defendre_la_societe.pdf</vt:lpwstr>
      </vt:variant>
      <vt:variant>
        <vt:lpwstr/>
      </vt:variant>
      <vt:variant>
        <vt:i4>3997775</vt:i4>
      </vt:variant>
      <vt:variant>
        <vt:i4>906</vt:i4>
      </vt:variant>
      <vt:variant>
        <vt:i4>0</vt:i4>
      </vt:variant>
      <vt:variant>
        <vt:i4>5</vt:i4>
      </vt:variant>
      <vt:variant>
        <vt:lpwstr>http://www.lemonde.fr/afrique/article/2015/05/10/cinq-choses-a-savoir-sur-le-memorial-acte-enguadeloupe_4630682_3212.html</vt:lpwstr>
      </vt:variant>
      <vt:variant>
        <vt:lpwstr>X%204cj14QMiFH8r1oK.99</vt:lpwstr>
      </vt:variant>
      <vt:variant>
        <vt:i4>8061010</vt:i4>
      </vt:variant>
      <vt:variant>
        <vt:i4>903</vt:i4>
      </vt:variant>
      <vt:variant>
        <vt:i4>0</vt:i4>
      </vt:variant>
      <vt:variant>
        <vt:i4>5</vt:i4>
      </vt:variant>
      <vt:variant>
        <vt:lpwstr>https://hal.archives-ouvertes.fr/halshs.../document</vt:lpwstr>
      </vt:variant>
      <vt:variant>
        <vt:lpwstr/>
      </vt:variant>
      <vt:variant>
        <vt:i4>3342425</vt:i4>
      </vt:variant>
      <vt:variant>
        <vt:i4>900</vt:i4>
      </vt:variant>
      <vt:variant>
        <vt:i4>0</vt:i4>
      </vt:variant>
      <vt:variant>
        <vt:i4>5</vt:i4>
      </vt:variant>
      <vt:variant>
        <vt:lpwstr>http://dx.doi.org/doi:10.1522/030294726</vt:lpwstr>
      </vt:variant>
      <vt:variant>
        <vt:lpwstr/>
      </vt:variant>
      <vt:variant>
        <vt:i4>3276894</vt:i4>
      </vt:variant>
      <vt:variant>
        <vt:i4>897</vt:i4>
      </vt:variant>
      <vt:variant>
        <vt:i4>0</vt:i4>
      </vt:variant>
      <vt:variant>
        <vt:i4>5</vt:i4>
      </vt:variant>
      <vt:variant>
        <vt:lpwstr>http://dx.doi.org/doi:10.1522/030294731</vt:lpwstr>
      </vt:variant>
      <vt:variant>
        <vt:lpwstr/>
      </vt:variant>
      <vt:variant>
        <vt:i4>8323110</vt:i4>
      </vt:variant>
      <vt:variant>
        <vt:i4>894</vt:i4>
      </vt:variant>
      <vt:variant>
        <vt:i4>0</vt:i4>
      </vt:variant>
      <vt:variant>
        <vt:i4>5</vt:i4>
      </vt:variant>
      <vt:variant>
        <vt:lpwstr>http://temporalites.revues.org/319</vt:lpwstr>
      </vt:variant>
      <vt:variant>
        <vt:lpwstr/>
      </vt:variant>
      <vt:variant>
        <vt:i4>8126526</vt:i4>
      </vt:variant>
      <vt:variant>
        <vt:i4>891</vt:i4>
      </vt:variant>
      <vt:variant>
        <vt:i4>0</vt:i4>
      </vt:variant>
      <vt:variant>
        <vt:i4>5</vt:i4>
      </vt:variant>
      <vt:variant>
        <vt:lpwstr>http://www.humanite.fr/node/432331</vt:lpwstr>
      </vt:variant>
      <vt:variant>
        <vt:lpwstr/>
      </vt:variant>
      <vt:variant>
        <vt:i4>1114212</vt:i4>
      </vt:variant>
      <vt:variant>
        <vt:i4>888</vt:i4>
      </vt:variant>
      <vt:variant>
        <vt:i4>0</vt:i4>
      </vt:variant>
      <vt:variant>
        <vt:i4>5</vt:i4>
      </vt:variant>
      <vt:variant>
        <vt:lpwstr>http://www.ades.cnrs.fr/IMG/pdf/GDM_PP_et_CT_Poitiers.pdf</vt:lpwstr>
      </vt:variant>
      <vt:variant>
        <vt:lpwstr/>
      </vt:variant>
      <vt:variant>
        <vt:i4>262232</vt:i4>
      </vt:variant>
      <vt:variant>
        <vt:i4>885</vt:i4>
      </vt:variant>
      <vt:variant>
        <vt:i4>0</vt:i4>
      </vt:variant>
      <vt:variant>
        <vt:i4>5</vt:i4>
      </vt:variant>
      <vt:variant>
        <vt:lpwstr>http://www.alterpresse.org/spip.php?article12657</vt:lpwstr>
      </vt:variant>
      <vt:variant>
        <vt:lpwstr/>
      </vt:variant>
      <vt:variant>
        <vt:i4>4456548</vt:i4>
      </vt:variant>
      <vt:variant>
        <vt:i4>882</vt:i4>
      </vt:variant>
      <vt:variant>
        <vt:i4>0</vt:i4>
      </vt:variant>
      <vt:variant>
        <vt:i4>5</vt:i4>
      </vt:variant>
      <vt:variant>
        <vt:lpwstr>http://www.politique-actu.com/debat/haiti-regis-debray/55859/</vt:lpwstr>
      </vt:variant>
      <vt:variant>
        <vt:lpwstr/>
      </vt:variant>
      <vt:variant>
        <vt:i4>7798833</vt:i4>
      </vt:variant>
      <vt:variant>
        <vt:i4>879</vt:i4>
      </vt:variant>
      <vt:variant>
        <vt:i4>0</vt:i4>
      </vt:variant>
      <vt:variant>
        <vt:i4>5</vt:i4>
      </vt:variant>
      <vt:variant>
        <vt:lpwstr>http://id.erudit.org/iderudit/303814ar</vt:lpwstr>
      </vt:variant>
      <vt:variant>
        <vt:lpwstr/>
      </vt:variant>
      <vt:variant>
        <vt:i4>4784245</vt:i4>
      </vt:variant>
      <vt:variant>
        <vt:i4>876</vt:i4>
      </vt:variant>
      <vt:variant>
        <vt:i4>0</vt:i4>
      </vt:variant>
      <vt:variant>
        <vt:i4>5</vt:i4>
      </vt:variant>
      <vt:variant>
        <vt:lpwstr>http://www.ipimh.ulaval.ca/fiche-rara-leogane-19.html</vt:lpwstr>
      </vt:variant>
      <vt:variant>
        <vt:lpwstr/>
      </vt:variant>
      <vt:variant>
        <vt:i4>2949244</vt:i4>
      </vt:variant>
      <vt:variant>
        <vt:i4>873</vt:i4>
      </vt:variant>
      <vt:variant>
        <vt:i4>0</vt:i4>
      </vt:variant>
      <vt:variant>
        <vt:i4>5</vt:i4>
      </vt:variant>
      <vt:variant>
        <vt:lpwstr>http://www.liberation.fr/planete/2010/03/25/haitila-dette-originelle_617159</vt:lpwstr>
      </vt:variant>
      <vt:variant>
        <vt:lpwstr/>
      </vt:variant>
      <vt:variant>
        <vt:i4>458802</vt:i4>
      </vt:variant>
      <vt:variant>
        <vt:i4>870</vt:i4>
      </vt:variant>
      <vt:variant>
        <vt:i4>0</vt:i4>
      </vt:variant>
      <vt:variant>
        <vt:i4>5</vt:i4>
      </vt:variant>
      <vt:variant>
        <vt:lpwstr>http://www.karthala.com/esclavages/2324-traites-et-les-esclavages-les-perspectives-historiques-et-contemporaines.html</vt:lpwstr>
      </vt:variant>
      <vt:variant>
        <vt:lpwstr/>
      </vt:variant>
      <vt:variant>
        <vt:i4>3342433</vt:i4>
      </vt:variant>
      <vt:variant>
        <vt:i4>867</vt:i4>
      </vt:variant>
      <vt:variant>
        <vt:i4>0</vt:i4>
      </vt:variant>
      <vt:variant>
        <vt:i4>5</vt:i4>
      </vt:variant>
      <vt:variant>
        <vt:lpwstr>http://www.ladocumentationfrancaise.fr/var/storage/rapports-publics/074000374/0000.pdf</vt:lpwstr>
      </vt:variant>
      <vt:variant>
        <vt:lpwstr/>
      </vt:variant>
      <vt:variant>
        <vt:i4>196622</vt:i4>
      </vt:variant>
      <vt:variant>
        <vt:i4>864</vt:i4>
      </vt:variant>
      <vt:variant>
        <vt:i4>0</vt:i4>
      </vt:variant>
      <vt:variant>
        <vt:i4>5</vt:i4>
      </vt:variant>
      <vt:variant>
        <vt:lpwstr>http://www.ladocumentationfrancaise.fr/var/storage/rapports-ublics/044000056.pdf</vt:lpwstr>
      </vt:variant>
      <vt:variant>
        <vt:lpwstr/>
      </vt:variant>
      <vt:variant>
        <vt:i4>7733366</vt:i4>
      </vt:variant>
      <vt:variant>
        <vt:i4>861</vt:i4>
      </vt:variant>
      <vt:variant>
        <vt:i4>0</vt:i4>
      </vt:variant>
      <vt:variant>
        <vt:i4>5</vt:i4>
      </vt:variant>
      <vt:variant>
        <vt:lpwstr>http://unipoplyon.fr/wordpress/wp-content/uploads/2010/04/textes-foucault-pouvoir-2-colonnes-_colson-corcuff-2010_-_2_.pdf</vt:lpwstr>
      </vt:variant>
      <vt:variant>
        <vt:lpwstr/>
      </vt:variant>
      <vt:variant>
        <vt:i4>5963880</vt:i4>
      </vt:variant>
      <vt:variant>
        <vt:i4>858</vt:i4>
      </vt:variant>
      <vt:variant>
        <vt:i4>0</vt:i4>
      </vt:variant>
      <vt:variant>
        <vt:i4>5</vt:i4>
      </vt:variant>
      <vt:variant>
        <vt:lpwstr>http://lahic.cnrs.fr/IMG/pdf/Ciarca_perte_durable.pdf</vt:lpwstr>
      </vt:variant>
      <vt:variant>
        <vt:lpwstr/>
      </vt:variant>
      <vt:variant>
        <vt:i4>196699</vt:i4>
      </vt:variant>
      <vt:variant>
        <vt:i4>855</vt:i4>
      </vt:variant>
      <vt:variant>
        <vt:i4>0</vt:i4>
      </vt:variant>
      <vt:variant>
        <vt:i4>5</vt:i4>
      </vt:variant>
      <vt:variant>
        <vt:lpwstr>http://lenouvelliste.com/lenouvelliste/article/29379/Patrimoine-National-enfin-le-declic</vt:lpwstr>
      </vt:variant>
      <vt:variant>
        <vt:lpwstr/>
      </vt:variant>
      <vt:variant>
        <vt:i4>7733300</vt:i4>
      </vt:variant>
      <vt:variant>
        <vt:i4>852</vt:i4>
      </vt:variant>
      <vt:variant>
        <vt:i4>0</vt:i4>
      </vt:variant>
      <vt:variant>
        <vt:i4>5</vt:i4>
      </vt:variant>
      <vt:variant>
        <vt:lpwstr>http://gradhiva.revues.org/313</vt:lpwstr>
      </vt:variant>
      <vt:variant>
        <vt:lpwstr/>
      </vt:variant>
      <vt:variant>
        <vt:i4>2818052</vt:i4>
      </vt:variant>
      <vt:variant>
        <vt:i4>849</vt:i4>
      </vt:variant>
      <vt:variant>
        <vt:i4>0</vt:i4>
      </vt:variant>
      <vt:variant>
        <vt:i4>5</vt:i4>
      </vt:variant>
      <vt:variant>
        <vt:lpwstr>http://gallica.bnf.fr/ark:/12148/bpt6k57838774/f8.item.zoom</vt:lpwstr>
      </vt:variant>
      <vt:variant>
        <vt:lpwstr/>
      </vt:variant>
      <vt:variant>
        <vt:i4>4784250</vt:i4>
      </vt:variant>
      <vt:variant>
        <vt:i4>846</vt:i4>
      </vt:variant>
      <vt:variant>
        <vt:i4>0</vt:i4>
      </vt:variant>
      <vt:variant>
        <vt:i4>5</vt:i4>
      </vt:variant>
      <vt:variant>
        <vt:lpwstr>http://www.persee.fr/doc/hom_0439-4216_1998_num_38_145_370431</vt:lpwstr>
      </vt:variant>
      <vt:variant>
        <vt:lpwstr/>
      </vt:variant>
      <vt:variant>
        <vt:i4>7602229</vt:i4>
      </vt:variant>
      <vt:variant>
        <vt:i4>843</vt:i4>
      </vt:variant>
      <vt:variant>
        <vt:i4>0</vt:i4>
      </vt:variant>
      <vt:variant>
        <vt:i4>5</vt:i4>
      </vt:variant>
      <vt:variant>
        <vt:lpwstr>http://gradhiva.revues.org/301</vt:lpwstr>
      </vt:variant>
      <vt:variant>
        <vt:lpwstr/>
      </vt:variant>
      <vt:variant>
        <vt:i4>7733304</vt:i4>
      </vt:variant>
      <vt:variant>
        <vt:i4>840</vt:i4>
      </vt:variant>
      <vt:variant>
        <vt:i4>0</vt:i4>
      </vt:variant>
      <vt:variant>
        <vt:i4>5</vt:i4>
      </vt:variant>
      <vt:variant>
        <vt:lpwstr>https://vimeo.com/22572070</vt:lpwstr>
      </vt:variant>
      <vt:variant>
        <vt:lpwstr/>
      </vt:variant>
      <vt:variant>
        <vt:i4>6160408</vt:i4>
      </vt:variant>
      <vt:variant>
        <vt:i4>837</vt:i4>
      </vt:variant>
      <vt:variant>
        <vt:i4>0</vt:i4>
      </vt:variant>
      <vt:variant>
        <vt:i4>5</vt:i4>
      </vt:variant>
      <vt:variant>
        <vt:lpwstr>http://lenouvelliste.com/lenouvelliste/article/134823/A-propos-des-vepres-de-Jeremie</vt:lpwstr>
      </vt:variant>
      <vt:variant>
        <vt:lpwstr/>
      </vt:variant>
      <vt:variant>
        <vt:i4>983115</vt:i4>
      </vt:variant>
      <vt:variant>
        <vt:i4>834</vt:i4>
      </vt:variant>
      <vt:variant>
        <vt:i4>0</vt:i4>
      </vt:variant>
      <vt:variant>
        <vt:i4>5</vt:i4>
      </vt:variant>
      <vt:variant>
        <vt:lpwstr>https://www.cairn.info/revue-materiaux-pour-l-histoire-de-notre-temps-2007-1-page-14.htm</vt:lpwstr>
      </vt:variant>
      <vt:variant>
        <vt:lpwstr/>
      </vt:variant>
      <vt:variant>
        <vt:i4>4522065</vt:i4>
      </vt:variant>
      <vt:variant>
        <vt:i4>831</vt:i4>
      </vt:variant>
      <vt:variant>
        <vt:i4>0</vt:i4>
      </vt:variant>
      <vt:variant>
        <vt:i4>5</vt:i4>
      </vt:variant>
      <vt:variant>
        <vt:lpwstr>http://www.philippe-berthelot-conteur.com/le-conte-traditionnel-d%C3%A9finition/</vt:lpwstr>
      </vt:variant>
      <vt:variant>
        <vt:lpwstr/>
      </vt:variant>
      <vt:variant>
        <vt:i4>3801131</vt:i4>
      </vt:variant>
      <vt:variant>
        <vt:i4>828</vt:i4>
      </vt:variant>
      <vt:variant>
        <vt:i4>0</vt:i4>
      </vt:variant>
      <vt:variant>
        <vt:i4>5</vt:i4>
      </vt:variant>
      <vt:variant>
        <vt:lpwstr>http://shakespeare.revues.org/1919</vt:lpwstr>
      </vt:variant>
      <vt:variant>
        <vt:lpwstr/>
      </vt:variant>
      <vt:variant>
        <vt:i4>4718715</vt:i4>
      </vt:variant>
      <vt:variant>
        <vt:i4>825</vt:i4>
      </vt:variant>
      <vt:variant>
        <vt:i4>0</vt:i4>
      </vt:variant>
      <vt:variant>
        <vt:i4>5</vt:i4>
      </vt:variant>
      <vt:variant>
        <vt:lpwstr>https://www2.ac-lyon.fr/.../Haiti_histoire_geographie_enseignement_1_.do</vt:lpwstr>
      </vt:variant>
      <vt:variant>
        <vt:lpwstr/>
      </vt:variant>
      <vt:variant>
        <vt:i4>5963887</vt:i4>
      </vt:variant>
      <vt:variant>
        <vt:i4>822</vt:i4>
      </vt:variant>
      <vt:variant>
        <vt:i4>0</vt:i4>
      </vt:variant>
      <vt:variant>
        <vt:i4>5</vt:i4>
      </vt:variant>
      <vt:variant>
        <vt:lpwstr>http://www.ipimh.ulaval.ca/fiche-tanbou-marengwen-24.html</vt:lpwstr>
      </vt:variant>
      <vt:variant>
        <vt:lpwstr/>
      </vt:variant>
      <vt:variant>
        <vt:i4>4194377</vt:i4>
      </vt:variant>
      <vt:variant>
        <vt:i4>819</vt:i4>
      </vt:variant>
      <vt:variant>
        <vt:i4>0</vt:i4>
      </vt:variant>
      <vt:variant>
        <vt:i4>5</vt:i4>
      </vt:variant>
      <vt:variant>
        <vt:lpwstr>https://philosophie.cegeptr.qc.ca/wp-content/documents/%C3%89thique-%C3%A0-Nicomaque.pdf</vt:lpwstr>
      </vt:variant>
      <vt:variant>
        <vt:lpwstr/>
      </vt:variant>
      <vt:variant>
        <vt:i4>4980859</vt:i4>
      </vt:variant>
      <vt:variant>
        <vt:i4>816</vt:i4>
      </vt:variant>
      <vt:variant>
        <vt:i4>0</vt:i4>
      </vt:variant>
      <vt:variant>
        <vt:i4>5</vt:i4>
      </vt:variant>
      <vt:variant>
        <vt:lpwstr>http://www.analuciaaraujo.org/wp-content/uploads/2010/08/Araujo-Lusotopie.pdf</vt:lpwstr>
      </vt:variant>
      <vt:variant>
        <vt:lpwstr/>
      </vt:variant>
      <vt:variant>
        <vt:i4>2752542</vt:i4>
      </vt:variant>
      <vt:variant>
        <vt:i4>813</vt:i4>
      </vt:variant>
      <vt:variant>
        <vt:i4>0</vt:i4>
      </vt:variant>
      <vt:variant>
        <vt:i4>5</vt:i4>
      </vt:variant>
      <vt:variant>
        <vt:lpwstr>http://crdp.ac-paris.fr/preacpatrimoinesetdiversite</vt:lpwstr>
      </vt:variant>
      <vt:variant>
        <vt:lpwstr/>
      </vt:variant>
      <vt:variant>
        <vt:i4>4915298</vt:i4>
      </vt:variant>
      <vt:variant>
        <vt:i4>810</vt:i4>
      </vt:variant>
      <vt:variant>
        <vt:i4>0</vt:i4>
      </vt:variant>
      <vt:variant>
        <vt:i4>5</vt:i4>
      </vt:variant>
      <vt:variant>
        <vt:lpwstr>http://www.alterpresse.org/spip.php?article14015</vt:lpwstr>
      </vt:variant>
      <vt:variant>
        <vt:lpwstr>.VOjXu_nF-8A</vt:lpwstr>
      </vt:variant>
      <vt:variant>
        <vt:i4>4194318</vt:i4>
      </vt:variant>
      <vt:variant>
        <vt:i4>807</vt:i4>
      </vt:variant>
      <vt:variant>
        <vt:i4>0</vt:i4>
      </vt:variant>
      <vt:variant>
        <vt:i4>5</vt:i4>
      </vt:variant>
      <vt:variant>
        <vt:lpwstr>http://lenouvelliste.com/.../Haiti-pays-sans-papier.html</vt:lpwstr>
      </vt:variant>
      <vt:variant>
        <vt:lpwstr/>
      </vt:variant>
      <vt:variant>
        <vt:i4>1310773</vt:i4>
      </vt:variant>
      <vt:variant>
        <vt:i4>804</vt:i4>
      </vt:variant>
      <vt:variant>
        <vt:i4>0</vt:i4>
      </vt:variant>
      <vt:variant>
        <vt:i4>5</vt:i4>
      </vt:variant>
      <vt:variant>
        <vt:lpwstr>http://www.ipimh.ulaval.ca/fiche-soupe-joumou-36.html</vt:lpwstr>
      </vt:variant>
      <vt:variant>
        <vt:lpwstr/>
      </vt:variant>
      <vt:variant>
        <vt:i4>6553625</vt:i4>
      </vt:variant>
      <vt:variant>
        <vt:i4>801</vt:i4>
      </vt:variant>
      <vt:variant>
        <vt:i4>0</vt:i4>
      </vt:variant>
      <vt:variant>
        <vt:i4>5</vt:i4>
      </vt:variant>
      <vt:variant>
        <vt:lpwstr/>
      </vt:variant>
      <vt:variant>
        <vt:lpwstr>tdm</vt:lpwstr>
      </vt:variant>
      <vt:variant>
        <vt:i4>6553625</vt:i4>
      </vt:variant>
      <vt:variant>
        <vt:i4>798</vt:i4>
      </vt:variant>
      <vt:variant>
        <vt:i4>0</vt:i4>
      </vt:variant>
      <vt:variant>
        <vt:i4>5</vt:i4>
      </vt:variant>
      <vt:variant>
        <vt:lpwstr/>
      </vt:variant>
      <vt:variant>
        <vt:lpwstr>tdm</vt:lpwstr>
      </vt:variant>
      <vt:variant>
        <vt:i4>6553625</vt:i4>
      </vt:variant>
      <vt:variant>
        <vt:i4>795</vt:i4>
      </vt:variant>
      <vt:variant>
        <vt:i4>0</vt:i4>
      </vt:variant>
      <vt:variant>
        <vt:i4>5</vt:i4>
      </vt:variant>
      <vt:variant>
        <vt:lpwstr/>
      </vt:variant>
      <vt:variant>
        <vt:lpwstr>tdm</vt:lpwstr>
      </vt:variant>
      <vt:variant>
        <vt:i4>6553625</vt:i4>
      </vt:variant>
      <vt:variant>
        <vt:i4>792</vt:i4>
      </vt:variant>
      <vt:variant>
        <vt:i4>0</vt:i4>
      </vt:variant>
      <vt:variant>
        <vt:i4>5</vt:i4>
      </vt:variant>
      <vt:variant>
        <vt:lpwstr/>
      </vt:variant>
      <vt:variant>
        <vt:lpwstr>tdm</vt:lpwstr>
      </vt:variant>
      <vt:variant>
        <vt:i4>6553625</vt:i4>
      </vt:variant>
      <vt:variant>
        <vt:i4>789</vt:i4>
      </vt:variant>
      <vt:variant>
        <vt:i4>0</vt:i4>
      </vt:variant>
      <vt:variant>
        <vt:i4>5</vt:i4>
      </vt:variant>
      <vt:variant>
        <vt:lpwstr/>
      </vt:variant>
      <vt:variant>
        <vt:lpwstr>tdm</vt:lpwstr>
      </vt:variant>
      <vt:variant>
        <vt:i4>6553625</vt:i4>
      </vt:variant>
      <vt:variant>
        <vt:i4>786</vt:i4>
      </vt:variant>
      <vt:variant>
        <vt:i4>0</vt:i4>
      </vt:variant>
      <vt:variant>
        <vt:i4>5</vt:i4>
      </vt:variant>
      <vt:variant>
        <vt:lpwstr/>
      </vt:variant>
      <vt:variant>
        <vt:lpwstr>tdm</vt:lpwstr>
      </vt:variant>
      <vt:variant>
        <vt:i4>6553625</vt:i4>
      </vt:variant>
      <vt:variant>
        <vt:i4>783</vt:i4>
      </vt:variant>
      <vt:variant>
        <vt:i4>0</vt:i4>
      </vt:variant>
      <vt:variant>
        <vt:i4>5</vt:i4>
      </vt:variant>
      <vt:variant>
        <vt:lpwstr/>
      </vt:variant>
      <vt:variant>
        <vt:lpwstr>tdm</vt:lpwstr>
      </vt:variant>
      <vt:variant>
        <vt:i4>6553625</vt:i4>
      </vt:variant>
      <vt:variant>
        <vt:i4>780</vt:i4>
      </vt:variant>
      <vt:variant>
        <vt:i4>0</vt:i4>
      </vt:variant>
      <vt:variant>
        <vt:i4>5</vt:i4>
      </vt:variant>
      <vt:variant>
        <vt:lpwstr/>
      </vt:variant>
      <vt:variant>
        <vt:lpwstr>tdm</vt:lpwstr>
      </vt:variant>
      <vt:variant>
        <vt:i4>6553625</vt:i4>
      </vt:variant>
      <vt:variant>
        <vt:i4>777</vt:i4>
      </vt:variant>
      <vt:variant>
        <vt:i4>0</vt:i4>
      </vt:variant>
      <vt:variant>
        <vt:i4>5</vt:i4>
      </vt:variant>
      <vt:variant>
        <vt:lpwstr/>
      </vt:variant>
      <vt:variant>
        <vt:lpwstr>tdm</vt:lpwstr>
      </vt:variant>
      <vt:variant>
        <vt:i4>6553625</vt:i4>
      </vt:variant>
      <vt:variant>
        <vt:i4>774</vt:i4>
      </vt:variant>
      <vt:variant>
        <vt:i4>0</vt:i4>
      </vt:variant>
      <vt:variant>
        <vt:i4>5</vt:i4>
      </vt:variant>
      <vt:variant>
        <vt:lpwstr/>
      </vt:variant>
      <vt:variant>
        <vt:lpwstr>tdm</vt:lpwstr>
      </vt:variant>
      <vt:variant>
        <vt:i4>6553625</vt:i4>
      </vt:variant>
      <vt:variant>
        <vt:i4>768</vt:i4>
      </vt:variant>
      <vt:variant>
        <vt:i4>0</vt:i4>
      </vt:variant>
      <vt:variant>
        <vt:i4>5</vt:i4>
      </vt:variant>
      <vt:variant>
        <vt:lpwstr/>
      </vt:variant>
      <vt:variant>
        <vt:lpwstr>tdm</vt:lpwstr>
      </vt:variant>
      <vt:variant>
        <vt:i4>6553625</vt:i4>
      </vt:variant>
      <vt:variant>
        <vt:i4>762</vt:i4>
      </vt:variant>
      <vt:variant>
        <vt:i4>0</vt:i4>
      </vt:variant>
      <vt:variant>
        <vt:i4>5</vt:i4>
      </vt:variant>
      <vt:variant>
        <vt:lpwstr/>
      </vt:variant>
      <vt:variant>
        <vt:lpwstr>tdm</vt:lpwstr>
      </vt:variant>
      <vt:variant>
        <vt:i4>7798812</vt:i4>
      </vt:variant>
      <vt:variant>
        <vt:i4>759</vt:i4>
      </vt:variant>
      <vt:variant>
        <vt:i4>0</vt:i4>
      </vt:variant>
      <vt:variant>
        <vt:i4>5</vt:i4>
      </vt:variant>
      <vt:variant>
        <vt:lpwstr>http://haiti.sewanee.edu/mirebalais-market/</vt:lpwstr>
      </vt:variant>
      <vt:variant>
        <vt:lpwstr/>
      </vt:variant>
      <vt:variant>
        <vt:i4>6553625</vt:i4>
      </vt:variant>
      <vt:variant>
        <vt:i4>753</vt:i4>
      </vt:variant>
      <vt:variant>
        <vt:i4>0</vt:i4>
      </vt:variant>
      <vt:variant>
        <vt:i4>5</vt:i4>
      </vt:variant>
      <vt:variant>
        <vt:lpwstr/>
      </vt:variant>
      <vt:variant>
        <vt:lpwstr>tdm</vt:lpwstr>
      </vt:variant>
      <vt:variant>
        <vt:i4>6553625</vt:i4>
      </vt:variant>
      <vt:variant>
        <vt:i4>750</vt:i4>
      </vt:variant>
      <vt:variant>
        <vt:i4>0</vt:i4>
      </vt:variant>
      <vt:variant>
        <vt:i4>5</vt:i4>
      </vt:variant>
      <vt:variant>
        <vt:lpwstr/>
      </vt:variant>
      <vt:variant>
        <vt:lpwstr>tdm</vt:lpwstr>
      </vt:variant>
      <vt:variant>
        <vt:i4>6553625</vt:i4>
      </vt:variant>
      <vt:variant>
        <vt:i4>747</vt:i4>
      </vt:variant>
      <vt:variant>
        <vt:i4>0</vt:i4>
      </vt:variant>
      <vt:variant>
        <vt:i4>5</vt:i4>
      </vt:variant>
      <vt:variant>
        <vt:lpwstr/>
      </vt:variant>
      <vt:variant>
        <vt:lpwstr>tdm</vt:lpwstr>
      </vt:variant>
      <vt:variant>
        <vt:i4>852060</vt:i4>
      </vt:variant>
      <vt:variant>
        <vt:i4>744</vt:i4>
      </vt:variant>
      <vt:variant>
        <vt:i4>0</vt:i4>
      </vt:variant>
      <vt:variant>
        <vt:i4>5</vt:i4>
      </vt:variant>
      <vt:variant>
        <vt:lpwstr>http://www.designweek.co.uk/whats-on/haiti-art-and-vodou/3035448.article</vt:lpwstr>
      </vt:variant>
      <vt:variant>
        <vt:lpwstr/>
      </vt:variant>
      <vt:variant>
        <vt:i4>6553625</vt:i4>
      </vt:variant>
      <vt:variant>
        <vt:i4>738</vt:i4>
      </vt:variant>
      <vt:variant>
        <vt:i4>0</vt:i4>
      </vt:variant>
      <vt:variant>
        <vt:i4>5</vt:i4>
      </vt:variant>
      <vt:variant>
        <vt:lpwstr/>
      </vt:variant>
      <vt:variant>
        <vt:lpwstr>tdm</vt:lpwstr>
      </vt:variant>
      <vt:variant>
        <vt:i4>6553625</vt:i4>
      </vt:variant>
      <vt:variant>
        <vt:i4>732</vt:i4>
      </vt:variant>
      <vt:variant>
        <vt:i4>0</vt:i4>
      </vt:variant>
      <vt:variant>
        <vt:i4>5</vt:i4>
      </vt:variant>
      <vt:variant>
        <vt:lpwstr/>
      </vt:variant>
      <vt:variant>
        <vt:lpwstr>tdm</vt:lpwstr>
      </vt:variant>
      <vt:variant>
        <vt:i4>6553625</vt:i4>
      </vt:variant>
      <vt:variant>
        <vt:i4>726</vt:i4>
      </vt:variant>
      <vt:variant>
        <vt:i4>0</vt:i4>
      </vt:variant>
      <vt:variant>
        <vt:i4>5</vt:i4>
      </vt:variant>
      <vt:variant>
        <vt:lpwstr/>
      </vt:variant>
      <vt:variant>
        <vt:lpwstr>tdm</vt:lpwstr>
      </vt:variant>
      <vt:variant>
        <vt:i4>6553625</vt:i4>
      </vt:variant>
      <vt:variant>
        <vt:i4>723</vt:i4>
      </vt:variant>
      <vt:variant>
        <vt:i4>0</vt:i4>
      </vt:variant>
      <vt:variant>
        <vt:i4>5</vt:i4>
      </vt:variant>
      <vt:variant>
        <vt:lpwstr/>
      </vt:variant>
      <vt:variant>
        <vt:lpwstr>tdm</vt:lpwstr>
      </vt:variant>
      <vt:variant>
        <vt:i4>6553625</vt:i4>
      </vt:variant>
      <vt:variant>
        <vt:i4>717</vt:i4>
      </vt:variant>
      <vt:variant>
        <vt:i4>0</vt:i4>
      </vt:variant>
      <vt:variant>
        <vt:i4>5</vt:i4>
      </vt:variant>
      <vt:variant>
        <vt:lpwstr/>
      </vt:variant>
      <vt:variant>
        <vt:lpwstr>tdm</vt:lpwstr>
      </vt:variant>
      <vt:variant>
        <vt:i4>6553625</vt:i4>
      </vt:variant>
      <vt:variant>
        <vt:i4>714</vt:i4>
      </vt:variant>
      <vt:variant>
        <vt:i4>0</vt:i4>
      </vt:variant>
      <vt:variant>
        <vt:i4>5</vt:i4>
      </vt:variant>
      <vt:variant>
        <vt:lpwstr/>
      </vt:variant>
      <vt:variant>
        <vt:lpwstr>tdm</vt:lpwstr>
      </vt:variant>
      <vt:variant>
        <vt:i4>6553625</vt:i4>
      </vt:variant>
      <vt:variant>
        <vt:i4>711</vt:i4>
      </vt:variant>
      <vt:variant>
        <vt:i4>0</vt:i4>
      </vt:variant>
      <vt:variant>
        <vt:i4>5</vt:i4>
      </vt:variant>
      <vt:variant>
        <vt:lpwstr/>
      </vt:variant>
      <vt:variant>
        <vt:lpwstr>tdm</vt:lpwstr>
      </vt:variant>
      <vt:variant>
        <vt:i4>6553625</vt:i4>
      </vt:variant>
      <vt:variant>
        <vt:i4>708</vt:i4>
      </vt:variant>
      <vt:variant>
        <vt:i4>0</vt:i4>
      </vt:variant>
      <vt:variant>
        <vt:i4>5</vt:i4>
      </vt:variant>
      <vt:variant>
        <vt:lpwstr/>
      </vt:variant>
      <vt:variant>
        <vt:lpwstr>tdm</vt:lpwstr>
      </vt:variant>
      <vt:variant>
        <vt:i4>6553625</vt:i4>
      </vt:variant>
      <vt:variant>
        <vt:i4>702</vt:i4>
      </vt:variant>
      <vt:variant>
        <vt:i4>0</vt:i4>
      </vt:variant>
      <vt:variant>
        <vt:i4>5</vt:i4>
      </vt:variant>
      <vt:variant>
        <vt:lpwstr/>
      </vt:variant>
      <vt:variant>
        <vt:lpwstr>tdm</vt:lpwstr>
      </vt:variant>
      <vt:variant>
        <vt:i4>6553625</vt:i4>
      </vt:variant>
      <vt:variant>
        <vt:i4>696</vt:i4>
      </vt:variant>
      <vt:variant>
        <vt:i4>0</vt:i4>
      </vt:variant>
      <vt:variant>
        <vt:i4>5</vt:i4>
      </vt:variant>
      <vt:variant>
        <vt:lpwstr/>
      </vt:variant>
      <vt:variant>
        <vt:lpwstr>tdm</vt:lpwstr>
      </vt:variant>
      <vt:variant>
        <vt:i4>6553625</vt:i4>
      </vt:variant>
      <vt:variant>
        <vt:i4>690</vt:i4>
      </vt:variant>
      <vt:variant>
        <vt:i4>0</vt:i4>
      </vt:variant>
      <vt:variant>
        <vt:i4>5</vt:i4>
      </vt:variant>
      <vt:variant>
        <vt:lpwstr/>
      </vt:variant>
      <vt:variant>
        <vt:lpwstr>tdm</vt:lpwstr>
      </vt:variant>
      <vt:variant>
        <vt:i4>6553625</vt:i4>
      </vt:variant>
      <vt:variant>
        <vt:i4>684</vt:i4>
      </vt:variant>
      <vt:variant>
        <vt:i4>0</vt:i4>
      </vt:variant>
      <vt:variant>
        <vt:i4>5</vt:i4>
      </vt:variant>
      <vt:variant>
        <vt:lpwstr/>
      </vt:variant>
      <vt:variant>
        <vt:lpwstr>tdm</vt:lpwstr>
      </vt:variant>
      <vt:variant>
        <vt:i4>6553625</vt:i4>
      </vt:variant>
      <vt:variant>
        <vt:i4>678</vt:i4>
      </vt:variant>
      <vt:variant>
        <vt:i4>0</vt:i4>
      </vt:variant>
      <vt:variant>
        <vt:i4>5</vt:i4>
      </vt:variant>
      <vt:variant>
        <vt:lpwstr/>
      </vt:variant>
      <vt:variant>
        <vt:lpwstr>tdm</vt:lpwstr>
      </vt:variant>
      <vt:variant>
        <vt:i4>6553625</vt:i4>
      </vt:variant>
      <vt:variant>
        <vt:i4>669</vt:i4>
      </vt:variant>
      <vt:variant>
        <vt:i4>0</vt:i4>
      </vt:variant>
      <vt:variant>
        <vt:i4>5</vt:i4>
      </vt:variant>
      <vt:variant>
        <vt:lpwstr/>
      </vt:variant>
      <vt:variant>
        <vt:lpwstr>tdm</vt:lpwstr>
      </vt:variant>
      <vt:variant>
        <vt:i4>6553625</vt:i4>
      </vt:variant>
      <vt:variant>
        <vt:i4>660</vt:i4>
      </vt:variant>
      <vt:variant>
        <vt:i4>0</vt:i4>
      </vt:variant>
      <vt:variant>
        <vt:i4>5</vt:i4>
      </vt:variant>
      <vt:variant>
        <vt:lpwstr/>
      </vt:variant>
      <vt:variant>
        <vt:lpwstr>tdm</vt:lpwstr>
      </vt:variant>
      <vt:variant>
        <vt:i4>6553625</vt:i4>
      </vt:variant>
      <vt:variant>
        <vt:i4>651</vt:i4>
      </vt:variant>
      <vt:variant>
        <vt:i4>0</vt:i4>
      </vt:variant>
      <vt:variant>
        <vt:i4>5</vt:i4>
      </vt:variant>
      <vt:variant>
        <vt:lpwstr/>
      </vt:variant>
      <vt:variant>
        <vt:lpwstr>tdm</vt:lpwstr>
      </vt:variant>
      <vt:variant>
        <vt:i4>6553625</vt:i4>
      </vt:variant>
      <vt:variant>
        <vt:i4>645</vt:i4>
      </vt:variant>
      <vt:variant>
        <vt:i4>0</vt:i4>
      </vt:variant>
      <vt:variant>
        <vt:i4>5</vt:i4>
      </vt:variant>
      <vt:variant>
        <vt:lpwstr/>
      </vt:variant>
      <vt:variant>
        <vt:lpwstr>tdm</vt:lpwstr>
      </vt:variant>
      <vt:variant>
        <vt:i4>6553625</vt:i4>
      </vt:variant>
      <vt:variant>
        <vt:i4>639</vt:i4>
      </vt:variant>
      <vt:variant>
        <vt:i4>0</vt:i4>
      </vt:variant>
      <vt:variant>
        <vt:i4>5</vt:i4>
      </vt:variant>
      <vt:variant>
        <vt:lpwstr/>
      </vt:variant>
      <vt:variant>
        <vt:lpwstr>tdm</vt:lpwstr>
      </vt:variant>
      <vt:variant>
        <vt:i4>6553625</vt:i4>
      </vt:variant>
      <vt:variant>
        <vt:i4>633</vt:i4>
      </vt:variant>
      <vt:variant>
        <vt:i4>0</vt:i4>
      </vt:variant>
      <vt:variant>
        <vt:i4>5</vt:i4>
      </vt:variant>
      <vt:variant>
        <vt:lpwstr/>
      </vt:variant>
      <vt:variant>
        <vt:lpwstr>tdm</vt:lpwstr>
      </vt:variant>
      <vt:variant>
        <vt:i4>6553625</vt:i4>
      </vt:variant>
      <vt:variant>
        <vt:i4>627</vt:i4>
      </vt:variant>
      <vt:variant>
        <vt:i4>0</vt:i4>
      </vt:variant>
      <vt:variant>
        <vt:i4>5</vt:i4>
      </vt:variant>
      <vt:variant>
        <vt:lpwstr/>
      </vt:variant>
      <vt:variant>
        <vt:lpwstr>tdm</vt:lpwstr>
      </vt:variant>
      <vt:variant>
        <vt:i4>6553625</vt:i4>
      </vt:variant>
      <vt:variant>
        <vt:i4>621</vt:i4>
      </vt:variant>
      <vt:variant>
        <vt:i4>0</vt:i4>
      </vt:variant>
      <vt:variant>
        <vt:i4>5</vt:i4>
      </vt:variant>
      <vt:variant>
        <vt:lpwstr/>
      </vt:variant>
      <vt:variant>
        <vt:lpwstr>tdm</vt:lpwstr>
      </vt:variant>
      <vt:variant>
        <vt:i4>6553625</vt:i4>
      </vt:variant>
      <vt:variant>
        <vt:i4>615</vt:i4>
      </vt:variant>
      <vt:variant>
        <vt:i4>0</vt:i4>
      </vt:variant>
      <vt:variant>
        <vt:i4>5</vt:i4>
      </vt:variant>
      <vt:variant>
        <vt:lpwstr/>
      </vt:variant>
      <vt:variant>
        <vt:lpwstr>tdm</vt:lpwstr>
      </vt:variant>
      <vt:variant>
        <vt:i4>6553625</vt:i4>
      </vt:variant>
      <vt:variant>
        <vt:i4>612</vt:i4>
      </vt:variant>
      <vt:variant>
        <vt:i4>0</vt:i4>
      </vt:variant>
      <vt:variant>
        <vt:i4>5</vt:i4>
      </vt:variant>
      <vt:variant>
        <vt:lpwstr/>
      </vt:variant>
      <vt:variant>
        <vt:lpwstr>tdm</vt:lpwstr>
      </vt:variant>
      <vt:variant>
        <vt:i4>6553625</vt:i4>
      </vt:variant>
      <vt:variant>
        <vt:i4>609</vt:i4>
      </vt:variant>
      <vt:variant>
        <vt:i4>0</vt:i4>
      </vt:variant>
      <vt:variant>
        <vt:i4>5</vt:i4>
      </vt:variant>
      <vt:variant>
        <vt:lpwstr/>
      </vt:variant>
      <vt:variant>
        <vt:lpwstr>tdm</vt:lpwstr>
      </vt:variant>
      <vt:variant>
        <vt:i4>6553625</vt:i4>
      </vt:variant>
      <vt:variant>
        <vt:i4>603</vt:i4>
      </vt:variant>
      <vt:variant>
        <vt:i4>0</vt:i4>
      </vt:variant>
      <vt:variant>
        <vt:i4>5</vt:i4>
      </vt:variant>
      <vt:variant>
        <vt:lpwstr/>
      </vt:variant>
      <vt:variant>
        <vt:lpwstr>tdm</vt:lpwstr>
      </vt:variant>
      <vt:variant>
        <vt:i4>6553625</vt:i4>
      </vt:variant>
      <vt:variant>
        <vt:i4>597</vt:i4>
      </vt:variant>
      <vt:variant>
        <vt:i4>0</vt:i4>
      </vt:variant>
      <vt:variant>
        <vt:i4>5</vt:i4>
      </vt:variant>
      <vt:variant>
        <vt:lpwstr/>
      </vt:variant>
      <vt:variant>
        <vt:lpwstr>tdm</vt:lpwstr>
      </vt:variant>
      <vt:variant>
        <vt:i4>6553625</vt:i4>
      </vt:variant>
      <vt:variant>
        <vt:i4>591</vt:i4>
      </vt:variant>
      <vt:variant>
        <vt:i4>0</vt:i4>
      </vt:variant>
      <vt:variant>
        <vt:i4>5</vt:i4>
      </vt:variant>
      <vt:variant>
        <vt:lpwstr/>
      </vt:variant>
      <vt:variant>
        <vt:lpwstr>tdm</vt:lpwstr>
      </vt:variant>
      <vt:variant>
        <vt:i4>524319</vt:i4>
      </vt:variant>
      <vt:variant>
        <vt:i4>588</vt:i4>
      </vt:variant>
      <vt:variant>
        <vt:i4>0</vt:i4>
      </vt:variant>
      <vt:variant>
        <vt:i4>5</vt:i4>
      </vt:variant>
      <vt:variant>
        <vt:lpwstr>http://www.timogrubing.de/portfolio/laden-der-traeume/karte-tortuga/</vt:lpwstr>
      </vt:variant>
      <vt:variant>
        <vt:lpwstr/>
      </vt:variant>
      <vt:variant>
        <vt:i4>6553625</vt:i4>
      </vt:variant>
      <vt:variant>
        <vt:i4>582</vt:i4>
      </vt:variant>
      <vt:variant>
        <vt:i4>0</vt:i4>
      </vt:variant>
      <vt:variant>
        <vt:i4>5</vt:i4>
      </vt:variant>
      <vt:variant>
        <vt:lpwstr/>
      </vt:variant>
      <vt:variant>
        <vt:lpwstr>tdm</vt:lpwstr>
      </vt:variant>
      <vt:variant>
        <vt:i4>6553625</vt:i4>
      </vt:variant>
      <vt:variant>
        <vt:i4>576</vt:i4>
      </vt:variant>
      <vt:variant>
        <vt:i4>0</vt:i4>
      </vt:variant>
      <vt:variant>
        <vt:i4>5</vt:i4>
      </vt:variant>
      <vt:variant>
        <vt:lpwstr/>
      </vt:variant>
      <vt:variant>
        <vt:lpwstr>tdm</vt:lpwstr>
      </vt:variant>
      <vt:variant>
        <vt:i4>6553625</vt:i4>
      </vt:variant>
      <vt:variant>
        <vt:i4>570</vt:i4>
      </vt:variant>
      <vt:variant>
        <vt:i4>0</vt:i4>
      </vt:variant>
      <vt:variant>
        <vt:i4>5</vt:i4>
      </vt:variant>
      <vt:variant>
        <vt:lpwstr/>
      </vt:variant>
      <vt:variant>
        <vt:lpwstr>tdm</vt:lpwstr>
      </vt:variant>
      <vt:variant>
        <vt:i4>6553625</vt:i4>
      </vt:variant>
      <vt:variant>
        <vt:i4>567</vt:i4>
      </vt:variant>
      <vt:variant>
        <vt:i4>0</vt:i4>
      </vt:variant>
      <vt:variant>
        <vt:i4>5</vt:i4>
      </vt:variant>
      <vt:variant>
        <vt:lpwstr/>
      </vt:variant>
      <vt:variant>
        <vt:lpwstr>tdm</vt:lpwstr>
      </vt:variant>
      <vt:variant>
        <vt:i4>6553625</vt:i4>
      </vt:variant>
      <vt:variant>
        <vt:i4>561</vt:i4>
      </vt:variant>
      <vt:variant>
        <vt:i4>0</vt:i4>
      </vt:variant>
      <vt:variant>
        <vt:i4>5</vt:i4>
      </vt:variant>
      <vt:variant>
        <vt:lpwstr/>
      </vt:variant>
      <vt:variant>
        <vt:lpwstr>tdm</vt:lpwstr>
      </vt:variant>
      <vt:variant>
        <vt:i4>6553625</vt:i4>
      </vt:variant>
      <vt:variant>
        <vt:i4>555</vt:i4>
      </vt:variant>
      <vt:variant>
        <vt:i4>0</vt:i4>
      </vt:variant>
      <vt:variant>
        <vt:i4>5</vt:i4>
      </vt:variant>
      <vt:variant>
        <vt:lpwstr/>
      </vt:variant>
      <vt:variant>
        <vt:lpwstr>tdm</vt:lpwstr>
      </vt:variant>
      <vt:variant>
        <vt:i4>6553625</vt:i4>
      </vt:variant>
      <vt:variant>
        <vt:i4>549</vt:i4>
      </vt:variant>
      <vt:variant>
        <vt:i4>0</vt:i4>
      </vt:variant>
      <vt:variant>
        <vt:i4>5</vt:i4>
      </vt:variant>
      <vt:variant>
        <vt:lpwstr/>
      </vt:variant>
      <vt:variant>
        <vt:lpwstr>tdm</vt:lpwstr>
      </vt:variant>
      <vt:variant>
        <vt:i4>6553625</vt:i4>
      </vt:variant>
      <vt:variant>
        <vt:i4>546</vt:i4>
      </vt:variant>
      <vt:variant>
        <vt:i4>0</vt:i4>
      </vt:variant>
      <vt:variant>
        <vt:i4>5</vt:i4>
      </vt:variant>
      <vt:variant>
        <vt:lpwstr/>
      </vt:variant>
      <vt:variant>
        <vt:lpwstr>tdm</vt:lpwstr>
      </vt:variant>
      <vt:variant>
        <vt:i4>6553625</vt:i4>
      </vt:variant>
      <vt:variant>
        <vt:i4>543</vt:i4>
      </vt:variant>
      <vt:variant>
        <vt:i4>0</vt:i4>
      </vt:variant>
      <vt:variant>
        <vt:i4>5</vt:i4>
      </vt:variant>
      <vt:variant>
        <vt:lpwstr/>
      </vt:variant>
      <vt:variant>
        <vt:lpwstr>tdm</vt:lpwstr>
      </vt:variant>
      <vt:variant>
        <vt:i4>6553625</vt:i4>
      </vt:variant>
      <vt:variant>
        <vt:i4>540</vt:i4>
      </vt:variant>
      <vt:variant>
        <vt:i4>0</vt:i4>
      </vt:variant>
      <vt:variant>
        <vt:i4>5</vt:i4>
      </vt:variant>
      <vt:variant>
        <vt:lpwstr/>
      </vt:variant>
      <vt:variant>
        <vt:lpwstr>tdm</vt:lpwstr>
      </vt:variant>
      <vt:variant>
        <vt:i4>655394</vt:i4>
      </vt:variant>
      <vt:variant>
        <vt:i4>537</vt:i4>
      </vt:variant>
      <vt:variant>
        <vt:i4>0</vt:i4>
      </vt:variant>
      <vt:variant>
        <vt:i4>5</vt:i4>
      </vt:variant>
      <vt:variant>
        <vt:lpwstr>http://classiques.uqac.ca/classiques/price_hannibal/rehabilitation_race_noire_haiti/rehabilitation_race_noire_haiti.html</vt:lpwstr>
      </vt:variant>
      <vt:variant>
        <vt:lpwstr/>
      </vt:variant>
      <vt:variant>
        <vt:i4>4063246</vt:i4>
      </vt:variant>
      <vt:variant>
        <vt:i4>534</vt:i4>
      </vt:variant>
      <vt:variant>
        <vt:i4>0</vt:i4>
      </vt:variant>
      <vt:variant>
        <vt:i4>5</vt:i4>
      </vt:variant>
      <vt:variant>
        <vt:lpwstr>http://classiques.uqac.ca/classiques/firmin_antenor/de_egalite_races_humaines/de_egalite_races_humaines.html</vt:lpwstr>
      </vt:variant>
      <vt:variant>
        <vt:lpwstr/>
      </vt:variant>
      <vt:variant>
        <vt:i4>6553625</vt:i4>
      </vt:variant>
      <vt:variant>
        <vt:i4>531</vt:i4>
      </vt:variant>
      <vt:variant>
        <vt:i4>0</vt:i4>
      </vt:variant>
      <vt:variant>
        <vt:i4>5</vt:i4>
      </vt:variant>
      <vt:variant>
        <vt:lpwstr/>
      </vt:variant>
      <vt:variant>
        <vt:lpwstr>tdm</vt:lpwstr>
      </vt:variant>
      <vt:variant>
        <vt:i4>6553625</vt:i4>
      </vt:variant>
      <vt:variant>
        <vt:i4>525</vt:i4>
      </vt:variant>
      <vt:variant>
        <vt:i4>0</vt:i4>
      </vt:variant>
      <vt:variant>
        <vt:i4>5</vt:i4>
      </vt:variant>
      <vt:variant>
        <vt:lpwstr/>
      </vt:variant>
      <vt:variant>
        <vt:lpwstr>tdm</vt:lpwstr>
      </vt:variant>
      <vt:variant>
        <vt:i4>7471173</vt:i4>
      </vt:variant>
      <vt:variant>
        <vt:i4>522</vt:i4>
      </vt:variant>
      <vt:variant>
        <vt:i4>0</vt:i4>
      </vt:variant>
      <vt:variant>
        <vt:i4>5</vt:i4>
      </vt:variant>
      <vt:variant>
        <vt:lpwstr>http://quoteimg.com/jean-jacques-dessalines-quotes/</vt:lpwstr>
      </vt:variant>
      <vt:variant>
        <vt:lpwstr/>
      </vt:variant>
      <vt:variant>
        <vt:i4>6553625</vt:i4>
      </vt:variant>
      <vt:variant>
        <vt:i4>516</vt:i4>
      </vt:variant>
      <vt:variant>
        <vt:i4>0</vt:i4>
      </vt:variant>
      <vt:variant>
        <vt:i4>5</vt:i4>
      </vt:variant>
      <vt:variant>
        <vt:lpwstr/>
      </vt:variant>
      <vt:variant>
        <vt:lpwstr>tdm</vt:lpwstr>
      </vt:variant>
      <vt:variant>
        <vt:i4>6553625</vt:i4>
      </vt:variant>
      <vt:variant>
        <vt:i4>510</vt:i4>
      </vt:variant>
      <vt:variant>
        <vt:i4>0</vt:i4>
      </vt:variant>
      <vt:variant>
        <vt:i4>5</vt:i4>
      </vt:variant>
      <vt:variant>
        <vt:lpwstr/>
      </vt:variant>
      <vt:variant>
        <vt:lpwstr>tdm</vt:lpwstr>
      </vt:variant>
      <vt:variant>
        <vt:i4>6553625</vt:i4>
      </vt:variant>
      <vt:variant>
        <vt:i4>504</vt:i4>
      </vt:variant>
      <vt:variant>
        <vt:i4>0</vt:i4>
      </vt:variant>
      <vt:variant>
        <vt:i4>5</vt:i4>
      </vt:variant>
      <vt:variant>
        <vt:lpwstr/>
      </vt:variant>
      <vt:variant>
        <vt:lpwstr>tdm</vt:lpwstr>
      </vt:variant>
      <vt:variant>
        <vt:i4>6553625</vt:i4>
      </vt:variant>
      <vt:variant>
        <vt:i4>498</vt:i4>
      </vt:variant>
      <vt:variant>
        <vt:i4>0</vt:i4>
      </vt:variant>
      <vt:variant>
        <vt:i4>5</vt:i4>
      </vt:variant>
      <vt:variant>
        <vt:lpwstr/>
      </vt:variant>
      <vt:variant>
        <vt:lpwstr>tdm</vt:lpwstr>
      </vt:variant>
      <vt:variant>
        <vt:i4>6553625</vt:i4>
      </vt:variant>
      <vt:variant>
        <vt:i4>492</vt:i4>
      </vt:variant>
      <vt:variant>
        <vt:i4>0</vt:i4>
      </vt:variant>
      <vt:variant>
        <vt:i4>5</vt:i4>
      </vt:variant>
      <vt:variant>
        <vt:lpwstr/>
      </vt:variant>
      <vt:variant>
        <vt:lpwstr>tdm</vt:lpwstr>
      </vt:variant>
      <vt:variant>
        <vt:i4>6553625</vt:i4>
      </vt:variant>
      <vt:variant>
        <vt:i4>486</vt:i4>
      </vt:variant>
      <vt:variant>
        <vt:i4>0</vt:i4>
      </vt:variant>
      <vt:variant>
        <vt:i4>5</vt:i4>
      </vt:variant>
      <vt:variant>
        <vt:lpwstr/>
      </vt:variant>
      <vt:variant>
        <vt:lpwstr>tdm</vt:lpwstr>
      </vt:variant>
      <vt:variant>
        <vt:i4>6553625</vt:i4>
      </vt:variant>
      <vt:variant>
        <vt:i4>483</vt:i4>
      </vt:variant>
      <vt:variant>
        <vt:i4>0</vt:i4>
      </vt:variant>
      <vt:variant>
        <vt:i4>5</vt:i4>
      </vt:variant>
      <vt:variant>
        <vt:lpwstr/>
      </vt:variant>
      <vt:variant>
        <vt:lpwstr>tdm</vt:lpwstr>
      </vt:variant>
      <vt:variant>
        <vt:i4>6553625</vt:i4>
      </vt:variant>
      <vt:variant>
        <vt:i4>480</vt:i4>
      </vt:variant>
      <vt:variant>
        <vt:i4>0</vt:i4>
      </vt:variant>
      <vt:variant>
        <vt:i4>5</vt:i4>
      </vt:variant>
      <vt:variant>
        <vt:lpwstr/>
      </vt:variant>
      <vt:variant>
        <vt:lpwstr>tdm</vt:lpwstr>
      </vt:variant>
      <vt:variant>
        <vt:i4>6553625</vt:i4>
      </vt:variant>
      <vt:variant>
        <vt:i4>477</vt:i4>
      </vt:variant>
      <vt:variant>
        <vt:i4>0</vt:i4>
      </vt:variant>
      <vt:variant>
        <vt:i4>5</vt:i4>
      </vt:variant>
      <vt:variant>
        <vt:lpwstr/>
      </vt:variant>
      <vt:variant>
        <vt:lpwstr>tdm</vt:lpwstr>
      </vt:variant>
      <vt:variant>
        <vt:i4>6553625</vt:i4>
      </vt:variant>
      <vt:variant>
        <vt:i4>474</vt:i4>
      </vt:variant>
      <vt:variant>
        <vt:i4>0</vt:i4>
      </vt:variant>
      <vt:variant>
        <vt:i4>5</vt:i4>
      </vt:variant>
      <vt:variant>
        <vt:lpwstr/>
      </vt:variant>
      <vt:variant>
        <vt:lpwstr>tdm</vt:lpwstr>
      </vt:variant>
      <vt:variant>
        <vt:i4>6553625</vt:i4>
      </vt:variant>
      <vt:variant>
        <vt:i4>471</vt:i4>
      </vt:variant>
      <vt:variant>
        <vt:i4>0</vt:i4>
      </vt:variant>
      <vt:variant>
        <vt:i4>5</vt:i4>
      </vt:variant>
      <vt:variant>
        <vt:lpwstr/>
      </vt:variant>
      <vt:variant>
        <vt:lpwstr>tdm</vt:lpwstr>
      </vt:variant>
      <vt:variant>
        <vt:i4>6553625</vt:i4>
      </vt:variant>
      <vt:variant>
        <vt:i4>468</vt:i4>
      </vt:variant>
      <vt:variant>
        <vt:i4>0</vt:i4>
      </vt:variant>
      <vt:variant>
        <vt:i4>5</vt:i4>
      </vt:variant>
      <vt:variant>
        <vt:lpwstr/>
      </vt:variant>
      <vt:variant>
        <vt:lpwstr>tdm</vt:lpwstr>
      </vt:variant>
      <vt:variant>
        <vt:i4>6553625</vt:i4>
      </vt:variant>
      <vt:variant>
        <vt:i4>465</vt:i4>
      </vt:variant>
      <vt:variant>
        <vt:i4>0</vt:i4>
      </vt:variant>
      <vt:variant>
        <vt:i4>5</vt:i4>
      </vt:variant>
      <vt:variant>
        <vt:lpwstr/>
      </vt:variant>
      <vt:variant>
        <vt:lpwstr>tdm</vt:lpwstr>
      </vt:variant>
      <vt:variant>
        <vt:i4>6553625</vt:i4>
      </vt:variant>
      <vt:variant>
        <vt:i4>462</vt:i4>
      </vt:variant>
      <vt:variant>
        <vt:i4>0</vt:i4>
      </vt:variant>
      <vt:variant>
        <vt:i4>5</vt:i4>
      </vt:variant>
      <vt:variant>
        <vt:lpwstr/>
      </vt:variant>
      <vt:variant>
        <vt:lpwstr>tdm</vt:lpwstr>
      </vt:variant>
      <vt:variant>
        <vt:i4>6553625</vt:i4>
      </vt:variant>
      <vt:variant>
        <vt:i4>459</vt:i4>
      </vt:variant>
      <vt:variant>
        <vt:i4>0</vt:i4>
      </vt:variant>
      <vt:variant>
        <vt:i4>5</vt:i4>
      </vt:variant>
      <vt:variant>
        <vt:lpwstr/>
      </vt:variant>
      <vt:variant>
        <vt:lpwstr>tdm</vt:lpwstr>
      </vt:variant>
      <vt:variant>
        <vt:i4>6553625</vt:i4>
      </vt:variant>
      <vt:variant>
        <vt:i4>456</vt:i4>
      </vt:variant>
      <vt:variant>
        <vt:i4>0</vt:i4>
      </vt:variant>
      <vt:variant>
        <vt:i4>5</vt:i4>
      </vt:variant>
      <vt:variant>
        <vt:lpwstr/>
      </vt:variant>
      <vt:variant>
        <vt:lpwstr>tdm</vt:lpwstr>
      </vt:variant>
      <vt:variant>
        <vt:i4>6553625</vt:i4>
      </vt:variant>
      <vt:variant>
        <vt:i4>450</vt:i4>
      </vt:variant>
      <vt:variant>
        <vt:i4>0</vt:i4>
      </vt:variant>
      <vt:variant>
        <vt:i4>5</vt:i4>
      </vt:variant>
      <vt:variant>
        <vt:lpwstr/>
      </vt:variant>
      <vt:variant>
        <vt:lpwstr>tdm</vt:lpwstr>
      </vt:variant>
      <vt:variant>
        <vt:i4>6553625</vt:i4>
      </vt:variant>
      <vt:variant>
        <vt:i4>444</vt:i4>
      </vt:variant>
      <vt:variant>
        <vt:i4>0</vt:i4>
      </vt:variant>
      <vt:variant>
        <vt:i4>5</vt:i4>
      </vt:variant>
      <vt:variant>
        <vt:lpwstr/>
      </vt:variant>
      <vt:variant>
        <vt:lpwstr>tdm</vt:lpwstr>
      </vt:variant>
      <vt:variant>
        <vt:i4>6553625</vt:i4>
      </vt:variant>
      <vt:variant>
        <vt:i4>441</vt:i4>
      </vt:variant>
      <vt:variant>
        <vt:i4>0</vt:i4>
      </vt:variant>
      <vt:variant>
        <vt:i4>5</vt:i4>
      </vt:variant>
      <vt:variant>
        <vt:lpwstr/>
      </vt:variant>
      <vt:variant>
        <vt:lpwstr>tdm</vt:lpwstr>
      </vt:variant>
      <vt:variant>
        <vt:i4>6553625</vt:i4>
      </vt:variant>
      <vt:variant>
        <vt:i4>435</vt:i4>
      </vt:variant>
      <vt:variant>
        <vt:i4>0</vt:i4>
      </vt:variant>
      <vt:variant>
        <vt:i4>5</vt:i4>
      </vt:variant>
      <vt:variant>
        <vt:lpwstr/>
      </vt:variant>
      <vt:variant>
        <vt:lpwstr>tdm</vt:lpwstr>
      </vt:variant>
      <vt:variant>
        <vt:i4>6553625</vt:i4>
      </vt:variant>
      <vt:variant>
        <vt:i4>429</vt:i4>
      </vt:variant>
      <vt:variant>
        <vt:i4>0</vt:i4>
      </vt:variant>
      <vt:variant>
        <vt:i4>5</vt:i4>
      </vt:variant>
      <vt:variant>
        <vt:lpwstr/>
      </vt:variant>
      <vt:variant>
        <vt:lpwstr>tdm</vt:lpwstr>
      </vt:variant>
      <vt:variant>
        <vt:i4>6553625</vt:i4>
      </vt:variant>
      <vt:variant>
        <vt:i4>423</vt:i4>
      </vt:variant>
      <vt:variant>
        <vt:i4>0</vt:i4>
      </vt:variant>
      <vt:variant>
        <vt:i4>5</vt:i4>
      </vt:variant>
      <vt:variant>
        <vt:lpwstr/>
      </vt:variant>
      <vt:variant>
        <vt:lpwstr>tdm</vt:lpwstr>
      </vt:variant>
      <vt:variant>
        <vt:i4>6553625</vt:i4>
      </vt:variant>
      <vt:variant>
        <vt:i4>417</vt:i4>
      </vt:variant>
      <vt:variant>
        <vt:i4>0</vt:i4>
      </vt:variant>
      <vt:variant>
        <vt:i4>5</vt:i4>
      </vt:variant>
      <vt:variant>
        <vt:lpwstr/>
      </vt:variant>
      <vt:variant>
        <vt:lpwstr>tdm</vt:lpwstr>
      </vt:variant>
      <vt:variant>
        <vt:i4>6553625</vt:i4>
      </vt:variant>
      <vt:variant>
        <vt:i4>411</vt:i4>
      </vt:variant>
      <vt:variant>
        <vt:i4>0</vt:i4>
      </vt:variant>
      <vt:variant>
        <vt:i4>5</vt:i4>
      </vt:variant>
      <vt:variant>
        <vt:lpwstr/>
      </vt:variant>
      <vt:variant>
        <vt:lpwstr>tdm</vt:lpwstr>
      </vt:variant>
      <vt:variant>
        <vt:i4>6553625</vt:i4>
      </vt:variant>
      <vt:variant>
        <vt:i4>408</vt:i4>
      </vt:variant>
      <vt:variant>
        <vt:i4>0</vt:i4>
      </vt:variant>
      <vt:variant>
        <vt:i4>5</vt:i4>
      </vt:variant>
      <vt:variant>
        <vt:lpwstr/>
      </vt:variant>
      <vt:variant>
        <vt:lpwstr>tdm</vt:lpwstr>
      </vt:variant>
      <vt:variant>
        <vt:i4>6553625</vt:i4>
      </vt:variant>
      <vt:variant>
        <vt:i4>405</vt:i4>
      </vt:variant>
      <vt:variant>
        <vt:i4>0</vt:i4>
      </vt:variant>
      <vt:variant>
        <vt:i4>5</vt:i4>
      </vt:variant>
      <vt:variant>
        <vt:lpwstr/>
      </vt:variant>
      <vt:variant>
        <vt:lpwstr>tdm</vt:lpwstr>
      </vt:variant>
      <vt:variant>
        <vt:i4>6553625</vt:i4>
      </vt:variant>
      <vt:variant>
        <vt:i4>402</vt:i4>
      </vt:variant>
      <vt:variant>
        <vt:i4>0</vt:i4>
      </vt:variant>
      <vt:variant>
        <vt:i4>5</vt:i4>
      </vt:variant>
      <vt:variant>
        <vt:lpwstr/>
      </vt:variant>
      <vt:variant>
        <vt:lpwstr>tdm</vt:lpwstr>
      </vt:variant>
      <vt:variant>
        <vt:i4>6553625</vt:i4>
      </vt:variant>
      <vt:variant>
        <vt:i4>399</vt:i4>
      </vt:variant>
      <vt:variant>
        <vt:i4>0</vt:i4>
      </vt:variant>
      <vt:variant>
        <vt:i4>5</vt:i4>
      </vt:variant>
      <vt:variant>
        <vt:lpwstr/>
      </vt:variant>
      <vt:variant>
        <vt:lpwstr>tdm</vt:lpwstr>
      </vt:variant>
      <vt:variant>
        <vt:i4>6553625</vt:i4>
      </vt:variant>
      <vt:variant>
        <vt:i4>396</vt:i4>
      </vt:variant>
      <vt:variant>
        <vt:i4>0</vt:i4>
      </vt:variant>
      <vt:variant>
        <vt:i4>5</vt:i4>
      </vt:variant>
      <vt:variant>
        <vt:lpwstr/>
      </vt:variant>
      <vt:variant>
        <vt:lpwstr>tdm</vt:lpwstr>
      </vt:variant>
      <vt:variant>
        <vt:i4>6553625</vt:i4>
      </vt:variant>
      <vt:variant>
        <vt:i4>393</vt:i4>
      </vt:variant>
      <vt:variant>
        <vt:i4>0</vt:i4>
      </vt:variant>
      <vt:variant>
        <vt:i4>5</vt:i4>
      </vt:variant>
      <vt:variant>
        <vt:lpwstr/>
      </vt:variant>
      <vt:variant>
        <vt:lpwstr>tdm</vt:lpwstr>
      </vt:variant>
      <vt:variant>
        <vt:i4>6553625</vt:i4>
      </vt:variant>
      <vt:variant>
        <vt:i4>390</vt:i4>
      </vt:variant>
      <vt:variant>
        <vt:i4>0</vt:i4>
      </vt:variant>
      <vt:variant>
        <vt:i4>5</vt:i4>
      </vt:variant>
      <vt:variant>
        <vt:lpwstr/>
      </vt:variant>
      <vt:variant>
        <vt:lpwstr>tdm</vt:lpwstr>
      </vt:variant>
      <vt:variant>
        <vt:i4>6553625</vt:i4>
      </vt:variant>
      <vt:variant>
        <vt:i4>387</vt:i4>
      </vt:variant>
      <vt:variant>
        <vt:i4>0</vt:i4>
      </vt:variant>
      <vt:variant>
        <vt:i4>5</vt:i4>
      </vt:variant>
      <vt:variant>
        <vt:lpwstr/>
      </vt:variant>
      <vt:variant>
        <vt:lpwstr>tdm</vt:lpwstr>
      </vt:variant>
      <vt:variant>
        <vt:i4>6553625</vt:i4>
      </vt:variant>
      <vt:variant>
        <vt:i4>384</vt:i4>
      </vt:variant>
      <vt:variant>
        <vt:i4>0</vt:i4>
      </vt:variant>
      <vt:variant>
        <vt:i4>5</vt:i4>
      </vt:variant>
      <vt:variant>
        <vt:lpwstr/>
      </vt:variant>
      <vt:variant>
        <vt:lpwstr>tdm</vt:lpwstr>
      </vt:variant>
      <vt:variant>
        <vt:i4>6553625</vt:i4>
      </vt:variant>
      <vt:variant>
        <vt:i4>381</vt:i4>
      </vt:variant>
      <vt:variant>
        <vt:i4>0</vt:i4>
      </vt:variant>
      <vt:variant>
        <vt:i4>5</vt:i4>
      </vt:variant>
      <vt:variant>
        <vt:lpwstr/>
      </vt:variant>
      <vt:variant>
        <vt:lpwstr>tdm</vt:lpwstr>
      </vt:variant>
      <vt:variant>
        <vt:i4>2687033</vt:i4>
      </vt:variant>
      <vt:variant>
        <vt:i4>378</vt:i4>
      </vt:variant>
      <vt:variant>
        <vt:i4>0</vt:i4>
      </vt:variant>
      <vt:variant>
        <vt:i4>5</vt:i4>
      </vt:variant>
      <vt:variant>
        <vt:lpwstr/>
      </vt:variant>
      <vt:variant>
        <vt:lpwstr>Memoire_fig_48</vt:lpwstr>
      </vt:variant>
      <vt:variant>
        <vt:i4>2490425</vt:i4>
      </vt:variant>
      <vt:variant>
        <vt:i4>375</vt:i4>
      </vt:variant>
      <vt:variant>
        <vt:i4>0</vt:i4>
      </vt:variant>
      <vt:variant>
        <vt:i4>5</vt:i4>
      </vt:variant>
      <vt:variant>
        <vt:lpwstr/>
      </vt:variant>
      <vt:variant>
        <vt:lpwstr>Memoire_fig_47</vt:lpwstr>
      </vt:variant>
      <vt:variant>
        <vt:i4>2555961</vt:i4>
      </vt:variant>
      <vt:variant>
        <vt:i4>372</vt:i4>
      </vt:variant>
      <vt:variant>
        <vt:i4>0</vt:i4>
      </vt:variant>
      <vt:variant>
        <vt:i4>5</vt:i4>
      </vt:variant>
      <vt:variant>
        <vt:lpwstr/>
      </vt:variant>
      <vt:variant>
        <vt:lpwstr>Memoire_fig_46</vt:lpwstr>
      </vt:variant>
      <vt:variant>
        <vt:i4>2359353</vt:i4>
      </vt:variant>
      <vt:variant>
        <vt:i4>369</vt:i4>
      </vt:variant>
      <vt:variant>
        <vt:i4>0</vt:i4>
      </vt:variant>
      <vt:variant>
        <vt:i4>5</vt:i4>
      </vt:variant>
      <vt:variant>
        <vt:lpwstr/>
      </vt:variant>
      <vt:variant>
        <vt:lpwstr>Memoire_fig_45</vt:lpwstr>
      </vt:variant>
      <vt:variant>
        <vt:i4>2424889</vt:i4>
      </vt:variant>
      <vt:variant>
        <vt:i4>366</vt:i4>
      </vt:variant>
      <vt:variant>
        <vt:i4>0</vt:i4>
      </vt:variant>
      <vt:variant>
        <vt:i4>5</vt:i4>
      </vt:variant>
      <vt:variant>
        <vt:lpwstr/>
      </vt:variant>
      <vt:variant>
        <vt:lpwstr>Memoire_fig_44</vt:lpwstr>
      </vt:variant>
      <vt:variant>
        <vt:i4>2228281</vt:i4>
      </vt:variant>
      <vt:variant>
        <vt:i4>363</vt:i4>
      </vt:variant>
      <vt:variant>
        <vt:i4>0</vt:i4>
      </vt:variant>
      <vt:variant>
        <vt:i4>5</vt:i4>
      </vt:variant>
      <vt:variant>
        <vt:lpwstr/>
      </vt:variant>
      <vt:variant>
        <vt:lpwstr>Memoire_fig_43</vt:lpwstr>
      </vt:variant>
      <vt:variant>
        <vt:i4>2293817</vt:i4>
      </vt:variant>
      <vt:variant>
        <vt:i4>360</vt:i4>
      </vt:variant>
      <vt:variant>
        <vt:i4>0</vt:i4>
      </vt:variant>
      <vt:variant>
        <vt:i4>5</vt:i4>
      </vt:variant>
      <vt:variant>
        <vt:lpwstr/>
      </vt:variant>
      <vt:variant>
        <vt:lpwstr>Memoire_fig_42</vt:lpwstr>
      </vt:variant>
      <vt:variant>
        <vt:i4>2097209</vt:i4>
      </vt:variant>
      <vt:variant>
        <vt:i4>357</vt:i4>
      </vt:variant>
      <vt:variant>
        <vt:i4>0</vt:i4>
      </vt:variant>
      <vt:variant>
        <vt:i4>5</vt:i4>
      </vt:variant>
      <vt:variant>
        <vt:lpwstr/>
      </vt:variant>
      <vt:variant>
        <vt:lpwstr>Memoire_fig_41</vt:lpwstr>
      </vt:variant>
      <vt:variant>
        <vt:i4>2162745</vt:i4>
      </vt:variant>
      <vt:variant>
        <vt:i4>354</vt:i4>
      </vt:variant>
      <vt:variant>
        <vt:i4>0</vt:i4>
      </vt:variant>
      <vt:variant>
        <vt:i4>5</vt:i4>
      </vt:variant>
      <vt:variant>
        <vt:lpwstr/>
      </vt:variant>
      <vt:variant>
        <vt:lpwstr>Memoire_fig_40</vt:lpwstr>
      </vt:variant>
      <vt:variant>
        <vt:i4>2621502</vt:i4>
      </vt:variant>
      <vt:variant>
        <vt:i4>351</vt:i4>
      </vt:variant>
      <vt:variant>
        <vt:i4>0</vt:i4>
      </vt:variant>
      <vt:variant>
        <vt:i4>5</vt:i4>
      </vt:variant>
      <vt:variant>
        <vt:lpwstr/>
      </vt:variant>
      <vt:variant>
        <vt:lpwstr>Memoire_fig_39</vt:lpwstr>
      </vt:variant>
      <vt:variant>
        <vt:i4>2687038</vt:i4>
      </vt:variant>
      <vt:variant>
        <vt:i4>348</vt:i4>
      </vt:variant>
      <vt:variant>
        <vt:i4>0</vt:i4>
      </vt:variant>
      <vt:variant>
        <vt:i4>5</vt:i4>
      </vt:variant>
      <vt:variant>
        <vt:lpwstr/>
      </vt:variant>
      <vt:variant>
        <vt:lpwstr>Memoire_fig_38</vt:lpwstr>
      </vt:variant>
      <vt:variant>
        <vt:i4>2490430</vt:i4>
      </vt:variant>
      <vt:variant>
        <vt:i4>345</vt:i4>
      </vt:variant>
      <vt:variant>
        <vt:i4>0</vt:i4>
      </vt:variant>
      <vt:variant>
        <vt:i4>5</vt:i4>
      </vt:variant>
      <vt:variant>
        <vt:lpwstr/>
      </vt:variant>
      <vt:variant>
        <vt:lpwstr>Memoire_fig_37</vt:lpwstr>
      </vt:variant>
      <vt:variant>
        <vt:i4>2555966</vt:i4>
      </vt:variant>
      <vt:variant>
        <vt:i4>342</vt:i4>
      </vt:variant>
      <vt:variant>
        <vt:i4>0</vt:i4>
      </vt:variant>
      <vt:variant>
        <vt:i4>5</vt:i4>
      </vt:variant>
      <vt:variant>
        <vt:lpwstr/>
      </vt:variant>
      <vt:variant>
        <vt:lpwstr>Memoire_fig_36</vt:lpwstr>
      </vt:variant>
      <vt:variant>
        <vt:i4>2359358</vt:i4>
      </vt:variant>
      <vt:variant>
        <vt:i4>339</vt:i4>
      </vt:variant>
      <vt:variant>
        <vt:i4>0</vt:i4>
      </vt:variant>
      <vt:variant>
        <vt:i4>5</vt:i4>
      </vt:variant>
      <vt:variant>
        <vt:lpwstr/>
      </vt:variant>
      <vt:variant>
        <vt:lpwstr>Memoire_fig_35</vt:lpwstr>
      </vt:variant>
      <vt:variant>
        <vt:i4>2424894</vt:i4>
      </vt:variant>
      <vt:variant>
        <vt:i4>336</vt:i4>
      </vt:variant>
      <vt:variant>
        <vt:i4>0</vt:i4>
      </vt:variant>
      <vt:variant>
        <vt:i4>5</vt:i4>
      </vt:variant>
      <vt:variant>
        <vt:lpwstr/>
      </vt:variant>
      <vt:variant>
        <vt:lpwstr>Memoire_fig_34</vt:lpwstr>
      </vt:variant>
      <vt:variant>
        <vt:i4>2228286</vt:i4>
      </vt:variant>
      <vt:variant>
        <vt:i4>333</vt:i4>
      </vt:variant>
      <vt:variant>
        <vt:i4>0</vt:i4>
      </vt:variant>
      <vt:variant>
        <vt:i4>5</vt:i4>
      </vt:variant>
      <vt:variant>
        <vt:lpwstr/>
      </vt:variant>
      <vt:variant>
        <vt:lpwstr>Memoire_fig_33</vt:lpwstr>
      </vt:variant>
      <vt:variant>
        <vt:i4>2293822</vt:i4>
      </vt:variant>
      <vt:variant>
        <vt:i4>330</vt:i4>
      </vt:variant>
      <vt:variant>
        <vt:i4>0</vt:i4>
      </vt:variant>
      <vt:variant>
        <vt:i4>5</vt:i4>
      </vt:variant>
      <vt:variant>
        <vt:lpwstr/>
      </vt:variant>
      <vt:variant>
        <vt:lpwstr>Memoire_fig_32</vt:lpwstr>
      </vt:variant>
      <vt:variant>
        <vt:i4>2097214</vt:i4>
      </vt:variant>
      <vt:variant>
        <vt:i4>327</vt:i4>
      </vt:variant>
      <vt:variant>
        <vt:i4>0</vt:i4>
      </vt:variant>
      <vt:variant>
        <vt:i4>5</vt:i4>
      </vt:variant>
      <vt:variant>
        <vt:lpwstr/>
      </vt:variant>
      <vt:variant>
        <vt:lpwstr>Memoire_fig_31</vt:lpwstr>
      </vt:variant>
      <vt:variant>
        <vt:i4>2162750</vt:i4>
      </vt:variant>
      <vt:variant>
        <vt:i4>324</vt:i4>
      </vt:variant>
      <vt:variant>
        <vt:i4>0</vt:i4>
      </vt:variant>
      <vt:variant>
        <vt:i4>5</vt:i4>
      </vt:variant>
      <vt:variant>
        <vt:lpwstr/>
      </vt:variant>
      <vt:variant>
        <vt:lpwstr>Memoire_fig_30</vt:lpwstr>
      </vt:variant>
      <vt:variant>
        <vt:i4>2621503</vt:i4>
      </vt:variant>
      <vt:variant>
        <vt:i4>321</vt:i4>
      </vt:variant>
      <vt:variant>
        <vt:i4>0</vt:i4>
      </vt:variant>
      <vt:variant>
        <vt:i4>5</vt:i4>
      </vt:variant>
      <vt:variant>
        <vt:lpwstr/>
      </vt:variant>
      <vt:variant>
        <vt:lpwstr>Memoire_fig_29</vt:lpwstr>
      </vt:variant>
      <vt:variant>
        <vt:i4>2687039</vt:i4>
      </vt:variant>
      <vt:variant>
        <vt:i4>318</vt:i4>
      </vt:variant>
      <vt:variant>
        <vt:i4>0</vt:i4>
      </vt:variant>
      <vt:variant>
        <vt:i4>5</vt:i4>
      </vt:variant>
      <vt:variant>
        <vt:lpwstr/>
      </vt:variant>
      <vt:variant>
        <vt:lpwstr>Memoire_fig_28</vt:lpwstr>
      </vt:variant>
      <vt:variant>
        <vt:i4>2490431</vt:i4>
      </vt:variant>
      <vt:variant>
        <vt:i4>315</vt:i4>
      </vt:variant>
      <vt:variant>
        <vt:i4>0</vt:i4>
      </vt:variant>
      <vt:variant>
        <vt:i4>5</vt:i4>
      </vt:variant>
      <vt:variant>
        <vt:lpwstr/>
      </vt:variant>
      <vt:variant>
        <vt:lpwstr>Memoire_fig_27</vt:lpwstr>
      </vt:variant>
      <vt:variant>
        <vt:i4>2555967</vt:i4>
      </vt:variant>
      <vt:variant>
        <vt:i4>312</vt:i4>
      </vt:variant>
      <vt:variant>
        <vt:i4>0</vt:i4>
      </vt:variant>
      <vt:variant>
        <vt:i4>5</vt:i4>
      </vt:variant>
      <vt:variant>
        <vt:lpwstr/>
      </vt:variant>
      <vt:variant>
        <vt:lpwstr>Memoire_fig_26</vt:lpwstr>
      </vt:variant>
      <vt:variant>
        <vt:i4>2359359</vt:i4>
      </vt:variant>
      <vt:variant>
        <vt:i4>309</vt:i4>
      </vt:variant>
      <vt:variant>
        <vt:i4>0</vt:i4>
      </vt:variant>
      <vt:variant>
        <vt:i4>5</vt:i4>
      </vt:variant>
      <vt:variant>
        <vt:lpwstr/>
      </vt:variant>
      <vt:variant>
        <vt:lpwstr>Memoire_fig_25</vt:lpwstr>
      </vt:variant>
      <vt:variant>
        <vt:i4>2424895</vt:i4>
      </vt:variant>
      <vt:variant>
        <vt:i4>306</vt:i4>
      </vt:variant>
      <vt:variant>
        <vt:i4>0</vt:i4>
      </vt:variant>
      <vt:variant>
        <vt:i4>5</vt:i4>
      </vt:variant>
      <vt:variant>
        <vt:lpwstr/>
      </vt:variant>
      <vt:variant>
        <vt:lpwstr>Memoire_fig_24</vt:lpwstr>
      </vt:variant>
      <vt:variant>
        <vt:i4>2228287</vt:i4>
      </vt:variant>
      <vt:variant>
        <vt:i4>303</vt:i4>
      </vt:variant>
      <vt:variant>
        <vt:i4>0</vt:i4>
      </vt:variant>
      <vt:variant>
        <vt:i4>5</vt:i4>
      </vt:variant>
      <vt:variant>
        <vt:lpwstr/>
      </vt:variant>
      <vt:variant>
        <vt:lpwstr>Memoire_fig_23</vt:lpwstr>
      </vt:variant>
      <vt:variant>
        <vt:i4>2293823</vt:i4>
      </vt:variant>
      <vt:variant>
        <vt:i4>300</vt:i4>
      </vt:variant>
      <vt:variant>
        <vt:i4>0</vt:i4>
      </vt:variant>
      <vt:variant>
        <vt:i4>5</vt:i4>
      </vt:variant>
      <vt:variant>
        <vt:lpwstr/>
      </vt:variant>
      <vt:variant>
        <vt:lpwstr>Memoire_fig_22</vt:lpwstr>
      </vt:variant>
      <vt:variant>
        <vt:i4>2097215</vt:i4>
      </vt:variant>
      <vt:variant>
        <vt:i4>297</vt:i4>
      </vt:variant>
      <vt:variant>
        <vt:i4>0</vt:i4>
      </vt:variant>
      <vt:variant>
        <vt:i4>5</vt:i4>
      </vt:variant>
      <vt:variant>
        <vt:lpwstr/>
      </vt:variant>
      <vt:variant>
        <vt:lpwstr>Memoire_fig_21</vt:lpwstr>
      </vt:variant>
      <vt:variant>
        <vt:i4>2162751</vt:i4>
      </vt:variant>
      <vt:variant>
        <vt:i4>294</vt:i4>
      </vt:variant>
      <vt:variant>
        <vt:i4>0</vt:i4>
      </vt:variant>
      <vt:variant>
        <vt:i4>5</vt:i4>
      </vt:variant>
      <vt:variant>
        <vt:lpwstr/>
      </vt:variant>
      <vt:variant>
        <vt:lpwstr>Memoire_fig_20</vt:lpwstr>
      </vt:variant>
      <vt:variant>
        <vt:i4>2621500</vt:i4>
      </vt:variant>
      <vt:variant>
        <vt:i4>291</vt:i4>
      </vt:variant>
      <vt:variant>
        <vt:i4>0</vt:i4>
      </vt:variant>
      <vt:variant>
        <vt:i4>5</vt:i4>
      </vt:variant>
      <vt:variant>
        <vt:lpwstr/>
      </vt:variant>
      <vt:variant>
        <vt:lpwstr>Memoire_fig_19</vt:lpwstr>
      </vt:variant>
      <vt:variant>
        <vt:i4>2687036</vt:i4>
      </vt:variant>
      <vt:variant>
        <vt:i4>288</vt:i4>
      </vt:variant>
      <vt:variant>
        <vt:i4>0</vt:i4>
      </vt:variant>
      <vt:variant>
        <vt:i4>5</vt:i4>
      </vt:variant>
      <vt:variant>
        <vt:lpwstr/>
      </vt:variant>
      <vt:variant>
        <vt:lpwstr>Memoire_fig_18</vt:lpwstr>
      </vt:variant>
      <vt:variant>
        <vt:i4>2490428</vt:i4>
      </vt:variant>
      <vt:variant>
        <vt:i4>285</vt:i4>
      </vt:variant>
      <vt:variant>
        <vt:i4>0</vt:i4>
      </vt:variant>
      <vt:variant>
        <vt:i4>5</vt:i4>
      </vt:variant>
      <vt:variant>
        <vt:lpwstr/>
      </vt:variant>
      <vt:variant>
        <vt:lpwstr>Memoire_fig_17</vt:lpwstr>
      </vt:variant>
      <vt:variant>
        <vt:i4>2555964</vt:i4>
      </vt:variant>
      <vt:variant>
        <vt:i4>282</vt:i4>
      </vt:variant>
      <vt:variant>
        <vt:i4>0</vt:i4>
      </vt:variant>
      <vt:variant>
        <vt:i4>5</vt:i4>
      </vt:variant>
      <vt:variant>
        <vt:lpwstr/>
      </vt:variant>
      <vt:variant>
        <vt:lpwstr>Memoire_fig_16</vt:lpwstr>
      </vt:variant>
      <vt:variant>
        <vt:i4>2359356</vt:i4>
      </vt:variant>
      <vt:variant>
        <vt:i4>279</vt:i4>
      </vt:variant>
      <vt:variant>
        <vt:i4>0</vt:i4>
      </vt:variant>
      <vt:variant>
        <vt:i4>5</vt:i4>
      </vt:variant>
      <vt:variant>
        <vt:lpwstr/>
      </vt:variant>
      <vt:variant>
        <vt:lpwstr>Memoire_fig_15</vt:lpwstr>
      </vt:variant>
      <vt:variant>
        <vt:i4>2424892</vt:i4>
      </vt:variant>
      <vt:variant>
        <vt:i4>276</vt:i4>
      </vt:variant>
      <vt:variant>
        <vt:i4>0</vt:i4>
      </vt:variant>
      <vt:variant>
        <vt:i4>5</vt:i4>
      </vt:variant>
      <vt:variant>
        <vt:lpwstr/>
      </vt:variant>
      <vt:variant>
        <vt:lpwstr>Memoire_fig_14</vt:lpwstr>
      </vt:variant>
      <vt:variant>
        <vt:i4>2228284</vt:i4>
      </vt:variant>
      <vt:variant>
        <vt:i4>273</vt:i4>
      </vt:variant>
      <vt:variant>
        <vt:i4>0</vt:i4>
      </vt:variant>
      <vt:variant>
        <vt:i4>5</vt:i4>
      </vt:variant>
      <vt:variant>
        <vt:lpwstr/>
      </vt:variant>
      <vt:variant>
        <vt:lpwstr>Memoire_fig_13</vt:lpwstr>
      </vt:variant>
      <vt:variant>
        <vt:i4>2293820</vt:i4>
      </vt:variant>
      <vt:variant>
        <vt:i4>270</vt:i4>
      </vt:variant>
      <vt:variant>
        <vt:i4>0</vt:i4>
      </vt:variant>
      <vt:variant>
        <vt:i4>5</vt:i4>
      </vt:variant>
      <vt:variant>
        <vt:lpwstr/>
      </vt:variant>
      <vt:variant>
        <vt:lpwstr>Memoire_fig_12</vt:lpwstr>
      </vt:variant>
      <vt:variant>
        <vt:i4>2097212</vt:i4>
      </vt:variant>
      <vt:variant>
        <vt:i4>267</vt:i4>
      </vt:variant>
      <vt:variant>
        <vt:i4>0</vt:i4>
      </vt:variant>
      <vt:variant>
        <vt:i4>5</vt:i4>
      </vt:variant>
      <vt:variant>
        <vt:lpwstr/>
      </vt:variant>
      <vt:variant>
        <vt:lpwstr>Memoire_fig_11</vt:lpwstr>
      </vt:variant>
      <vt:variant>
        <vt:i4>2162748</vt:i4>
      </vt:variant>
      <vt:variant>
        <vt:i4>264</vt:i4>
      </vt:variant>
      <vt:variant>
        <vt:i4>0</vt:i4>
      </vt:variant>
      <vt:variant>
        <vt:i4>5</vt:i4>
      </vt:variant>
      <vt:variant>
        <vt:lpwstr/>
      </vt:variant>
      <vt:variant>
        <vt:lpwstr>Memoire_fig_10</vt:lpwstr>
      </vt:variant>
      <vt:variant>
        <vt:i4>2621501</vt:i4>
      </vt:variant>
      <vt:variant>
        <vt:i4>261</vt:i4>
      </vt:variant>
      <vt:variant>
        <vt:i4>0</vt:i4>
      </vt:variant>
      <vt:variant>
        <vt:i4>5</vt:i4>
      </vt:variant>
      <vt:variant>
        <vt:lpwstr/>
      </vt:variant>
      <vt:variant>
        <vt:lpwstr>Memoire_fig_09</vt:lpwstr>
      </vt:variant>
      <vt:variant>
        <vt:i4>2687037</vt:i4>
      </vt:variant>
      <vt:variant>
        <vt:i4>258</vt:i4>
      </vt:variant>
      <vt:variant>
        <vt:i4>0</vt:i4>
      </vt:variant>
      <vt:variant>
        <vt:i4>5</vt:i4>
      </vt:variant>
      <vt:variant>
        <vt:lpwstr/>
      </vt:variant>
      <vt:variant>
        <vt:lpwstr>Memoire_fig_08</vt:lpwstr>
      </vt:variant>
      <vt:variant>
        <vt:i4>2490429</vt:i4>
      </vt:variant>
      <vt:variant>
        <vt:i4>255</vt:i4>
      </vt:variant>
      <vt:variant>
        <vt:i4>0</vt:i4>
      </vt:variant>
      <vt:variant>
        <vt:i4>5</vt:i4>
      </vt:variant>
      <vt:variant>
        <vt:lpwstr/>
      </vt:variant>
      <vt:variant>
        <vt:lpwstr>Memoire_fig_07</vt:lpwstr>
      </vt:variant>
      <vt:variant>
        <vt:i4>2555965</vt:i4>
      </vt:variant>
      <vt:variant>
        <vt:i4>252</vt:i4>
      </vt:variant>
      <vt:variant>
        <vt:i4>0</vt:i4>
      </vt:variant>
      <vt:variant>
        <vt:i4>5</vt:i4>
      </vt:variant>
      <vt:variant>
        <vt:lpwstr/>
      </vt:variant>
      <vt:variant>
        <vt:lpwstr>Memoire_fig_06</vt:lpwstr>
      </vt:variant>
      <vt:variant>
        <vt:i4>2359357</vt:i4>
      </vt:variant>
      <vt:variant>
        <vt:i4>249</vt:i4>
      </vt:variant>
      <vt:variant>
        <vt:i4>0</vt:i4>
      </vt:variant>
      <vt:variant>
        <vt:i4>5</vt:i4>
      </vt:variant>
      <vt:variant>
        <vt:lpwstr/>
      </vt:variant>
      <vt:variant>
        <vt:lpwstr>Memoire_fig_05</vt:lpwstr>
      </vt:variant>
      <vt:variant>
        <vt:i4>2424893</vt:i4>
      </vt:variant>
      <vt:variant>
        <vt:i4>246</vt:i4>
      </vt:variant>
      <vt:variant>
        <vt:i4>0</vt:i4>
      </vt:variant>
      <vt:variant>
        <vt:i4>5</vt:i4>
      </vt:variant>
      <vt:variant>
        <vt:lpwstr/>
      </vt:variant>
      <vt:variant>
        <vt:lpwstr>Memoire_fig_04</vt:lpwstr>
      </vt:variant>
      <vt:variant>
        <vt:i4>2228285</vt:i4>
      </vt:variant>
      <vt:variant>
        <vt:i4>243</vt:i4>
      </vt:variant>
      <vt:variant>
        <vt:i4>0</vt:i4>
      </vt:variant>
      <vt:variant>
        <vt:i4>5</vt:i4>
      </vt:variant>
      <vt:variant>
        <vt:lpwstr/>
      </vt:variant>
      <vt:variant>
        <vt:lpwstr>Memoire_fig_03</vt:lpwstr>
      </vt:variant>
      <vt:variant>
        <vt:i4>2293821</vt:i4>
      </vt:variant>
      <vt:variant>
        <vt:i4>240</vt:i4>
      </vt:variant>
      <vt:variant>
        <vt:i4>0</vt:i4>
      </vt:variant>
      <vt:variant>
        <vt:i4>5</vt:i4>
      </vt:variant>
      <vt:variant>
        <vt:lpwstr/>
      </vt:variant>
      <vt:variant>
        <vt:lpwstr>Memoire_fig_02</vt:lpwstr>
      </vt:variant>
      <vt:variant>
        <vt:i4>2097213</vt:i4>
      </vt:variant>
      <vt:variant>
        <vt:i4>237</vt:i4>
      </vt:variant>
      <vt:variant>
        <vt:i4>0</vt:i4>
      </vt:variant>
      <vt:variant>
        <vt:i4>5</vt:i4>
      </vt:variant>
      <vt:variant>
        <vt:lpwstr/>
      </vt:variant>
      <vt:variant>
        <vt:lpwstr>Memoire_fig_01</vt:lpwstr>
      </vt:variant>
      <vt:variant>
        <vt:i4>6553625</vt:i4>
      </vt:variant>
      <vt:variant>
        <vt:i4>234</vt:i4>
      </vt:variant>
      <vt:variant>
        <vt:i4>0</vt:i4>
      </vt:variant>
      <vt:variant>
        <vt:i4>5</vt:i4>
      </vt:variant>
      <vt:variant>
        <vt:lpwstr/>
      </vt:variant>
      <vt:variant>
        <vt:lpwstr>tdm</vt:lpwstr>
      </vt:variant>
      <vt:variant>
        <vt:i4>7209057</vt:i4>
      </vt:variant>
      <vt:variant>
        <vt:i4>231</vt:i4>
      </vt:variant>
      <vt:variant>
        <vt:i4>0</vt:i4>
      </vt:variant>
      <vt:variant>
        <vt:i4>5</vt:i4>
      </vt:variant>
      <vt:variant>
        <vt:lpwstr/>
      </vt:variant>
      <vt:variant>
        <vt:lpwstr>Memoire_annexes_IX</vt:lpwstr>
      </vt:variant>
      <vt:variant>
        <vt:i4>1441815</vt:i4>
      </vt:variant>
      <vt:variant>
        <vt:i4>228</vt:i4>
      </vt:variant>
      <vt:variant>
        <vt:i4>0</vt:i4>
      </vt:variant>
      <vt:variant>
        <vt:i4>5</vt:i4>
      </vt:variant>
      <vt:variant>
        <vt:lpwstr/>
      </vt:variant>
      <vt:variant>
        <vt:lpwstr>Memoire_annexes_VIII</vt:lpwstr>
      </vt:variant>
      <vt:variant>
        <vt:i4>8323095</vt:i4>
      </vt:variant>
      <vt:variant>
        <vt:i4>225</vt:i4>
      </vt:variant>
      <vt:variant>
        <vt:i4>0</vt:i4>
      </vt:variant>
      <vt:variant>
        <vt:i4>5</vt:i4>
      </vt:variant>
      <vt:variant>
        <vt:lpwstr/>
      </vt:variant>
      <vt:variant>
        <vt:lpwstr>Memoire_annexes_VII</vt:lpwstr>
      </vt:variant>
      <vt:variant>
        <vt:i4>8323198</vt:i4>
      </vt:variant>
      <vt:variant>
        <vt:i4>222</vt:i4>
      </vt:variant>
      <vt:variant>
        <vt:i4>0</vt:i4>
      </vt:variant>
      <vt:variant>
        <vt:i4>5</vt:i4>
      </vt:variant>
      <vt:variant>
        <vt:lpwstr/>
      </vt:variant>
      <vt:variant>
        <vt:lpwstr>Memoire_annexes_VI</vt:lpwstr>
      </vt:variant>
      <vt:variant>
        <vt:i4>1441918</vt:i4>
      </vt:variant>
      <vt:variant>
        <vt:i4>219</vt:i4>
      </vt:variant>
      <vt:variant>
        <vt:i4>0</vt:i4>
      </vt:variant>
      <vt:variant>
        <vt:i4>5</vt:i4>
      </vt:variant>
      <vt:variant>
        <vt:lpwstr/>
      </vt:variant>
      <vt:variant>
        <vt:lpwstr>Memoire_annexes_V</vt:lpwstr>
      </vt:variant>
      <vt:variant>
        <vt:i4>6291553</vt:i4>
      </vt:variant>
      <vt:variant>
        <vt:i4>216</vt:i4>
      </vt:variant>
      <vt:variant>
        <vt:i4>0</vt:i4>
      </vt:variant>
      <vt:variant>
        <vt:i4>5</vt:i4>
      </vt:variant>
      <vt:variant>
        <vt:lpwstr/>
      </vt:variant>
      <vt:variant>
        <vt:lpwstr>Memoire_annexes_IV</vt:lpwstr>
      </vt:variant>
      <vt:variant>
        <vt:i4>8323080</vt:i4>
      </vt:variant>
      <vt:variant>
        <vt:i4>213</vt:i4>
      </vt:variant>
      <vt:variant>
        <vt:i4>0</vt:i4>
      </vt:variant>
      <vt:variant>
        <vt:i4>5</vt:i4>
      </vt:variant>
      <vt:variant>
        <vt:lpwstr/>
      </vt:variant>
      <vt:variant>
        <vt:lpwstr>Memoire_annexes_III</vt:lpwstr>
      </vt:variant>
      <vt:variant>
        <vt:i4>8323169</vt:i4>
      </vt:variant>
      <vt:variant>
        <vt:i4>210</vt:i4>
      </vt:variant>
      <vt:variant>
        <vt:i4>0</vt:i4>
      </vt:variant>
      <vt:variant>
        <vt:i4>5</vt:i4>
      </vt:variant>
      <vt:variant>
        <vt:lpwstr/>
      </vt:variant>
      <vt:variant>
        <vt:lpwstr>Memoire_annexes_II</vt:lpwstr>
      </vt:variant>
      <vt:variant>
        <vt:i4>1441889</vt:i4>
      </vt:variant>
      <vt:variant>
        <vt:i4>207</vt:i4>
      </vt:variant>
      <vt:variant>
        <vt:i4>0</vt:i4>
      </vt:variant>
      <vt:variant>
        <vt:i4>5</vt:i4>
      </vt:variant>
      <vt:variant>
        <vt:lpwstr/>
      </vt:variant>
      <vt:variant>
        <vt:lpwstr>Memoire_annexes_I</vt:lpwstr>
      </vt:variant>
      <vt:variant>
        <vt:i4>4784136</vt:i4>
      </vt:variant>
      <vt:variant>
        <vt:i4>204</vt:i4>
      </vt:variant>
      <vt:variant>
        <vt:i4>0</vt:i4>
      </vt:variant>
      <vt:variant>
        <vt:i4>5</vt:i4>
      </vt:variant>
      <vt:variant>
        <vt:lpwstr/>
      </vt:variant>
      <vt:variant>
        <vt:lpwstr>Memoire_annexes</vt:lpwstr>
      </vt:variant>
      <vt:variant>
        <vt:i4>5046373</vt:i4>
      </vt:variant>
      <vt:variant>
        <vt:i4>201</vt:i4>
      </vt:variant>
      <vt:variant>
        <vt:i4>0</vt:i4>
      </vt:variant>
      <vt:variant>
        <vt:i4>5</vt:i4>
      </vt:variant>
      <vt:variant>
        <vt:lpwstr/>
      </vt:variant>
      <vt:variant>
        <vt:lpwstr>Memoire_biblio</vt:lpwstr>
      </vt:variant>
      <vt:variant>
        <vt:i4>5832817</vt:i4>
      </vt:variant>
      <vt:variant>
        <vt:i4>198</vt:i4>
      </vt:variant>
      <vt:variant>
        <vt:i4>0</vt:i4>
      </vt:variant>
      <vt:variant>
        <vt:i4>5</vt:i4>
      </vt:variant>
      <vt:variant>
        <vt:lpwstr/>
      </vt:variant>
      <vt:variant>
        <vt:lpwstr>Memoire_conclusion</vt:lpwstr>
      </vt:variant>
      <vt:variant>
        <vt:i4>8323173</vt:i4>
      </vt:variant>
      <vt:variant>
        <vt:i4>195</vt:i4>
      </vt:variant>
      <vt:variant>
        <vt:i4>0</vt:i4>
      </vt:variant>
      <vt:variant>
        <vt:i4>5</vt:i4>
      </vt:variant>
      <vt:variant>
        <vt:lpwstr/>
      </vt:variant>
      <vt:variant>
        <vt:lpwstr>Memoire_chap_VIII_4</vt:lpwstr>
      </vt:variant>
      <vt:variant>
        <vt:i4>8323170</vt:i4>
      </vt:variant>
      <vt:variant>
        <vt:i4>192</vt:i4>
      </vt:variant>
      <vt:variant>
        <vt:i4>0</vt:i4>
      </vt:variant>
      <vt:variant>
        <vt:i4>5</vt:i4>
      </vt:variant>
      <vt:variant>
        <vt:lpwstr/>
      </vt:variant>
      <vt:variant>
        <vt:lpwstr>Memoire_chap_VIII_3</vt:lpwstr>
      </vt:variant>
      <vt:variant>
        <vt:i4>8323171</vt:i4>
      </vt:variant>
      <vt:variant>
        <vt:i4>189</vt:i4>
      </vt:variant>
      <vt:variant>
        <vt:i4>0</vt:i4>
      </vt:variant>
      <vt:variant>
        <vt:i4>5</vt:i4>
      </vt:variant>
      <vt:variant>
        <vt:lpwstr/>
      </vt:variant>
      <vt:variant>
        <vt:lpwstr>Memoire_chap_VIII_2</vt:lpwstr>
      </vt:variant>
      <vt:variant>
        <vt:i4>8323168</vt:i4>
      </vt:variant>
      <vt:variant>
        <vt:i4>186</vt:i4>
      </vt:variant>
      <vt:variant>
        <vt:i4>0</vt:i4>
      </vt:variant>
      <vt:variant>
        <vt:i4>5</vt:i4>
      </vt:variant>
      <vt:variant>
        <vt:lpwstr/>
      </vt:variant>
      <vt:variant>
        <vt:lpwstr>Memoire_chap_VIII_1</vt:lpwstr>
      </vt:variant>
      <vt:variant>
        <vt:i4>2097233</vt:i4>
      </vt:variant>
      <vt:variant>
        <vt:i4>183</vt:i4>
      </vt:variant>
      <vt:variant>
        <vt:i4>0</vt:i4>
      </vt:variant>
      <vt:variant>
        <vt:i4>5</vt:i4>
      </vt:variant>
      <vt:variant>
        <vt:lpwstr/>
      </vt:variant>
      <vt:variant>
        <vt:lpwstr>Memoire_chap_VIII</vt:lpwstr>
      </vt:variant>
      <vt:variant>
        <vt:i4>1179751</vt:i4>
      </vt:variant>
      <vt:variant>
        <vt:i4>180</vt:i4>
      </vt:variant>
      <vt:variant>
        <vt:i4>0</vt:i4>
      </vt:variant>
      <vt:variant>
        <vt:i4>5</vt:i4>
      </vt:variant>
      <vt:variant>
        <vt:lpwstr/>
      </vt:variant>
      <vt:variant>
        <vt:lpwstr>Memoire_chap_VII_2</vt:lpwstr>
      </vt:variant>
      <vt:variant>
        <vt:i4>1114215</vt:i4>
      </vt:variant>
      <vt:variant>
        <vt:i4>177</vt:i4>
      </vt:variant>
      <vt:variant>
        <vt:i4>0</vt:i4>
      </vt:variant>
      <vt:variant>
        <vt:i4>5</vt:i4>
      </vt:variant>
      <vt:variant>
        <vt:lpwstr/>
      </vt:variant>
      <vt:variant>
        <vt:lpwstr>Memoire_chap_VII_1</vt:lpwstr>
      </vt:variant>
      <vt:variant>
        <vt:i4>2097208</vt:i4>
      </vt:variant>
      <vt:variant>
        <vt:i4>174</vt:i4>
      </vt:variant>
      <vt:variant>
        <vt:i4>0</vt:i4>
      </vt:variant>
      <vt:variant>
        <vt:i4>5</vt:i4>
      </vt:variant>
      <vt:variant>
        <vt:lpwstr/>
      </vt:variant>
      <vt:variant>
        <vt:lpwstr>Memoire_chap_VII</vt:lpwstr>
      </vt:variant>
      <vt:variant>
        <vt:i4>1441806</vt:i4>
      </vt:variant>
      <vt:variant>
        <vt:i4>171</vt:i4>
      </vt:variant>
      <vt:variant>
        <vt:i4>0</vt:i4>
      </vt:variant>
      <vt:variant>
        <vt:i4>5</vt:i4>
      </vt:variant>
      <vt:variant>
        <vt:lpwstr/>
      </vt:variant>
      <vt:variant>
        <vt:lpwstr>Memoire_chap_VI_6</vt:lpwstr>
      </vt:variant>
      <vt:variant>
        <vt:i4>1441805</vt:i4>
      </vt:variant>
      <vt:variant>
        <vt:i4>168</vt:i4>
      </vt:variant>
      <vt:variant>
        <vt:i4>0</vt:i4>
      </vt:variant>
      <vt:variant>
        <vt:i4>5</vt:i4>
      </vt:variant>
      <vt:variant>
        <vt:lpwstr/>
      </vt:variant>
      <vt:variant>
        <vt:lpwstr>Memoire_chap_VI_5</vt:lpwstr>
      </vt:variant>
      <vt:variant>
        <vt:i4>1441804</vt:i4>
      </vt:variant>
      <vt:variant>
        <vt:i4>165</vt:i4>
      </vt:variant>
      <vt:variant>
        <vt:i4>0</vt:i4>
      </vt:variant>
      <vt:variant>
        <vt:i4>5</vt:i4>
      </vt:variant>
      <vt:variant>
        <vt:lpwstr/>
      </vt:variant>
      <vt:variant>
        <vt:lpwstr>Memoire_chap_VI_4</vt:lpwstr>
      </vt:variant>
      <vt:variant>
        <vt:i4>1441803</vt:i4>
      </vt:variant>
      <vt:variant>
        <vt:i4>162</vt:i4>
      </vt:variant>
      <vt:variant>
        <vt:i4>0</vt:i4>
      </vt:variant>
      <vt:variant>
        <vt:i4>5</vt:i4>
      </vt:variant>
      <vt:variant>
        <vt:lpwstr/>
      </vt:variant>
      <vt:variant>
        <vt:lpwstr>Memoire_chap_VI_3</vt:lpwstr>
      </vt:variant>
      <vt:variant>
        <vt:i4>1441802</vt:i4>
      </vt:variant>
      <vt:variant>
        <vt:i4>159</vt:i4>
      </vt:variant>
      <vt:variant>
        <vt:i4>0</vt:i4>
      </vt:variant>
      <vt:variant>
        <vt:i4>5</vt:i4>
      </vt:variant>
      <vt:variant>
        <vt:lpwstr/>
      </vt:variant>
      <vt:variant>
        <vt:lpwstr>Memoire_chap_VI_2</vt:lpwstr>
      </vt:variant>
      <vt:variant>
        <vt:i4>1441801</vt:i4>
      </vt:variant>
      <vt:variant>
        <vt:i4>156</vt:i4>
      </vt:variant>
      <vt:variant>
        <vt:i4>0</vt:i4>
      </vt:variant>
      <vt:variant>
        <vt:i4>5</vt:i4>
      </vt:variant>
      <vt:variant>
        <vt:lpwstr/>
      </vt:variant>
      <vt:variant>
        <vt:lpwstr>Memoire_chap_VI_1</vt:lpwstr>
      </vt:variant>
      <vt:variant>
        <vt:i4>4784184</vt:i4>
      </vt:variant>
      <vt:variant>
        <vt:i4>153</vt:i4>
      </vt:variant>
      <vt:variant>
        <vt:i4>0</vt:i4>
      </vt:variant>
      <vt:variant>
        <vt:i4>5</vt:i4>
      </vt:variant>
      <vt:variant>
        <vt:lpwstr/>
      </vt:variant>
      <vt:variant>
        <vt:lpwstr>Memoire_chap_VI</vt:lpwstr>
      </vt:variant>
      <vt:variant>
        <vt:i4>8126478</vt:i4>
      </vt:variant>
      <vt:variant>
        <vt:i4>150</vt:i4>
      </vt:variant>
      <vt:variant>
        <vt:i4>0</vt:i4>
      </vt:variant>
      <vt:variant>
        <vt:i4>5</vt:i4>
      </vt:variant>
      <vt:variant>
        <vt:lpwstr/>
      </vt:variant>
      <vt:variant>
        <vt:lpwstr>Memoire_chap_V_5</vt:lpwstr>
      </vt:variant>
      <vt:variant>
        <vt:i4>8192014</vt:i4>
      </vt:variant>
      <vt:variant>
        <vt:i4>147</vt:i4>
      </vt:variant>
      <vt:variant>
        <vt:i4>0</vt:i4>
      </vt:variant>
      <vt:variant>
        <vt:i4>5</vt:i4>
      </vt:variant>
      <vt:variant>
        <vt:lpwstr/>
      </vt:variant>
      <vt:variant>
        <vt:lpwstr>Memoire_chap_V_4</vt:lpwstr>
      </vt:variant>
      <vt:variant>
        <vt:i4>7995406</vt:i4>
      </vt:variant>
      <vt:variant>
        <vt:i4>144</vt:i4>
      </vt:variant>
      <vt:variant>
        <vt:i4>0</vt:i4>
      </vt:variant>
      <vt:variant>
        <vt:i4>5</vt:i4>
      </vt:variant>
      <vt:variant>
        <vt:lpwstr/>
      </vt:variant>
      <vt:variant>
        <vt:lpwstr>Memoire_chap_V_3</vt:lpwstr>
      </vt:variant>
      <vt:variant>
        <vt:i4>8060942</vt:i4>
      </vt:variant>
      <vt:variant>
        <vt:i4>141</vt:i4>
      </vt:variant>
      <vt:variant>
        <vt:i4>0</vt:i4>
      </vt:variant>
      <vt:variant>
        <vt:i4>5</vt:i4>
      </vt:variant>
      <vt:variant>
        <vt:lpwstr/>
      </vt:variant>
      <vt:variant>
        <vt:lpwstr>Memoire_chap_V_2</vt:lpwstr>
      </vt:variant>
      <vt:variant>
        <vt:i4>7864334</vt:i4>
      </vt:variant>
      <vt:variant>
        <vt:i4>138</vt:i4>
      </vt:variant>
      <vt:variant>
        <vt:i4>0</vt:i4>
      </vt:variant>
      <vt:variant>
        <vt:i4>5</vt:i4>
      </vt:variant>
      <vt:variant>
        <vt:lpwstr/>
      </vt:variant>
      <vt:variant>
        <vt:lpwstr>Memoire_chap_V_1</vt:lpwstr>
      </vt:variant>
      <vt:variant>
        <vt:i4>4784209</vt:i4>
      </vt:variant>
      <vt:variant>
        <vt:i4>135</vt:i4>
      </vt:variant>
      <vt:variant>
        <vt:i4>0</vt:i4>
      </vt:variant>
      <vt:variant>
        <vt:i4>5</vt:i4>
      </vt:variant>
      <vt:variant>
        <vt:lpwstr/>
      </vt:variant>
      <vt:variant>
        <vt:lpwstr>Memoire_chap_V</vt:lpwstr>
      </vt:variant>
      <vt:variant>
        <vt:i4>589842</vt:i4>
      </vt:variant>
      <vt:variant>
        <vt:i4>132</vt:i4>
      </vt:variant>
      <vt:variant>
        <vt:i4>0</vt:i4>
      </vt:variant>
      <vt:variant>
        <vt:i4>5</vt:i4>
      </vt:variant>
      <vt:variant>
        <vt:lpwstr/>
      </vt:variant>
      <vt:variant>
        <vt:lpwstr>Memoire_chap_IV_5</vt:lpwstr>
      </vt:variant>
      <vt:variant>
        <vt:i4>589843</vt:i4>
      </vt:variant>
      <vt:variant>
        <vt:i4>129</vt:i4>
      </vt:variant>
      <vt:variant>
        <vt:i4>0</vt:i4>
      </vt:variant>
      <vt:variant>
        <vt:i4>5</vt:i4>
      </vt:variant>
      <vt:variant>
        <vt:lpwstr/>
      </vt:variant>
      <vt:variant>
        <vt:lpwstr>Memoire_chap_IV_4</vt:lpwstr>
      </vt:variant>
      <vt:variant>
        <vt:i4>589844</vt:i4>
      </vt:variant>
      <vt:variant>
        <vt:i4>126</vt:i4>
      </vt:variant>
      <vt:variant>
        <vt:i4>0</vt:i4>
      </vt:variant>
      <vt:variant>
        <vt:i4>5</vt:i4>
      </vt:variant>
      <vt:variant>
        <vt:lpwstr/>
      </vt:variant>
      <vt:variant>
        <vt:lpwstr>Memoire_chap_IV_3</vt:lpwstr>
      </vt:variant>
      <vt:variant>
        <vt:i4>589845</vt:i4>
      </vt:variant>
      <vt:variant>
        <vt:i4>123</vt:i4>
      </vt:variant>
      <vt:variant>
        <vt:i4>0</vt:i4>
      </vt:variant>
      <vt:variant>
        <vt:i4>5</vt:i4>
      </vt:variant>
      <vt:variant>
        <vt:lpwstr/>
      </vt:variant>
      <vt:variant>
        <vt:lpwstr>Memoire_chap_IV_2</vt:lpwstr>
      </vt:variant>
      <vt:variant>
        <vt:i4>589846</vt:i4>
      </vt:variant>
      <vt:variant>
        <vt:i4>120</vt:i4>
      </vt:variant>
      <vt:variant>
        <vt:i4>0</vt:i4>
      </vt:variant>
      <vt:variant>
        <vt:i4>5</vt:i4>
      </vt:variant>
      <vt:variant>
        <vt:lpwstr/>
      </vt:variant>
      <vt:variant>
        <vt:lpwstr>Memoire_chap_IV_1</vt:lpwstr>
      </vt:variant>
      <vt:variant>
        <vt:i4>5636135</vt:i4>
      </vt:variant>
      <vt:variant>
        <vt:i4>117</vt:i4>
      </vt:variant>
      <vt:variant>
        <vt:i4>0</vt:i4>
      </vt:variant>
      <vt:variant>
        <vt:i4>5</vt:i4>
      </vt:variant>
      <vt:variant>
        <vt:lpwstr/>
      </vt:variant>
      <vt:variant>
        <vt:lpwstr>Memoire_chap_IV</vt:lpwstr>
      </vt:variant>
      <vt:variant>
        <vt:i4>655463</vt:i4>
      </vt:variant>
      <vt:variant>
        <vt:i4>114</vt:i4>
      </vt:variant>
      <vt:variant>
        <vt:i4>0</vt:i4>
      </vt:variant>
      <vt:variant>
        <vt:i4>5</vt:i4>
      </vt:variant>
      <vt:variant>
        <vt:lpwstr/>
      </vt:variant>
      <vt:variant>
        <vt:lpwstr>Memoire_chap_III_5</vt:lpwstr>
      </vt:variant>
      <vt:variant>
        <vt:i4>720999</vt:i4>
      </vt:variant>
      <vt:variant>
        <vt:i4>111</vt:i4>
      </vt:variant>
      <vt:variant>
        <vt:i4>0</vt:i4>
      </vt:variant>
      <vt:variant>
        <vt:i4>5</vt:i4>
      </vt:variant>
      <vt:variant>
        <vt:lpwstr/>
      </vt:variant>
      <vt:variant>
        <vt:lpwstr>Memoire_chap_III_4</vt:lpwstr>
      </vt:variant>
      <vt:variant>
        <vt:i4>786535</vt:i4>
      </vt:variant>
      <vt:variant>
        <vt:i4>108</vt:i4>
      </vt:variant>
      <vt:variant>
        <vt:i4>0</vt:i4>
      </vt:variant>
      <vt:variant>
        <vt:i4>5</vt:i4>
      </vt:variant>
      <vt:variant>
        <vt:lpwstr/>
      </vt:variant>
      <vt:variant>
        <vt:lpwstr>Memoire_chap_III_3</vt:lpwstr>
      </vt:variant>
      <vt:variant>
        <vt:i4>852071</vt:i4>
      </vt:variant>
      <vt:variant>
        <vt:i4>105</vt:i4>
      </vt:variant>
      <vt:variant>
        <vt:i4>0</vt:i4>
      </vt:variant>
      <vt:variant>
        <vt:i4>5</vt:i4>
      </vt:variant>
      <vt:variant>
        <vt:lpwstr/>
      </vt:variant>
      <vt:variant>
        <vt:lpwstr>Memoire_chap_III_2</vt:lpwstr>
      </vt:variant>
      <vt:variant>
        <vt:i4>917607</vt:i4>
      </vt:variant>
      <vt:variant>
        <vt:i4>102</vt:i4>
      </vt:variant>
      <vt:variant>
        <vt:i4>0</vt:i4>
      </vt:variant>
      <vt:variant>
        <vt:i4>5</vt:i4>
      </vt:variant>
      <vt:variant>
        <vt:lpwstr/>
      </vt:variant>
      <vt:variant>
        <vt:lpwstr>Memoire_chap_III_1</vt:lpwstr>
      </vt:variant>
      <vt:variant>
        <vt:i4>4128824</vt:i4>
      </vt:variant>
      <vt:variant>
        <vt:i4>99</vt:i4>
      </vt:variant>
      <vt:variant>
        <vt:i4>0</vt:i4>
      </vt:variant>
      <vt:variant>
        <vt:i4>5</vt:i4>
      </vt:variant>
      <vt:variant>
        <vt:lpwstr/>
      </vt:variant>
      <vt:variant>
        <vt:lpwstr>Memoire_chap_III</vt:lpwstr>
      </vt:variant>
      <vt:variant>
        <vt:i4>589834</vt:i4>
      </vt:variant>
      <vt:variant>
        <vt:i4>96</vt:i4>
      </vt:variant>
      <vt:variant>
        <vt:i4>0</vt:i4>
      </vt:variant>
      <vt:variant>
        <vt:i4>5</vt:i4>
      </vt:variant>
      <vt:variant>
        <vt:lpwstr/>
      </vt:variant>
      <vt:variant>
        <vt:lpwstr>Memoire_chap_II_2</vt:lpwstr>
      </vt:variant>
      <vt:variant>
        <vt:i4>589833</vt:i4>
      </vt:variant>
      <vt:variant>
        <vt:i4>93</vt:i4>
      </vt:variant>
      <vt:variant>
        <vt:i4>0</vt:i4>
      </vt:variant>
      <vt:variant>
        <vt:i4>5</vt:i4>
      </vt:variant>
      <vt:variant>
        <vt:lpwstr/>
      </vt:variant>
      <vt:variant>
        <vt:lpwstr>Memoire_chap_II_1</vt:lpwstr>
      </vt:variant>
      <vt:variant>
        <vt:i4>5636152</vt:i4>
      </vt:variant>
      <vt:variant>
        <vt:i4>90</vt:i4>
      </vt:variant>
      <vt:variant>
        <vt:i4>0</vt:i4>
      </vt:variant>
      <vt:variant>
        <vt:i4>5</vt:i4>
      </vt:variant>
      <vt:variant>
        <vt:lpwstr/>
      </vt:variant>
      <vt:variant>
        <vt:lpwstr>Memoire_chap_II</vt:lpwstr>
      </vt:variant>
      <vt:variant>
        <vt:i4>6422542</vt:i4>
      </vt:variant>
      <vt:variant>
        <vt:i4>87</vt:i4>
      </vt:variant>
      <vt:variant>
        <vt:i4>0</vt:i4>
      </vt:variant>
      <vt:variant>
        <vt:i4>5</vt:i4>
      </vt:variant>
      <vt:variant>
        <vt:lpwstr/>
      </vt:variant>
      <vt:variant>
        <vt:lpwstr>Memoire_chap_I_4</vt:lpwstr>
      </vt:variant>
      <vt:variant>
        <vt:i4>6619150</vt:i4>
      </vt:variant>
      <vt:variant>
        <vt:i4>84</vt:i4>
      </vt:variant>
      <vt:variant>
        <vt:i4>0</vt:i4>
      </vt:variant>
      <vt:variant>
        <vt:i4>5</vt:i4>
      </vt:variant>
      <vt:variant>
        <vt:lpwstr/>
      </vt:variant>
      <vt:variant>
        <vt:lpwstr>Memoire_chap_I_3</vt:lpwstr>
      </vt:variant>
      <vt:variant>
        <vt:i4>6553614</vt:i4>
      </vt:variant>
      <vt:variant>
        <vt:i4>81</vt:i4>
      </vt:variant>
      <vt:variant>
        <vt:i4>0</vt:i4>
      </vt:variant>
      <vt:variant>
        <vt:i4>5</vt:i4>
      </vt:variant>
      <vt:variant>
        <vt:lpwstr/>
      </vt:variant>
      <vt:variant>
        <vt:lpwstr>Memoire_chap_I_2</vt:lpwstr>
      </vt:variant>
      <vt:variant>
        <vt:i4>6750222</vt:i4>
      </vt:variant>
      <vt:variant>
        <vt:i4>78</vt:i4>
      </vt:variant>
      <vt:variant>
        <vt:i4>0</vt:i4>
      </vt:variant>
      <vt:variant>
        <vt:i4>5</vt:i4>
      </vt:variant>
      <vt:variant>
        <vt:lpwstr/>
      </vt:variant>
      <vt:variant>
        <vt:lpwstr>Memoire_chap_I_1</vt:lpwstr>
      </vt:variant>
      <vt:variant>
        <vt:i4>5636177</vt:i4>
      </vt:variant>
      <vt:variant>
        <vt:i4>75</vt:i4>
      </vt:variant>
      <vt:variant>
        <vt:i4>0</vt:i4>
      </vt:variant>
      <vt:variant>
        <vt:i4>5</vt:i4>
      </vt:variant>
      <vt:variant>
        <vt:lpwstr/>
      </vt:variant>
      <vt:variant>
        <vt:lpwstr>Memoire_chap_I</vt:lpwstr>
      </vt:variant>
      <vt:variant>
        <vt:i4>3866750</vt:i4>
      </vt:variant>
      <vt:variant>
        <vt:i4>72</vt:i4>
      </vt:variant>
      <vt:variant>
        <vt:i4>0</vt:i4>
      </vt:variant>
      <vt:variant>
        <vt:i4>5</vt:i4>
      </vt:variant>
      <vt:variant>
        <vt:lpwstr/>
      </vt:variant>
      <vt:variant>
        <vt:lpwstr>Memoire_intro</vt:lpwstr>
      </vt:variant>
      <vt:variant>
        <vt:i4>3145848</vt:i4>
      </vt:variant>
      <vt:variant>
        <vt:i4>69</vt:i4>
      </vt:variant>
      <vt:variant>
        <vt:i4>0</vt:i4>
      </vt:variant>
      <vt:variant>
        <vt:i4>5</vt:i4>
      </vt:variant>
      <vt:variant>
        <vt:lpwstr/>
      </vt:variant>
      <vt:variant>
        <vt:lpwstr>Memoire_remerciements</vt:lpwstr>
      </vt:variant>
      <vt:variant>
        <vt:i4>3080319</vt:i4>
      </vt:variant>
      <vt:variant>
        <vt:i4>66</vt:i4>
      </vt:variant>
      <vt:variant>
        <vt:i4>0</vt:i4>
      </vt:variant>
      <vt:variant>
        <vt:i4>5</vt:i4>
      </vt:variant>
      <vt:variant>
        <vt:lpwstr/>
      </vt:variant>
      <vt:variant>
        <vt:lpwstr>Memoire_dedicaces</vt:lpwstr>
      </vt:variant>
      <vt:variant>
        <vt:i4>8257555</vt:i4>
      </vt:variant>
      <vt:variant>
        <vt:i4>63</vt:i4>
      </vt:variant>
      <vt:variant>
        <vt:i4>0</vt:i4>
      </vt:variant>
      <vt:variant>
        <vt:i4>5</vt:i4>
      </vt:variant>
      <vt:variant>
        <vt:lpwstr/>
      </vt:variant>
      <vt:variant>
        <vt:lpwstr>Memoire_table_illustrations</vt:lpwstr>
      </vt:variant>
      <vt:variant>
        <vt:i4>2359311</vt:i4>
      </vt:variant>
      <vt:variant>
        <vt:i4>60</vt:i4>
      </vt:variant>
      <vt:variant>
        <vt:i4>0</vt:i4>
      </vt:variant>
      <vt:variant>
        <vt:i4>5</vt:i4>
      </vt:variant>
      <vt:variant>
        <vt:lpwstr/>
      </vt:variant>
      <vt:variant>
        <vt:lpwstr>Memoire_abstract</vt:lpwstr>
      </vt:variant>
      <vt:variant>
        <vt:i4>5374048</vt:i4>
      </vt:variant>
      <vt:variant>
        <vt:i4>57</vt:i4>
      </vt:variant>
      <vt:variant>
        <vt:i4>0</vt:i4>
      </vt:variant>
      <vt:variant>
        <vt:i4>5</vt:i4>
      </vt:variant>
      <vt:variant>
        <vt:lpwstr/>
      </vt:variant>
      <vt:variant>
        <vt:lpwstr>Memoire_resume</vt:lpwstr>
      </vt:variant>
      <vt:variant>
        <vt:i4>6553625</vt:i4>
      </vt:variant>
      <vt:variant>
        <vt:i4>54</vt:i4>
      </vt:variant>
      <vt:variant>
        <vt:i4>0</vt:i4>
      </vt:variant>
      <vt:variant>
        <vt:i4>5</vt:i4>
      </vt:variant>
      <vt:variant>
        <vt:lpwstr/>
      </vt:variant>
      <vt:variant>
        <vt:lpwstr>tdm</vt:lpwstr>
      </vt:variant>
      <vt:variant>
        <vt:i4>6553625</vt:i4>
      </vt:variant>
      <vt:variant>
        <vt:i4>51</vt:i4>
      </vt:variant>
      <vt:variant>
        <vt:i4>0</vt:i4>
      </vt:variant>
      <vt:variant>
        <vt:i4>5</vt:i4>
      </vt:variant>
      <vt:variant>
        <vt:lpwstr/>
      </vt:variant>
      <vt:variant>
        <vt:lpwstr>tdm</vt:lpwstr>
      </vt:variant>
      <vt:variant>
        <vt:i4>4063266</vt:i4>
      </vt:variant>
      <vt:variant>
        <vt:i4>48</vt:i4>
      </vt:variant>
      <vt:variant>
        <vt:i4>0</vt:i4>
      </vt:variant>
      <vt:variant>
        <vt:i4>5</vt:i4>
      </vt:variant>
      <vt:variant>
        <vt:lpwstr>http://classiques.uqac.ca/</vt:lpwstr>
      </vt:variant>
      <vt:variant>
        <vt:lpwstr/>
      </vt:variant>
      <vt:variant>
        <vt:i4>7340046</vt:i4>
      </vt:variant>
      <vt:variant>
        <vt:i4>45</vt:i4>
      </vt:variant>
      <vt:variant>
        <vt:i4>0</vt:i4>
      </vt:variant>
      <vt:variant>
        <vt:i4>5</vt:i4>
      </vt:variant>
      <vt:variant>
        <vt:lpwstr>http://www.uqac.ca/</vt:lpwstr>
      </vt:variant>
      <vt:variant>
        <vt:lpwstr/>
      </vt:variant>
      <vt:variant>
        <vt:i4>6357029</vt:i4>
      </vt:variant>
      <vt:variant>
        <vt:i4>42</vt:i4>
      </vt:variant>
      <vt:variant>
        <vt:i4>0</vt:i4>
      </vt:variant>
      <vt:variant>
        <vt:i4>5</vt:i4>
      </vt:variant>
      <vt:variant>
        <vt:lpwstr>http://www.ueh.edu.ht/</vt:lpwstr>
      </vt:variant>
      <vt:variant>
        <vt:lpwstr/>
      </vt:variant>
      <vt:variant>
        <vt:i4>2949126</vt:i4>
      </vt:variant>
      <vt:variant>
        <vt:i4>39</vt:i4>
      </vt:variant>
      <vt:variant>
        <vt:i4>0</vt:i4>
      </vt:variant>
      <vt:variant>
        <vt:i4>5</vt:i4>
      </vt:variant>
      <vt:variant>
        <vt:lpwstr>http://scienceetbiencommun.org/</vt:lpwstr>
      </vt:variant>
      <vt:variant>
        <vt:lpwstr/>
      </vt:variant>
      <vt:variant>
        <vt:i4>4849698</vt:i4>
      </vt:variant>
      <vt:variant>
        <vt:i4>36</vt:i4>
      </vt:variant>
      <vt:variant>
        <vt:i4>0</vt:i4>
      </vt:variant>
      <vt:variant>
        <vt:i4>5</vt:i4>
      </vt:variant>
      <vt:variant>
        <vt:lpwstr>http://classiques.uqac.ca/contemporains/etudes_haitiennes/etudes_haitiennes_index.html</vt:lpwstr>
      </vt:variant>
      <vt:variant>
        <vt:lpwstr/>
      </vt:variant>
      <vt:variant>
        <vt:i4>8257562</vt:i4>
      </vt:variant>
      <vt:variant>
        <vt:i4>33</vt:i4>
      </vt:variant>
      <vt:variant>
        <vt:i4>0</vt:i4>
      </vt:variant>
      <vt:variant>
        <vt:i4>5</vt:i4>
      </vt:variant>
      <vt:variant>
        <vt:lpwstr>http://classiques.uqac.ca/contemporains/Dorce_ricarson/auteur_photo/dorce_ricarson_photo.html</vt:lpwstr>
      </vt:variant>
      <vt:variant>
        <vt:lpwstr/>
      </vt:variant>
      <vt:variant>
        <vt:i4>2949247</vt:i4>
      </vt:variant>
      <vt:variant>
        <vt:i4>30</vt:i4>
      </vt:variant>
      <vt:variant>
        <vt:i4>0</vt:i4>
      </vt:variant>
      <vt:variant>
        <vt:i4>5</vt:i4>
      </vt:variant>
      <vt:variant>
        <vt:lpwstr>mailto:andersonpierre59@gmail.com</vt:lpwstr>
      </vt:variant>
      <vt:variant>
        <vt:lpwstr/>
      </vt:variant>
      <vt:variant>
        <vt:i4>196700</vt:i4>
      </vt:variant>
      <vt:variant>
        <vt:i4>27</vt:i4>
      </vt:variant>
      <vt:variant>
        <vt:i4>0</vt:i4>
      </vt:variant>
      <vt:variant>
        <vt:i4>5</vt:i4>
      </vt:variant>
      <vt:variant>
        <vt:lpwstr>mailto:rencyinson@gmail.com</vt:lpwstr>
      </vt:variant>
      <vt:variant>
        <vt:lpwstr/>
      </vt:variant>
      <vt:variant>
        <vt:i4>7143431</vt:i4>
      </vt:variant>
      <vt:variant>
        <vt:i4>24</vt:i4>
      </vt:variant>
      <vt:variant>
        <vt:i4>0</vt:i4>
      </vt:variant>
      <vt:variant>
        <vt:i4>5</vt:i4>
      </vt:variant>
      <vt:variant>
        <vt:lpwstr>https://www.facebook.com/R%C3%A9seau-des-jeunes-b%C3%A9n%C3%A9voles-des-Classiques-de-sc-soc-en-Ha%C3%AFti-990201527728211/?fref=ts</vt:lpwstr>
      </vt:variant>
      <vt:variant>
        <vt:lpwstr/>
      </vt:variant>
      <vt:variant>
        <vt:i4>5308423</vt:i4>
      </vt:variant>
      <vt:variant>
        <vt:i4>21</vt:i4>
      </vt:variant>
      <vt:variant>
        <vt:i4>0</vt:i4>
      </vt:variant>
      <vt:variant>
        <vt:i4>5</vt:i4>
      </vt:variant>
      <vt:variant>
        <vt:lpwstr>mailto:Florence.Piron@com.ulaval.ca</vt:lpwstr>
      </vt:variant>
      <vt:variant>
        <vt:lpwstr/>
      </vt:variant>
      <vt:variant>
        <vt:i4>4063340</vt:i4>
      </vt:variant>
      <vt:variant>
        <vt:i4>18</vt:i4>
      </vt:variant>
      <vt:variant>
        <vt:i4>0</vt:i4>
      </vt:variant>
      <vt:variant>
        <vt:i4>5</vt:i4>
      </vt:variant>
      <vt:variant>
        <vt:lpwstr>mailto:dorce87@yahoo.fr</vt:lpwstr>
      </vt:variant>
      <vt:variant>
        <vt:lpwstr/>
      </vt:variant>
      <vt:variant>
        <vt:i4>85</vt:i4>
      </vt:variant>
      <vt:variant>
        <vt:i4>15</vt:i4>
      </vt:variant>
      <vt:variant>
        <vt:i4>0</vt:i4>
      </vt:variant>
      <vt:variant>
        <vt:i4>5</vt:i4>
      </vt:variant>
      <vt:variant>
        <vt:lpwstr>mailto:jeanronaldaugustin@gmail.com</vt:lpwstr>
      </vt:variant>
      <vt:variant>
        <vt:lpwstr/>
      </vt:variant>
      <vt:variant>
        <vt:i4>2097274</vt:i4>
      </vt:variant>
      <vt:variant>
        <vt:i4>12</vt:i4>
      </vt:variant>
      <vt:variant>
        <vt:i4>0</vt:i4>
      </vt:variant>
      <vt:variant>
        <vt:i4>5</vt:i4>
      </vt:variant>
      <vt:variant>
        <vt:lpwstr>http://jmt-sociologue.uqac.ca/</vt:lpwstr>
      </vt:variant>
      <vt:variant>
        <vt:lpwstr/>
      </vt:variant>
      <vt:variant>
        <vt:i4>4325400</vt:i4>
      </vt:variant>
      <vt:variant>
        <vt:i4>9</vt:i4>
      </vt:variant>
      <vt:variant>
        <vt:i4>0</vt:i4>
      </vt:variant>
      <vt:variant>
        <vt:i4>5</vt:i4>
      </vt:variant>
      <vt:variant>
        <vt:lpwstr>mailto:jean-marie_tremblay@uqac.ca</vt:lpwstr>
      </vt:variant>
      <vt:variant>
        <vt:lpwstr/>
      </vt:variant>
      <vt:variant>
        <vt:i4>5636164</vt:i4>
      </vt:variant>
      <vt:variant>
        <vt:i4>6</vt:i4>
      </vt:variant>
      <vt:variant>
        <vt:i4>0</vt:i4>
      </vt:variant>
      <vt:variant>
        <vt:i4>5</vt:i4>
      </vt:variant>
      <vt:variant>
        <vt:lpwstr>http://bibliotheque.uqac.ca/</vt:lpwstr>
      </vt:variant>
      <vt:variant>
        <vt:lpwstr/>
      </vt:variant>
      <vt:variant>
        <vt:i4>4063266</vt:i4>
      </vt:variant>
      <vt:variant>
        <vt:i4>3</vt:i4>
      </vt:variant>
      <vt:variant>
        <vt:i4>0</vt:i4>
      </vt:variant>
      <vt:variant>
        <vt:i4>5</vt:i4>
      </vt:variant>
      <vt:variant>
        <vt:lpwstr>http://classiques.uqac.ca/</vt:lpwstr>
      </vt:variant>
      <vt:variant>
        <vt:lpwstr/>
      </vt:variant>
      <vt:variant>
        <vt:i4>4063266</vt:i4>
      </vt:variant>
      <vt:variant>
        <vt:i4>0</vt:i4>
      </vt:variant>
      <vt:variant>
        <vt:i4>0</vt:i4>
      </vt:variant>
      <vt:variant>
        <vt:i4>5</vt:i4>
      </vt:variant>
      <vt:variant>
        <vt:lpwstr>http://classiques.uqac.ca/</vt:lpwstr>
      </vt:variant>
      <vt:variant>
        <vt:lpwstr/>
      </vt:variant>
      <vt:variant>
        <vt:i4>3473513</vt:i4>
      </vt:variant>
      <vt:variant>
        <vt:i4>513</vt:i4>
      </vt:variant>
      <vt:variant>
        <vt:i4>0</vt:i4>
      </vt:variant>
      <vt:variant>
        <vt:i4>5</vt:i4>
      </vt:variant>
      <vt:variant>
        <vt:lpwstr>Karl%20Marx,%20Capital</vt:lpwstr>
      </vt:variant>
      <vt:variant>
        <vt:lpwstr/>
      </vt:variant>
      <vt:variant>
        <vt:i4>8126510</vt:i4>
      </vt:variant>
      <vt:variant>
        <vt:i4>510</vt:i4>
      </vt:variant>
      <vt:variant>
        <vt:i4>0</vt:i4>
      </vt:variant>
      <vt:variant>
        <vt:i4>5</vt:i4>
      </vt:variant>
      <vt:variant>
        <vt:lpwstr>http://www.unesco.org/bpi/pdf/memobpi50_slavery_fr.pdf</vt:lpwstr>
      </vt:variant>
      <vt:variant>
        <vt:lpwstr/>
      </vt:variant>
      <vt:variant>
        <vt:i4>5111841</vt:i4>
      </vt:variant>
      <vt:variant>
        <vt:i4>507</vt:i4>
      </vt:variant>
      <vt:variant>
        <vt:i4>0</vt:i4>
      </vt:variant>
      <vt:variant>
        <vt:i4>5</vt:i4>
      </vt:variant>
      <vt:variant>
        <vt:lpwstr>http://www.canalplushaiti.net/haitifrancelyonel-trouillot-la-france-nous-a-fait-violence/</vt:lpwstr>
      </vt:variant>
      <vt:variant>
        <vt:lpwstr/>
      </vt:variant>
      <vt:variant>
        <vt:i4>4456548</vt:i4>
      </vt:variant>
      <vt:variant>
        <vt:i4>504</vt:i4>
      </vt:variant>
      <vt:variant>
        <vt:i4>0</vt:i4>
      </vt:variant>
      <vt:variant>
        <vt:i4>5</vt:i4>
      </vt:variant>
      <vt:variant>
        <vt:lpwstr>http://www.politique-actu.com/debat/haiti-regis-debray/55859/</vt:lpwstr>
      </vt:variant>
      <vt:variant>
        <vt:lpwstr/>
      </vt:variant>
      <vt:variant>
        <vt:i4>196622</vt:i4>
      </vt:variant>
      <vt:variant>
        <vt:i4>501</vt:i4>
      </vt:variant>
      <vt:variant>
        <vt:i4>0</vt:i4>
      </vt:variant>
      <vt:variant>
        <vt:i4>5</vt:i4>
      </vt:variant>
      <vt:variant>
        <vt:lpwstr>http://www.ladocumentationfrancaise.fr/var/storage/rapports-ublics/044000056.pdf</vt:lpwstr>
      </vt:variant>
      <vt:variant>
        <vt:lpwstr/>
      </vt:variant>
      <vt:variant>
        <vt:i4>1638426</vt:i4>
      </vt:variant>
      <vt:variant>
        <vt:i4>498</vt:i4>
      </vt:variant>
      <vt:variant>
        <vt:i4>0</vt:i4>
      </vt:variant>
      <vt:variant>
        <vt:i4>5</vt:i4>
      </vt:variant>
      <vt:variant>
        <vt:lpwstr>http://www.alterpresse.org/spip.php?article17216</vt:lpwstr>
      </vt:variant>
      <vt:variant>
        <vt:lpwstr>.VUuSQvlViko</vt:lpwstr>
      </vt:variant>
      <vt:variant>
        <vt:i4>458862</vt:i4>
      </vt:variant>
      <vt:variant>
        <vt:i4>495</vt:i4>
      </vt:variant>
      <vt:variant>
        <vt:i4>0</vt:i4>
      </vt:variant>
      <vt:variant>
        <vt:i4>5</vt:i4>
      </vt:variant>
      <vt:variant>
        <vt:lpwstr>http://lenouvelliste.com/lenouvelliste/article/140039/Pour-les-20-ans-de-La-Route-de-lesclave</vt:lpwstr>
      </vt:variant>
      <vt:variant>
        <vt:lpwstr/>
      </vt:variant>
      <vt:variant>
        <vt:i4>6357071</vt:i4>
      </vt:variant>
      <vt:variant>
        <vt:i4>492</vt:i4>
      </vt:variant>
      <vt:variant>
        <vt:i4>0</vt:i4>
      </vt:variant>
      <vt:variant>
        <vt:i4>5</vt:i4>
      </vt:variant>
      <vt:variant>
        <vt:lpwstr>http://www.auf.org/media/IMG2//pdf/programme-colloque-inter_-_Copie.pdf</vt:lpwstr>
      </vt:variant>
      <vt:variant>
        <vt:lpwstr/>
      </vt:variant>
      <vt:variant>
        <vt:i4>3801159</vt:i4>
      </vt:variant>
      <vt:variant>
        <vt:i4>489</vt:i4>
      </vt:variant>
      <vt:variant>
        <vt:i4>0</vt:i4>
      </vt:variant>
      <vt:variant>
        <vt:i4>5</vt:i4>
      </vt:variant>
      <vt:variant>
        <vt:lpwstr>http://www.un.org/french/WCAR/durban_fr.pdf septembre 2001</vt:lpwstr>
      </vt:variant>
      <vt:variant>
        <vt:lpwstr/>
      </vt:variant>
      <vt:variant>
        <vt:i4>3145813</vt:i4>
      </vt:variant>
      <vt:variant>
        <vt:i4>486</vt:i4>
      </vt:variant>
      <vt:variant>
        <vt:i4>0</vt:i4>
      </vt:variant>
      <vt:variant>
        <vt:i4>5</vt:i4>
      </vt:variant>
      <vt:variant>
        <vt:lpwstr>http://portail.unesco.org/culture/fr/ev.php-URL_ID=25659&amp;URL_DO=DO_TOPIC&amp;URL_SECTION=201.html</vt:lpwstr>
      </vt:variant>
      <vt:variant>
        <vt:lpwstr/>
      </vt:variant>
      <vt:variant>
        <vt:i4>1245187</vt:i4>
      </vt:variant>
      <vt:variant>
        <vt:i4>483</vt:i4>
      </vt:variant>
      <vt:variant>
        <vt:i4>0</vt:i4>
      </vt:variant>
      <vt:variant>
        <vt:i4>5</vt:i4>
      </vt:variant>
      <vt:variant>
        <vt:lpwstr>http://unesdoc.unesco.org/images/0022/002284/228475f.pdf</vt:lpwstr>
      </vt:variant>
      <vt:variant>
        <vt:lpwstr/>
      </vt:variant>
      <vt:variant>
        <vt:i4>3932207</vt:i4>
      </vt:variant>
      <vt:variant>
        <vt:i4>480</vt:i4>
      </vt:variant>
      <vt:variant>
        <vt:i4>0</vt:i4>
      </vt:variant>
      <vt:variant>
        <vt:i4>5</vt:i4>
      </vt:variant>
      <vt:variant>
        <vt:lpwstr>http://unesdoc.unesco.org/</vt:lpwstr>
      </vt:variant>
      <vt:variant>
        <vt:lpwstr/>
      </vt:variant>
      <vt:variant>
        <vt:i4>6029315</vt:i4>
      </vt:variant>
      <vt:variant>
        <vt:i4>477</vt:i4>
      </vt:variant>
      <vt:variant>
        <vt:i4>0</vt:i4>
      </vt:variant>
      <vt:variant>
        <vt:i4>5</vt:i4>
      </vt:variant>
      <vt:variant>
        <vt:lpwstr>http://www.unesco.org/csi/pub/papers/papf211.htm</vt:lpwstr>
      </vt:variant>
      <vt:variant>
        <vt:lpwstr/>
      </vt:variant>
      <vt:variant>
        <vt:i4>3276908</vt:i4>
      </vt:variant>
      <vt:variant>
        <vt:i4>474</vt:i4>
      </vt:variant>
      <vt:variant>
        <vt:i4>0</vt:i4>
      </vt:variant>
      <vt:variant>
        <vt:i4>5</vt:i4>
      </vt:variant>
      <vt:variant>
        <vt:lpwstr>http://www.unesco.org/csi/pub/papers/papf24.htm</vt:lpwstr>
      </vt:variant>
      <vt:variant>
        <vt:lpwstr>5</vt:lpwstr>
      </vt:variant>
      <vt:variant>
        <vt:i4>393229</vt:i4>
      </vt:variant>
      <vt:variant>
        <vt:i4>471</vt:i4>
      </vt:variant>
      <vt:variant>
        <vt:i4>0</vt:i4>
      </vt:variant>
      <vt:variant>
        <vt:i4>5</vt:i4>
      </vt:variant>
      <vt:variant>
        <vt:lpwstr>http://www.un.org/esa/agenda21/natlinfo/countr/haiti/eco.htm</vt:lpwstr>
      </vt:variant>
      <vt:variant>
        <vt:lpwstr/>
      </vt:variant>
      <vt:variant>
        <vt:i4>3276908</vt:i4>
      </vt:variant>
      <vt:variant>
        <vt:i4>468</vt:i4>
      </vt:variant>
      <vt:variant>
        <vt:i4>0</vt:i4>
      </vt:variant>
      <vt:variant>
        <vt:i4>5</vt:i4>
      </vt:variant>
      <vt:variant>
        <vt:lpwstr>http://www.unesco.org/csi/pub/papers/papf24.htm</vt:lpwstr>
      </vt:variant>
      <vt:variant>
        <vt:lpwstr>5</vt:lpwstr>
      </vt:variant>
      <vt:variant>
        <vt:i4>8257610</vt:i4>
      </vt:variant>
      <vt:variant>
        <vt:i4>465</vt:i4>
      </vt:variant>
      <vt:variant>
        <vt:i4>0</vt:i4>
      </vt:variant>
      <vt:variant>
        <vt:i4>5</vt:i4>
      </vt:variant>
      <vt:variant>
        <vt:lpwstr>http://etudescaribeennes.revues.org/390</vt:lpwstr>
      </vt:variant>
      <vt:variant>
        <vt:lpwstr/>
      </vt:variant>
      <vt:variant>
        <vt:i4>5832767</vt:i4>
      </vt:variant>
      <vt:variant>
        <vt:i4>462</vt:i4>
      </vt:variant>
      <vt:variant>
        <vt:i4>0</vt:i4>
      </vt:variant>
      <vt:variant>
        <vt:i4>5</vt:i4>
      </vt:variant>
      <vt:variant>
        <vt:lpwstr>http://id.erudit.org/iderudit/18498ac</vt:lpwstr>
      </vt:variant>
      <vt:variant>
        <vt:lpwstr/>
      </vt:variant>
      <vt:variant>
        <vt:i4>5505127</vt:i4>
      </vt:variant>
      <vt:variant>
        <vt:i4>459</vt:i4>
      </vt:variant>
      <vt:variant>
        <vt:i4>0</vt:i4>
      </vt:variant>
      <vt:variant>
        <vt:i4>5</vt:i4>
      </vt:variant>
      <vt:variant>
        <vt:lpwstr>http://dx.doi.org/doi:10.1522/cla.pij.pen</vt:lpwstr>
      </vt:variant>
      <vt:variant>
        <vt:lpwstr/>
      </vt:variant>
      <vt:variant>
        <vt:i4>786524</vt:i4>
      </vt:variant>
      <vt:variant>
        <vt:i4>456</vt:i4>
      </vt:variant>
      <vt:variant>
        <vt:i4>0</vt:i4>
      </vt:variant>
      <vt:variant>
        <vt:i4>5</vt:i4>
      </vt:variant>
      <vt:variant>
        <vt:lpwstr>https://archive.org/stream/lacrisehaitienne00mani/lacrisehaitienne00mani_djvu.txt</vt:lpwstr>
      </vt:variant>
      <vt:variant>
        <vt:lpwstr/>
      </vt:variant>
      <vt:variant>
        <vt:i4>7471202</vt:i4>
      </vt:variant>
      <vt:variant>
        <vt:i4>453</vt:i4>
      </vt:variant>
      <vt:variant>
        <vt:i4>0</vt:i4>
      </vt:variant>
      <vt:variant>
        <vt:i4>5</vt:i4>
      </vt:variant>
      <vt:variant>
        <vt:lpwstr>https://archive.org/details/lacrisehaitienne00mani</vt:lpwstr>
      </vt:variant>
      <vt:variant>
        <vt:lpwstr/>
      </vt:variant>
      <vt:variant>
        <vt:i4>1245242</vt:i4>
      </vt:variant>
      <vt:variant>
        <vt:i4>450</vt:i4>
      </vt:variant>
      <vt:variant>
        <vt:i4>0</vt:i4>
      </vt:variant>
      <vt:variant>
        <vt:i4>5</vt:i4>
      </vt:variant>
      <vt:variant>
        <vt:lpwstr>http://osp.revues.org/752</vt:lpwstr>
      </vt:variant>
      <vt:variant>
        <vt:lpwstr/>
      </vt:variant>
      <vt:variant>
        <vt:i4>983155</vt:i4>
      </vt:variant>
      <vt:variant>
        <vt:i4>447</vt:i4>
      </vt:variant>
      <vt:variant>
        <vt:i4>0</vt:i4>
      </vt:variant>
      <vt:variant>
        <vt:i4>5</vt:i4>
      </vt:variant>
      <vt:variant>
        <vt:lpwstr>http://www.oas.org/juridico/PDFs/XXI_hti.doc</vt:lpwstr>
      </vt:variant>
      <vt:variant>
        <vt:lpwstr/>
      </vt:variant>
      <vt:variant>
        <vt:i4>1114183</vt:i4>
      </vt:variant>
      <vt:variant>
        <vt:i4>444</vt:i4>
      </vt:variant>
      <vt:variant>
        <vt:i4>0</vt:i4>
      </vt:variant>
      <vt:variant>
        <vt:i4>5</vt:i4>
      </vt:variant>
      <vt:variant>
        <vt:lpwstr>https://www.youtube.com/watch?v=fqdhtoi_ZgM</vt:lpwstr>
      </vt:variant>
      <vt:variant>
        <vt:lpwstr/>
      </vt:variant>
      <vt:variant>
        <vt:i4>6946839</vt:i4>
      </vt:variant>
      <vt:variant>
        <vt:i4>441</vt:i4>
      </vt:variant>
      <vt:variant>
        <vt:i4>0</vt:i4>
      </vt:variant>
      <vt:variant>
        <vt:i4>5</vt:i4>
      </vt:variant>
      <vt:variant>
        <vt:lpwstr>https://www.youtube.com/watch?v=b7tOpUJA-YY</vt:lpwstr>
      </vt:variant>
      <vt:variant>
        <vt:lpwstr/>
      </vt:variant>
      <vt:variant>
        <vt:i4>6291568</vt:i4>
      </vt:variant>
      <vt:variant>
        <vt:i4>438</vt:i4>
      </vt:variant>
      <vt:variant>
        <vt:i4>0</vt:i4>
      </vt:variant>
      <vt:variant>
        <vt:i4>5</vt:i4>
      </vt:variant>
      <vt:variant>
        <vt:lpwstr>https://www.google.ca/url?sa=t&amp;rct=j&amp;q=&amp;esrc=s&amp;source=web&amp;cd=1&amp;cad=rja&amp;uact=8&amp;ved=0ahUKEwjPjbDP5LLRAhXo54MKHR2RCxYQtwIIHjAA&amp;url=https%3A%2F%2Fwww.youtube.com%2Fwatch%3Fv%3Db7tOpUJA-YY&amp;usg=AFQjCNHMZlgUVlqMyXYYVEK3r0F4FMa3qw&amp;sig2=sISW7UoJ8jCJQaz7QIIu5w</vt:lpwstr>
      </vt:variant>
      <vt:variant>
        <vt:lpwstr/>
      </vt:variant>
      <vt:variant>
        <vt:i4>3801131</vt:i4>
      </vt:variant>
      <vt:variant>
        <vt:i4>435</vt:i4>
      </vt:variant>
      <vt:variant>
        <vt:i4>0</vt:i4>
      </vt:variant>
      <vt:variant>
        <vt:i4>5</vt:i4>
      </vt:variant>
      <vt:variant>
        <vt:lpwstr>http://shakespeare.revues.org/1919</vt:lpwstr>
      </vt:variant>
      <vt:variant>
        <vt:lpwstr/>
      </vt:variant>
      <vt:variant>
        <vt:i4>3473517</vt:i4>
      </vt:variant>
      <vt:variant>
        <vt:i4>432</vt:i4>
      </vt:variant>
      <vt:variant>
        <vt:i4>0</vt:i4>
      </vt:variant>
      <vt:variant>
        <vt:i4>5</vt:i4>
      </vt:variant>
      <vt:variant>
        <vt:lpwstr>http://lenouvelliste.com/lenouvelliste/article/125887/La-diaspora-haitienne-commemore-les-210-ans-de-lindependance-dHaiti.html</vt:lpwstr>
      </vt:variant>
      <vt:variant>
        <vt:lpwstr/>
      </vt:variant>
      <vt:variant>
        <vt:i4>8257610</vt:i4>
      </vt:variant>
      <vt:variant>
        <vt:i4>429</vt:i4>
      </vt:variant>
      <vt:variant>
        <vt:i4>0</vt:i4>
      </vt:variant>
      <vt:variant>
        <vt:i4>5</vt:i4>
      </vt:variant>
      <vt:variant>
        <vt:lpwstr>http://etudescaribeennes.revues.org/390</vt:lpwstr>
      </vt:variant>
      <vt:variant>
        <vt:lpwstr/>
      </vt:variant>
      <vt:variant>
        <vt:i4>2228288</vt:i4>
      </vt:variant>
      <vt:variant>
        <vt:i4>426</vt:i4>
      </vt:variant>
      <vt:variant>
        <vt:i4>0</vt:i4>
      </vt:variant>
      <vt:variant>
        <vt:i4>5</vt:i4>
      </vt:variant>
      <vt:variant>
        <vt:lpwstr>http://www.alterpresse.org/spip.php?article664</vt:lpwstr>
      </vt:variant>
      <vt:variant>
        <vt:lpwstr>.VR6tv_nF-8A</vt:lpwstr>
      </vt:variant>
      <vt:variant>
        <vt:i4>5767194</vt:i4>
      </vt:variant>
      <vt:variant>
        <vt:i4>423</vt:i4>
      </vt:variant>
      <vt:variant>
        <vt:i4>0</vt:i4>
      </vt:variant>
      <vt:variant>
        <vt:i4>5</vt:i4>
      </vt:variant>
      <vt:variant>
        <vt:lpwstr>http://www.ipimh.ulaval.ca/fiche-bois-caiman-30.html</vt:lpwstr>
      </vt:variant>
      <vt:variant>
        <vt:lpwstr/>
      </vt:variant>
      <vt:variant>
        <vt:i4>7143526</vt:i4>
      </vt:variant>
      <vt:variant>
        <vt:i4>420</vt:i4>
      </vt:variant>
      <vt:variant>
        <vt:i4>0</vt:i4>
      </vt:variant>
      <vt:variant>
        <vt:i4>5</vt:i4>
      </vt:variant>
      <vt:variant>
        <vt:lpwstr>http://dx.doi.org/doi:10.1522/cla.ham.mem1</vt:lpwstr>
      </vt:variant>
      <vt:variant>
        <vt:lpwstr/>
      </vt:variant>
      <vt:variant>
        <vt:i4>8257610</vt:i4>
      </vt:variant>
      <vt:variant>
        <vt:i4>417</vt:i4>
      </vt:variant>
      <vt:variant>
        <vt:i4>0</vt:i4>
      </vt:variant>
      <vt:variant>
        <vt:i4>5</vt:i4>
      </vt:variant>
      <vt:variant>
        <vt:lpwstr>http://etudescaribeennes.revues.org/390</vt:lpwstr>
      </vt:variant>
      <vt:variant>
        <vt:lpwstr/>
      </vt:variant>
      <vt:variant>
        <vt:i4>7209074</vt:i4>
      </vt:variant>
      <vt:variant>
        <vt:i4>414</vt:i4>
      </vt:variant>
      <vt:variant>
        <vt:i4>0</vt:i4>
      </vt:variant>
      <vt:variant>
        <vt:i4>5</vt:i4>
      </vt:variant>
      <vt:variant>
        <vt:lpwstr>http://dx.doi.org/10.3406/rfsp.2002.403712</vt:lpwstr>
      </vt:variant>
      <vt:variant>
        <vt:lpwstr/>
      </vt:variant>
      <vt:variant>
        <vt:i4>5242885</vt:i4>
      </vt:variant>
      <vt:variant>
        <vt:i4>411</vt:i4>
      </vt:variant>
      <vt:variant>
        <vt:i4>0</vt:i4>
      </vt:variant>
      <vt:variant>
        <vt:i4>5</vt:i4>
      </vt:variant>
      <vt:variant>
        <vt:lpwstr>http://www.medecinsdumonde.org/Nos-Combats/Priorites-d-action/Crises-et-conflits</vt:lpwstr>
      </vt:variant>
      <vt:variant>
        <vt:lpwstr/>
      </vt:variant>
      <vt:variant>
        <vt:i4>1376358</vt:i4>
      </vt:variant>
      <vt:variant>
        <vt:i4>408</vt:i4>
      </vt:variant>
      <vt:variant>
        <vt:i4>0</vt:i4>
      </vt:variant>
      <vt:variant>
        <vt:i4>5</vt:i4>
      </vt:variant>
      <vt:variant>
        <vt:lpwstr>http://www.ghcaraibe.org/debien/NHC210bis-htm.htm</vt:lpwstr>
      </vt:variant>
      <vt:variant>
        <vt:lpwstr/>
      </vt:variant>
      <vt:variant>
        <vt:i4>1310773</vt:i4>
      </vt:variant>
      <vt:variant>
        <vt:i4>405</vt:i4>
      </vt:variant>
      <vt:variant>
        <vt:i4>0</vt:i4>
      </vt:variant>
      <vt:variant>
        <vt:i4>5</vt:i4>
      </vt:variant>
      <vt:variant>
        <vt:lpwstr>http://www.ipimh.ulaval.ca/fiche-soupe-joumou-36.html</vt:lpwstr>
      </vt:variant>
      <vt:variant>
        <vt:lpwstr/>
      </vt:variant>
      <vt:variant>
        <vt:i4>1310773</vt:i4>
      </vt:variant>
      <vt:variant>
        <vt:i4>402</vt:i4>
      </vt:variant>
      <vt:variant>
        <vt:i4>0</vt:i4>
      </vt:variant>
      <vt:variant>
        <vt:i4>5</vt:i4>
      </vt:variant>
      <vt:variant>
        <vt:lpwstr>http://www.ipimh.ulaval.ca/fiche-soupe-joumou-36.html</vt:lpwstr>
      </vt:variant>
      <vt:variant>
        <vt:lpwstr/>
      </vt:variant>
      <vt:variant>
        <vt:i4>1310773</vt:i4>
      </vt:variant>
      <vt:variant>
        <vt:i4>399</vt:i4>
      </vt:variant>
      <vt:variant>
        <vt:i4>0</vt:i4>
      </vt:variant>
      <vt:variant>
        <vt:i4>5</vt:i4>
      </vt:variant>
      <vt:variant>
        <vt:lpwstr>http://www.ipimh.ulaval.ca/fiche-soupe-joumou-36.html</vt:lpwstr>
      </vt:variant>
      <vt:variant>
        <vt:lpwstr/>
      </vt:variant>
      <vt:variant>
        <vt:i4>2490485</vt:i4>
      </vt:variant>
      <vt:variant>
        <vt:i4>396</vt:i4>
      </vt:variant>
      <vt:variant>
        <vt:i4>0</vt:i4>
      </vt:variant>
      <vt:variant>
        <vt:i4>5</vt:i4>
      </vt:variant>
      <vt:variant>
        <vt:lpwstr>http://radiokiskeya.com/spip.php?breve1605</vt:lpwstr>
      </vt:variant>
      <vt:variant>
        <vt:lpwstr/>
      </vt:variant>
      <vt:variant>
        <vt:i4>720973</vt:i4>
      </vt:variant>
      <vt:variant>
        <vt:i4>393</vt:i4>
      </vt:variant>
      <vt:variant>
        <vt:i4>0</vt:i4>
      </vt:variant>
      <vt:variant>
        <vt:i4>5</vt:i4>
      </vt:variant>
      <vt:variant>
        <vt:lpwstr>http://lenouvelliste.com/lenouvelliste/article/127340/Le-patrimoine-gastronomique-haitien-un-marqueur-identitaire-et-un-atout-pour-le-developpement-touristique-durable.html</vt:lpwstr>
      </vt:variant>
      <vt:variant>
        <vt:lpwstr/>
      </vt:variant>
      <vt:variant>
        <vt:i4>6553640</vt:i4>
      </vt:variant>
      <vt:variant>
        <vt:i4>390</vt:i4>
      </vt:variant>
      <vt:variant>
        <vt:i4>0</vt:i4>
      </vt:variant>
      <vt:variant>
        <vt:i4>5</vt:i4>
      </vt:variant>
      <vt:variant>
        <vt:lpwstr>http://mangerensemble.mcq.org/node/479-fra</vt:lpwstr>
      </vt:variant>
      <vt:variant>
        <vt:lpwstr/>
      </vt:variant>
      <vt:variant>
        <vt:i4>8061010</vt:i4>
      </vt:variant>
      <vt:variant>
        <vt:i4>387</vt:i4>
      </vt:variant>
      <vt:variant>
        <vt:i4>0</vt:i4>
      </vt:variant>
      <vt:variant>
        <vt:i4>5</vt:i4>
      </vt:variant>
      <vt:variant>
        <vt:lpwstr>https://hal.archives-ouvertes.fr/halshs.../document</vt:lpwstr>
      </vt:variant>
      <vt:variant>
        <vt:lpwstr/>
      </vt:variant>
      <vt:variant>
        <vt:i4>3342425</vt:i4>
      </vt:variant>
      <vt:variant>
        <vt:i4>384</vt:i4>
      </vt:variant>
      <vt:variant>
        <vt:i4>0</vt:i4>
      </vt:variant>
      <vt:variant>
        <vt:i4>5</vt:i4>
      </vt:variant>
      <vt:variant>
        <vt:lpwstr>http://dx.doi.org/doi:10.1522/030294726</vt:lpwstr>
      </vt:variant>
      <vt:variant>
        <vt:lpwstr/>
      </vt:variant>
      <vt:variant>
        <vt:i4>5701673</vt:i4>
      </vt:variant>
      <vt:variant>
        <vt:i4>381</vt:i4>
      </vt:variant>
      <vt:variant>
        <vt:i4>0</vt:i4>
      </vt:variant>
      <vt:variant>
        <vt:i4>5</vt:i4>
      </vt:variant>
      <vt:variant>
        <vt:lpwstr>http://www.lefigaro.fr/international/2010/02/04/01003-20100204ARTFIG00002-en-haiti-le-vaudou-est-toujours-debout-.php</vt:lpwstr>
      </vt:variant>
      <vt:variant>
        <vt:lpwstr/>
      </vt:variant>
      <vt:variant>
        <vt:i4>7536694</vt:i4>
      </vt:variant>
      <vt:variant>
        <vt:i4>378</vt:i4>
      </vt:variant>
      <vt:variant>
        <vt:i4>0</vt:i4>
      </vt:variant>
      <vt:variant>
        <vt:i4>5</vt:i4>
      </vt:variant>
      <vt:variant>
        <vt:lpwstr>http://gradhiva.revues.org/336</vt:lpwstr>
      </vt:variant>
      <vt:variant>
        <vt:lpwstr/>
      </vt:variant>
      <vt:variant>
        <vt:i4>4063317</vt:i4>
      </vt:variant>
      <vt:variant>
        <vt:i4>375</vt:i4>
      </vt:variant>
      <vt:variant>
        <vt:i4>0</vt:i4>
      </vt:variant>
      <vt:variant>
        <vt:i4>5</vt:i4>
      </vt:variant>
      <vt:variant>
        <vt:lpwstr>http://dx.doi.org/doi:10.1522/030151495</vt:lpwstr>
      </vt:variant>
      <vt:variant>
        <vt:lpwstr/>
      </vt:variant>
      <vt:variant>
        <vt:i4>3866645</vt:i4>
      </vt:variant>
      <vt:variant>
        <vt:i4>372</vt:i4>
      </vt:variant>
      <vt:variant>
        <vt:i4>0</vt:i4>
      </vt:variant>
      <vt:variant>
        <vt:i4>5</vt:i4>
      </vt:variant>
      <vt:variant>
        <vt:lpwstr>http://www.academia.edu/306197/image_des_populations_dites_minoritaires_noirs_am%C3%A9rindiens_m%C3%A9tis_femmes_v%C3%A9hicul%C3%A9e_par_les_manuels_scolaires_destin%C3%A9s_aux_</vt:lpwstr>
      </vt:variant>
      <vt:variant>
        <vt:lpwstr/>
      </vt:variant>
      <vt:variant>
        <vt:i4>655394</vt:i4>
      </vt:variant>
      <vt:variant>
        <vt:i4>369</vt:i4>
      </vt:variant>
      <vt:variant>
        <vt:i4>0</vt:i4>
      </vt:variant>
      <vt:variant>
        <vt:i4>5</vt:i4>
      </vt:variant>
      <vt:variant>
        <vt:lpwstr>http://classiques.uqac.ca/classiques/price_hannibal/rehabilitation_race_noire_haiti/rehabilitation_race_noire_haiti.html</vt:lpwstr>
      </vt:variant>
      <vt:variant>
        <vt:lpwstr/>
      </vt:variant>
      <vt:variant>
        <vt:i4>3407882</vt:i4>
      </vt:variant>
      <vt:variant>
        <vt:i4>366</vt:i4>
      </vt:variant>
      <vt:variant>
        <vt:i4>0</vt:i4>
      </vt:variant>
      <vt:variant>
        <vt:i4>5</vt:i4>
      </vt:variant>
      <vt:variant>
        <vt:lpwstr>http://www.premiere.fr/TV/News-Tele/EXCLU-Toussaint-Louverture-Il-faut-regarder-ce-film-mais-savoir-que-tout-nest-pas-exact</vt:lpwstr>
      </vt:variant>
      <vt:variant>
        <vt:lpwstr/>
      </vt:variant>
      <vt:variant>
        <vt:i4>4784245</vt:i4>
      </vt:variant>
      <vt:variant>
        <vt:i4>363</vt:i4>
      </vt:variant>
      <vt:variant>
        <vt:i4>0</vt:i4>
      </vt:variant>
      <vt:variant>
        <vt:i4>5</vt:i4>
      </vt:variant>
      <vt:variant>
        <vt:lpwstr>http://www.ipimh.ulaval.ca/fiche-rara-leogane-19.html</vt:lpwstr>
      </vt:variant>
      <vt:variant>
        <vt:lpwstr/>
      </vt:variant>
      <vt:variant>
        <vt:i4>3538991</vt:i4>
      </vt:variant>
      <vt:variant>
        <vt:i4>360</vt:i4>
      </vt:variant>
      <vt:variant>
        <vt:i4>0</vt:i4>
      </vt:variant>
      <vt:variant>
        <vt:i4>5</vt:i4>
      </vt:variant>
      <vt:variant>
        <vt:lpwstr>http://www.minustah.org/le-rara-rythme-vaudou/</vt:lpwstr>
      </vt:variant>
      <vt:variant>
        <vt:lpwstr/>
      </vt:variant>
      <vt:variant>
        <vt:i4>262232</vt:i4>
      </vt:variant>
      <vt:variant>
        <vt:i4>357</vt:i4>
      </vt:variant>
      <vt:variant>
        <vt:i4>0</vt:i4>
      </vt:variant>
      <vt:variant>
        <vt:i4>5</vt:i4>
      </vt:variant>
      <vt:variant>
        <vt:lpwstr>http://www.alterpresse.org/spip.php?article12657</vt:lpwstr>
      </vt:variant>
      <vt:variant>
        <vt:lpwstr/>
      </vt:variant>
      <vt:variant>
        <vt:i4>589929</vt:i4>
      </vt:variant>
      <vt:variant>
        <vt:i4>354</vt:i4>
      </vt:variant>
      <vt:variant>
        <vt:i4>0</vt:i4>
      </vt:variant>
      <vt:variant>
        <vt:i4>5</vt:i4>
      </vt:variant>
      <vt:variant>
        <vt:lpwstr>http://www.tanbou.com/2008/TrajectoireFrancaisCreoleHaiti.htm</vt:lpwstr>
      </vt:variant>
      <vt:variant>
        <vt:lpwstr/>
      </vt:variant>
      <vt:variant>
        <vt:i4>4522065</vt:i4>
      </vt:variant>
      <vt:variant>
        <vt:i4>351</vt:i4>
      </vt:variant>
      <vt:variant>
        <vt:i4>0</vt:i4>
      </vt:variant>
      <vt:variant>
        <vt:i4>5</vt:i4>
      </vt:variant>
      <vt:variant>
        <vt:lpwstr>http://www.philippe-berthelot-conteur.com/le-conte-traditionnel-d%C3%A9finition/</vt:lpwstr>
      </vt:variant>
      <vt:variant>
        <vt:lpwstr/>
      </vt:variant>
      <vt:variant>
        <vt:i4>8323108</vt:i4>
      </vt:variant>
      <vt:variant>
        <vt:i4>348</vt:i4>
      </vt:variant>
      <vt:variant>
        <vt:i4>0</vt:i4>
      </vt:variant>
      <vt:variant>
        <vt:i4>5</vt:i4>
      </vt:variant>
      <vt:variant>
        <vt:lpwstr>http://classiques.uqac.ca/contemporains/hurbon_laennec/culture_et_dictature_en_Haiti/culture_et_dictature_en_Haiti.html</vt:lpwstr>
      </vt:variant>
      <vt:variant>
        <vt:lpwstr/>
      </vt:variant>
      <vt:variant>
        <vt:i4>5308521</vt:i4>
      </vt:variant>
      <vt:variant>
        <vt:i4>345</vt:i4>
      </vt:variant>
      <vt:variant>
        <vt:i4>0</vt:i4>
      </vt:variant>
      <vt:variant>
        <vt:i4>5</vt:i4>
      </vt:variant>
      <vt:variant>
        <vt:lpwstr>http://www.radiokiskeya.com/spip.php?article10254</vt:lpwstr>
      </vt:variant>
      <vt:variant>
        <vt:lpwstr/>
      </vt:variant>
      <vt:variant>
        <vt:i4>3539034</vt:i4>
      </vt:variant>
      <vt:variant>
        <vt:i4>342</vt:i4>
      </vt:variant>
      <vt:variant>
        <vt:i4>0</vt:i4>
      </vt:variant>
      <vt:variant>
        <vt:i4>5</vt:i4>
      </vt:variant>
      <vt:variant>
        <vt:lpwstr>http://dx.doi.org/doi:10.1522/030174844</vt:lpwstr>
      </vt:variant>
      <vt:variant>
        <vt:lpwstr/>
      </vt:variant>
      <vt:variant>
        <vt:i4>4915298</vt:i4>
      </vt:variant>
      <vt:variant>
        <vt:i4>339</vt:i4>
      </vt:variant>
      <vt:variant>
        <vt:i4>0</vt:i4>
      </vt:variant>
      <vt:variant>
        <vt:i4>5</vt:i4>
      </vt:variant>
      <vt:variant>
        <vt:lpwstr>http://www.alterpresse.org/spip.php?article14015</vt:lpwstr>
      </vt:variant>
      <vt:variant>
        <vt:lpwstr>.VOjXu_nF-8A</vt:lpwstr>
      </vt:variant>
      <vt:variant>
        <vt:i4>6619172</vt:i4>
      </vt:variant>
      <vt:variant>
        <vt:i4>336</vt:i4>
      </vt:variant>
      <vt:variant>
        <vt:i4>0</vt:i4>
      </vt:variant>
      <vt:variant>
        <vt:i4>5</vt:i4>
      </vt:variant>
      <vt:variant>
        <vt:lpwstr>http://www.bf.refer.org/sissao/html/p2chap15_4.html</vt:lpwstr>
      </vt:variant>
      <vt:variant>
        <vt:lpwstr/>
      </vt:variant>
      <vt:variant>
        <vt:i4>1966187</vt:i4>
      </vt:variant>
      <vt:variant>
        <vt:i4>333</vt:i4>
      </vt:variant>
      <vt:variant>
        <vt:i4>0</vt:i4>
      </vt:variant>
      <vt:variant>
        <vt:i4>5</vt:i4>
      </vt:variant>
      <vt:variant>
        <vt:lpwstr>https://books.google.ca/books</vt:lpwstr>
      </vt:variant>
      <vt:variant>
        <vt:lpwstr/>
      </vt:variant>
      <vt:variant>
        <vt:i4>3407957</vt:i4>
      </vt:variant>
      <vt:variant>
        <vt:i4>330</vt:i4>
      </vt:variant>
      <vt:variant>
        <vt:i4>0</vt:i4>
      </vt:variant>
      <vt:variant>
        <vt:i4>5</vt:i4>
      </vt:variant>
      <vt:variant>
        <vt:lpwstr>http://dx.doi.org/doi:10.1522/030174467</vt:lpwstr>
      </vt:variant>
      <vt:variant>
        <vt:lpwstr/>
      </vt:variant>
      <vt:variant>
        <vt:i4>7929949</vt:i4>
      </vt:variant>
      <vt:variant>
        <vt:i4>327</vt:i4>
      </vt:variant>
      <vt:variant>
        <vt:i4>0</vt:i4>
      </vt:variant>
      <vt:variant>
        <vt:i4>5</vt:i4>
      </vt:variant>
      <vt:variant>
        <vt:lpwstr>http://open.salon.com/blog/timotuck/2014/11/06/big_lies_about_little_people</vt:lpwstr>
      </vt:variant>
      <vt:variant>
        <vt:lpwstr/>
      </vt:variant>
      <vt:variant>
        <vt:i4>7864443</vt:i4>
      </vt:variant>
      <vt:variant>
        <vt:i4>324</vt:i4>
      </vt:variant>
      <vt:variant>
        <vt:i4>0</vt:i4>
      </vt:variant>
      <vt:variant>
        <vt:i4>5</vt:i4>
      </vt:variant>
      <vt:variant>
        <vt:lpwstr>http://histoireengagee.ca/reconstruction-d%E2%80%99haiti-re-construire-l%E2%80%99etat/</vt:lpwstr>
      </vt:variant>
      <vt:variant>
        <vt:lpwstr/>
      </vt:variant>
      <vt:variant>
        <vt:i4>2162691</vt:i4>
      </vt:variant>
      <vt:variant>
        <vt:i4>321</vt:i4>
      </vt:variant>
      <vt:variant>
        <vt:i4>0</vt:i4>
      </vt:variant>
      <vt:variant>
        <vt:i4>5</vt:i4>
      </vt:variant>
      <vt:variant>
        <vt:lpwstr>http://www4.culture.fr/patrimoines/patrimoine_monumental_et_archeologique/insitu/image.xsp?numero=3&amp;id_article=v8-64&amp;no_image=10</vt:lpwstr>
      </vt:variant>
      <vt:variant>
        <vt:lpwstr/>
      </vt:variant>
      <vt:variant>
        <vt:i4>1835130</vt:i4>
      </vt:variant>
      <vt:variant>
        <vt:i4>318</vt:i4>
      </vt:variant>
      <vt:variant>
        <vt:i4>0</vt:i4>
      </vt:variant>
      <vt:variant>
        <vt:i4>5</vt:i4>
      </vt:variant>
      <vt:variant>
        <vt:lpwstr>http://www.mappinghaitianhistory.com/marchand-dessalines/</vt:lpwstr>
      </vt:variant>
      <vt:variant>
        <vt:lpwstr/>
      </vt:variant>
      <vt:variant>
        <vt:i4>2949223</vt:i4>
      </vt:variant>
      <vt:variant>
        <vt:i4>315</vt:i4>
      </vt:variant>
      <vt:variant>
        <vt:i4>0</vt:i4>
      </vt:variant>
      <vt:variant>
        <vt:i4>5</vt:i4>
      </vt:variant>
      <vt:variant>
        <vt:lpwstr>http://www.napoleon.org/fr/salle_lecture/articles/files/stdomingue_fevrier1802.asp</vt:lpwstr>
      </vt:variant>
      <vt:variant>
        <vt:lpwstr/>
      </vt:variant>
      <vt:variant>
        <vt:i4>3014673</vt:i4>
      </vt:variant>
      <vt:variant>
        <vt:i4>312</vt:i4>
      </vt:variant>
      <vt:variant>
        <vt:i4>0</vt:i4>
      </vt:variant>
      <vt:variant>
        <vt:i4>5</vt:i4>
      </vt:variant>
      <vt:variant>
        <vt:lpwstr>http://www.cairn.info/revue-l-homme-2006-4-page-7.htm. 2004</vt:lpwstr>
      </vt:variant>
      <vt:variant>
        <vt:lpwstr/>
      </vt:variant>
      <vt:variant>
        <vt:i4>393250</vt:i4>
      </vt:variant>
      <vt:variant>
        <vt:i4>309</vt:i4>
      </vt:variant>
      <vt:variant>
        <vt:i4>0</vt:i4>
      </vt:variant>
      <vt:variant>
        <vt:i4>5</vt:i4>
      </vt:variant>
      <vt:variant>
        <vt:lpwstr>http://www.google.com/icone/fortification</vt:lpwstr>
      </vt:variant>
      <vt:variant>
        <vt:lpwstr/>
      </vt:variant>
      <vt:variant>
        <vt:i4>6422535</vt:i4>
      </vt:variant>
      <vt:variant>
        <vt:i4>306</vt:i4>
      </vt:variant>
      <vt:variant>
        <vt:i4>0</vt:i4>
      </vt:variant>
      <vt:variant>
        <vt:i4>5</vt:i4>
      </vt:variant>
      <vt:variant>
        <vt:lpwstr>http://www.alterpresse.org/spip.php?article15461</vt:lpwstr>
      </vt:variant>
      <vt:variant>
        <vt:lpwstr>nb5</vt:lpwstr>
      </vt:variant>
      <vt:variant>
        <vt:i4>7143512</vt:i4>
      </vt:variant>
      <vt:variant>
        <vt:i4>303</vt:i4>
      </vt:variant>
      <vt:variant>
        <vt:i4>0</vt:i4>
      </vt:variant>
      <vt:variant>
        <vt:i4>5</vt:i4>
      </vt:variant>
      <vt:variant>
        <vt:lpwstr>http://tice2.univ-reunion.fr/webdocs/crlhoiocs/cresoi/document/article_1810_1880_les_contradictions_du_siecle_du_sucre/les_contradictions_du_siecle_du_sucre.pdf</vt:lpwstr>
      </vt:variant>
      <vt:variant>
        <vt:lpwstr/>
      </vt:variant>
      <vt:variant>
        <vt:i4>4456568</vt:i4>
      </vt:variant>
      <vt:variant>
        <vt:i4>300</vt:i4>
      </vt:variant>
      <vt:variant>
        <vt:i4>0</vt:i4>
      </vt:variant>
      <vt:variant>
        <vt:i4>5</vt:i4>
      </vt:variant>
      <vt:variant>
        <vt:lpwstr>http://dx.doi.org/doi:10.1522/cla.goj.ess</vt:lpwstr>
      </vt:variant>
      <vt:variant>
        <vt:lpwstr/>
      </vt:variant>
      <vt:variant>
        <vt:i4>6946839</vt:i4>
      </vt:variant>
      <vt:variant>
        <vt:i4>297</vt:i4>
      </vt:variant>
      <vt:variant>
        <vt:i4>0</vt:i4>
      </vt:variant>
      <vt:variant>
        <vt:i4>5</vt:i4>
      </vt:variant>
      <vt:variant>
        <vt:lpwstr>https://www.youtube.com/watch?v=b7tOpUJA-YY</vt:lpwstr>
      </vt:variant>
      <vt:variant>
        <vt:lpwstr/>
      </vt:variant>
      <vt:variant>
        <vt:i4>6291568</vt:i4>
      </vt:variant>
      <vt:variant>
        <vt:i4>294</vt:i4>
      </vt:variant>
      <vt:variant>
        <vt:i4>0</vt:i4>
      </vt:variant>
      <vt:variant>
        <vt:i4>5</vt:i4>
      </vt:variant>
      <vt:variant>
        <vt:lpwstr>https://www.google.ca/url?sa=t&amp;rct=j&amp;q=&amp;esrc=s&amp;source=web&amp;cd=1&amp;cad=rja&amp;uact=8&amp;ved=0ahUKEwjPjbDP5LLRAhXo54MKHR2RCxYQtwIIHjAA&amp;url=https%3A%2F%2Fwww.youtube.com%2Fwatch%3Fv%3Db7tOpUJA-YY&amp;usg=AFQjCNHMZlgUVlqMyXYYVEK3r0F4FMa3qw&amp;sig2=sISW7UoJ8jCJQaz7QIIu5w</vt:lpwstr>
      </vt:variant>
      <vt:variant>
        <vt:lpwstr/>
      </vt:variant>
      <vt:variant>
        <vt:i4>5832713</vt:i4>
      </vt:variant>
      <vt:variant>
        <vt:i4>291</vt:i4>
      </vt:variant>
      <vt:variant>
        <vt:i4>0</vt:i4>
      </vt:variant>
      <vt:variant>
        <vt:i4>5</vt:i4>
      </vt:variant>
      <vt:variant>
        <vt:lpwstr>http://www.signalfmhaiti.com/articles/categorie/2012-02-08-01-57-30/1787-haiti-culture-il-a-perdu-la-presidentielle-de-1930-parce-que-les-votes-ont-ete-achetes.html</vt:lpwstr>
      </vt:variant>
      <vt:variant>
        <vt:lpwstr/>
      </vt:variant>
      <vt:variant>
        <vt:i4>7733276</vt:i4>
      </vt:variant>
      <vt:variant>
        <vt:i4>288</vt:i4>
      </vt:variant>
      <vt:variant>
        <vt:i4>0</vt:i4>
      </vt:variant>
      <vt:variant>
        <vt:i4>5</vt:i4>
      </vt:variant>
      <vt:variant>
        <vt:lpwstr>http://lenouvelliste.com/lenouvelliste/article/41536/Texte-de-presentation-de-Leslie-Pean-a-lAcademie-Dominicaine-dHistoire</vt:lpwstr>
      </vt:variant>
      <vt:variant>
        <vt:lpwstr/>
      </vt:variant>
      <vt:variant>
        <vt:i4>6160408</vt:i4>
      </vt:variant>
      <vt:variant>
        <vt:i4>285</vt:i4>
      </vt:variant>
      <vt:variant>
        <vt:i4>0</vt:i4>
      </vt:variant>
      <vt:variant>
        <vt:i4>5</vt:i4>
      </vt:variant>
      <vt:variant>
        <vt:lpwstr>http://lenouvelliste.com/lenouvelliste/article/134823/A-propos-des-vepres-de-Jeremie</vt:lpwstr>
      </vt:variant>
      <vt:variant>
        <vt:lpwstr/>
      </vt:variant>
      <vt:variant>
        <vt:i4>5701641</vt:i4>
      </vt:variant>
      <vt:variant>
        <vt:i4>282</vt:i4>
      </vt:variant>
      <vt:variant>
        <vt:i4>0</vt:i4>
      </vt:variant>
      <vt:variant>
        <vt:i4>5</vt:i4>
      </vt:variant>
      <vt:variant>
        <vt:lpwstr>http://radiokiskeya.com/spip.php?article6685</vt:lpwstr>
      </vt:variant>
      <vt:variant>
        <vt:lpwstr/>
      </vt:variant>
      <vt:variant>
        <vt:i4>4456492</vt:i4>
      </vt:variant>
      <vt:variant>
        <vt:i4>279</vt:i4>
      </vt:variant>
      <vt:variant>
        <vt:i4>0</vt:i4>
      </vt:variant>
      <vt:variant>
        <vt:i4>5</vt:i4>
      </vt:variant>
      <vt:variant>
        <vt:lpwstr>https://www.pinterest.com/pin/509610514056990292/</vt:lpwstr>
      </vt:variant>
      <vt:variant>
        <vt:lpwstr/>
      </vt:variant>
      <vt:variant>
        <vt:i4>4587543</vt:i4>
      </vt:variant>
      <vt:variant>
        <vt:i4>276</vt:i4>
      </vt:variant>
      <vt:variant>
        <vt:i4>0</vt:i4>
      </vt:variant>
      <vt:variant>
        <vt:i4>5</vt:i4>
      </vt:variant>
      <vt:variant>
        <vt:lpwstr>http://www.anneauxdelamemoire.org/fr/acteurs-du-reseau/ameriques/institutions-culturelles/item/629-mus%C3%A9e-ogier-fombrun.html</vt:lpwstr>
      </vt:variant>
      <vt:variant>
        <vt:lpwstr/>
      </vt:variant>
      <vt:variant>
        <vt:i4>1048583</vt:i4>
      </vt:variant>
      <vt:variant>
        <vt:i4>273</vt:i4>
      </vt:variant>
      <vt:variant>
        <vt:i4>0</vt:i4>
      </vt:variant>
      <vt:variant>
        <vt:i4>5</vt:i4>
      </vt:variant>
      <vt:variant>
        <vt:lpwstr>http://museeogierfombrun.org/mof/notre-histoire/</vt:lpwstr>
      </vt:variant>
      <vt:variant>
        <vt:lpwstr/>
      </vt:variant>
      <vt:variant>
        <vt:i4>5963887</vt:i4>
      </vt:variant>
      <vt:variant>
        <vt:i4>270</vt:i4>
      </vt:variant>
      <vt:variant>
        <vt:i4>0</vt:i4>
      </vt:variant>
      <vt:variant>
        <vt:i4>5</vt:i4>
      </vt:variant>
      <vt:variant>
        <vt:lpwstr>http://www.ipimh.ulaval.ca/fiche-tanbou-marengwen-24.html</vt:lpwstr>
      </vt:variant>
      <vt:variant>
        <vt:lpwstr/>
      </vt:variant>
      <vt:variant>
        <vt:i4>2228267</vt:i4>
      </vt:variant>
      <vt:variant>
        <vt:i4>267</vt:i4>
      </vt:variant>
      <vt:variant>
        <vt:i4>0</vt:i4>
      </vt:variant>
      <vt:variant>
        <vt:i4>5</vt:i4>
      </vt:variant>
      <vt:variant>
        <vt:lpwstr>https://books.google.com/books/about/Encyclopaedia_universalis.html</vt:lpwstr>
      </vt:variant>
      <vt:variant>
        <vt:lpwstr/>
      </vt:variant>
      <vt:variant>
        <vt:i4>2162795</vt:i4>
      </vt:variant>
      <vt:variant>
        <vt:i4>264</vt:i4>
      </vt:variant>
      <vt:variant>
        <vt:i4>0</vt:i4>
      </vt:variant>
      <vt:variant>
        <vt:i4>5</vt:i4>
      </vt:variant>
      <vt:variant>
        <vt:lpwstr>http://lenouvelliste.com/lenouvelliste/article/124076/Dessalines-a-la-rencontre-de-Petion-Au-dela-du-slogan-politique.html</vt:lpwstr>
      </vt:variant>
      <vt:variant>
        <vt:lpwstr/>
      </vt:variant>
      <vt:variant>
        <vt:i4>4980859</vt:i4>
      </vt:variant>
      <vt:variant>
        <vt:i4>261</vt:i4>
      </vt:variant>
      <vt:variant>
        <vt:i4>0</vt:i4>
      </vt:variant>
      <vt:variant>
        <vt:i4>5</vt:i4>
      </vt:variant>
      <vt:variant>
        <vt:lpwstr>http://www.analuciaaraujo.org/wp-content/uploads/2010/08/Araujo-Lusotopie.pdf</vt:lpwstr>
      </vt:variant>
      <vt:variant>
        <vt:lpwstr/>
      </vt:variant>
      <vt:variant>
        <vt:i4>6029377</vt:i4>
      </vt:variant>
      <vt:variant>
        <vt:i4>258</vt:i4>
      </vt:variant>
      <vt:variant>
        <vt:i4>0</vt:i4>
      </vt:variant>
      <vt:variant>
        <vt:i4>5</vt:i4>
      </vt:variant>
      <vt:variant>
        <vt:lpwstr>http://classiques.uqac.ca/contemporains/hoffmann_leon_francois/complexite_linguistique/complexite_linguistique_texte.html</vt:lpwstr>
      </vt:variant>
      <vt:variant>
        <vt:lpwstr>_ftnref</vt:lpwstr>
      </vt:variant>
      <vt:variant>
        <vt:i4>7864372</vt:i4>
      </vt:variant>
      <vt:variant>
        <vt:i4>255</vt:i4>
      </vt:variant>
      <vt:variant>
        <vt:i4>0</vt:i4>
      </vt:variant>
      <vt:variant>
        <vt:i4>5</vt:i4>
      </vt:variant>
      <vt:variant>
        <vt:lpwstr>http://id.erudit.org/iderudit/500516ar</vt:lpwstr>
      </vt:variant>
      <vt:variant>
        <vt:lpwstr/>
      </vt:variant>
      <vt:variant>
        <vt:i4>7536705</vt:i4>
      </vt:variant>
      <vt:variant>
        <vt:i4>252</vt:i4>
      </vt:variant>
      <vt:variant>
        <vt:i4>0</vt:i4>
      </vt:variant>
      <vt:variant>
        <vt:i4>5</vt:i4>
      </vt:variant>
      <vt:variant>
        <vt:lpwstr>http://lenouvelliste.com/lenouvelliste/article/73917/Jean-F-Brierre-poete-humaniste</vt:lpwstr>
      </vt:variant>
      <vt:variant>
        <vt:lpwstr/>
      </vt:variant>
      <vt:variant>
        <vt:i4>3539036</vt:i4>
      </vt:variant>
      <vt:variant>
        <vt:i4>249</vt:i4>
      </vt:variant>
      <vt:variant>
        <vt:i4>0</vt:i4>
      </vt:variant>
      <vt:variant>
        <vt:i4>5</vt:i4>
      </vt:variant>
      <vt:variant>
        <vt:lpwstr>http://dx.doi.org/doi:10.1522/030174842</vt:lpwstr>
      </vt:variant>
      <vt:variant>
        <vt:lpwstr/>
      </vt:variant>
      <vt:variant>
        <vt:i4>7143457</vt:i4>
      </vt:variant>
      <vt:variant>
        <vt:i4>246</vt:i4>
      </vt:variant>
      <vt:variant>
        <vt:i4>0</vt:i4>
      </vt:variant>
      <vt:variant>
        <vt:i4>5</vt:i4>
      </vt:variant>
      <vt:variant>
        <vt:lpwstr>http://classiques.uqac.ca/classiques/price_mars_jean/ainsi_parla_oncle/ainsi_parla_oncle_preface.html</vt:lpwstr>
      </vt:variant>
      <vt:variant>
        <vt:lpwstr/>
      </vt:variant>
      <vt:variant>
        <vt:i4>4849756</vt:i4>
      </vt:variant>
      <vt:variant>
        <vt:i4>243</vt:i4>
      </vt:variant>
      <vt:variant>
        <vt:i4>0</vt:i4>
      </vt:variant>
      <vt:variant>
        <vt:i4>5</vt:i4>
      </vt:variant>
      <vt:variant>
        <vt:lpwstr>http://lenouvelliste.com/lenouvelliste/article/102799/Price-Mars-expulse-de-lindigenisme</vt:lpwstr>
      </vt:variant>
      <vt:variant>
        <vt:lpwstr/>
      </vt:variant>
      <vt:variant>
        <vt:i4>7602229</vt:i4>
      </vt:variant>
      <vt:variant>
        <vt:i4>240</vt:i4>
      </vt:variant>
      <vt:variant>
        <vt:i4>0</vt:i4>
      </vt:variant>
      <vt:variant>
        <vt:i4>5</vt:i4>
      </vt:variant>
      <vt:variant>
        <vt:lpwstr>http://gradhiva.revues.org/301</vt:lpwstr>
      </vt:variant>
      <vt:variant>
        <vt:lpwstr/>
      </vt:variant>
      <vt:variant>
        <vt:i4>3276884</vt:i4>
      </vt:variant>
      <vt:variant>
        <vt:i4>237</vt:i4>
      </vt:variant>
      <vt:variant>
        <vt:i4>0</vt:i4>
      </vt:variant>
      <vt:variant>
        <vt:i4>5</vt:i4>
      </vt:variant>
      <vt:variant>
        <vt:lpwstr>http://dx.doi.org/doi:10.1522/030174406</vt:lpwstr>
      </vt:variant>
      <vt:variant>
        <vt:lpwstr/>
      </vt:variant>
      <vt:variant>
        <vt:i4>589929</vt:i4>
      </vt:variant>
      <vt:variant>
        <vt:i4>234</vt:i4>
      </vt:variant>
      <vt:variant>
        <vt:i4>0</vt:i4>
      </vt:variant>
      <vt:variant>
        <vt:i4>5</vt:i4>
      </vt:variant>
      <vt:variant>
        <vt:lpwstr>http://www.tanbou.com/2008/TrajectoireFrancaisCreoleHaiti.htm</vt:lpwstr>
      </vt:variant>
      <vt:variant>
        <vt:lpwstr/>
      </vt:variant>
      <vt:variant>
        <vt:i4>5767216</vt:i4>
      </vt:variant>
      <vt:variant>
        <vt:i4>231</vt:i4>
      </vt:variant>
      <vt:variant>
        <vt:i4>0</vt:i4>
      </vt:variant>
      <vt:variant>
        <vt:i4>5</vt:i4>
      </vt:variant>
      <vt:variant>
        <vt:lpwstr>http://classiques.uqac.ca/contemporains/hoffmann_leon_francois/Haiti_couleurs_croyances_creole/Haiti_couleurs_croyances_creole.html</vt:lpwstr>
      </vt:variant>
      <vt:variant>
        <vt:lpwstr/>
      </vt:variant>
      <vt:variant>
        <vt:i4>786463</vt:i4>
      </vt:variant>
      <vt:variant>
        <vt:i4>228</vt:i4>
      </vt:variant>
      <vt:variant>
        <vt:i4>0</vt:i4>
      </vt:variant>
      <vt:variant>
        <vt:i4>5</vt:i4>
      </vt:variant>
      <vt:variant>
        <vt:lpwstr>http://gallica.bnf.fr/ark:/12148/cb328829955/date, consult%C3%A9</vt:lpwstr>
      </vt:variant>
      <vt:variant>
        <vt:lpwstr/>
      </vt:variant>
      <vt:variant>
        <vt:i4>2818052</vt:i4>
      </vt:variant>
      <vt:variant>
        <vt:i4>225</vt:i4>
      </vt:variant>
      <vt:variant>
        <vt:i4>0</vt:i4>
      </vt:variant>
      <vt:variant>
        <vt:i4>5</vt:i4>
      </vt:variant>
      <vt:variant>
        <vt:lpwstr>http://gallica.bnf.fr/ark:/12148/bpt6k57838774/f8.item.zoom</vt:lpwstr>
      </vt:variant>
      <vt:variant>
        <vt:lpwstr/>
      </vt:variant>
      <vt:variant>
        <vt:i4>1900670</vt:i4>
      </vt:variant>
      <vt:variant>
        <vt:i4>222</vt:i4>
      </vt:variant>
      <vt:variant>
        <vt:i4>0</vt:i4>
      </vt:variant>
      <vt:variant>
        <vt:i4>5</vt:i4>
      </vt:variant>
      <vt:variant>
        <vt:lpwstr>http://www.persee.fr/web/revues/home/prescript/article/ahrf_0003-4436_1993_num_293_1_3395</vt:lpwstr>
      </vt:variant>
      <vt:variant>
        <vt:lpwstr/>
      </vt:variant>
      <vt:variant>
        <vt:i4>1114212</vt:i4>
      </vt:variant>
      <vt:variant>
        <vt:i4>219</vt:i4>
      </vt:variant>
      <vt:variant>
        <vt:i4>0</vt:i4>
      </vt:variant>
      <vt:variant>
        <vt:i4>5</vt:i4>
      </vt:variant>
      <vt:variant>
        <vt:lpwstr>http://www.ades.cnrs.fr/IMG/pdf/GDM_PP_et_CT_Poitiers.pdf</vt:lpwstr>
      </vt:variant>
      <vt:variant>
        <vt:lpwstr/>
      </vt:variant>
      <vt:variant>
        <vt:i4>7864337</vt:i4>
      </vt:variant>
      <vt:variant>
        <vt:i4>216</vt:i4>
      </vt:variant>
      <vt:variant>
        <vt:i4>0</vt:i4>
      </vt:variant>
      <vt:variant>
        <vt:i4>5</vt:i4>
      </vt:variant>
      <vt:variant>
        <vt:lpwstr>http://windowsonhaiti.com/windowsonhaiti/act2.shtml</vt:lpwstr>
      </vt:variant>
      <vt:variant>
        <vt:lpwstr/>
      </vt:variant>
      <vt:variant>
        <vt:i4>7733260</vt:i4>
      </vt:variant>
      <vt:variant>
        <vt:i4>213</vt:i4>
      </vt:variant>
      <vt:variant>
        <vt:i4>0</vt:i4>
      </vt:variant>
      <vt:variant>
        <vt:i4>5</vt:i4>
      </vt:variant>
      <vt:variant>
        <vt:lpwstr>http://www.questia.com/read/1P3-1476918131/maurice-dartigue-educational-reform-and-intellectual</vt:lpwstr>
      </vt:variant>
      <vt:variant>
        <vt:lpwstr/>
      </vt:variant>
      <vt:variant>
        <vt:i4>2293887</vt:i4>
      </vt:variant>
      <vt:variant>
        <vt:i4>210</vt:i4>
      </vt:variant>
      <vt:variant>
        <vt:i4>0</vt:i4>
      </vt:variant>
      <vt:variant>
        <vt:i4>5</vt:i4>
      </vt:variant>
      <vt:variant>
        <vt:lpwstr>http://classiques.uqac.ca/.../usages_memoire_esclavage.rtf</vt:lpwstr>
      </vt:variant>
      <vt:variant>
        <vt:lpwstr/>
      </vt:variant>
      <vt:variant>
        <vt:i4>4128858</vt:i4>
      </vt:variant>
      <vt:variant>
        <vt:i4>207</vt:i4>
      </vt:variant>
      <vt:variant>
        <vt:i4>0</vt:i4>
      </vt:variant>
      <vt:variant>
        <vt:i4>5</vt:i4>
      </vt:variant>
      <vt:variant>
        <vt:lpwstr>http://dx.doi.org/doi:10.1522/030138119</vt:lpwstr>
      </vt:variant>
      <vt:variant>
        <vt:lpwstr/>
      </vt:variant>
      <vt:variant>
        <vt:i4>4063312</vt:i4>
      </vt:variant>
      <vt:variant>
        <vt:i4>204</vt:i4>
      </vt:variant>
      <vt:variant>
        <vt:i4>0</vt:i4>
      </vt:variant>
      <vt:variant>
        <vt:i4>5</vt:i4>
      </vt:variant>
      <vt:variant>
        <vt:lpwstr>http://dx.doi.org/doi:10.1522/030138103</vt:lpwstr>
      </vt:variant>
      <vt:variant>
        <vt:lpwstr/>
      </vt:variant>
      <vt:variant>
        <vt:i4>5767265</vt:i4>
      </vt:variant>
      <vt:variant>
        <vt:i4>201</vt:i4>
      </vt:variant>
      <vt:variant>
        <vt:i4>0</vt:i4>
      </vt:variant>
      <vt:variant>
        <vt:i4>5</vt:i4>
      </vt:variant>
      <vt:variant>
        <vt:lpwstr>http://dx.doi.org/doi:10.1522/cla.ham.cad</vt:lpwstr>
      </vt:variant>
      <vt:variant>
        <vt:lpwstr/>
      </vt:variant>
      <vt:variant>
        <vt:i4>7143526</vt:i4>
      </vt:variant>
      <vt:variant>
        <vt:i4>198</vt:i4>
      </vt:variant>
      <vt:variant>
        <vt:i4>0</vt:i4>
      </vt:variant>
      <vt:variant>
        <vt:i4>5</vt:i4>
      </vt:variant>
      <vt:variant>
        <vt:lpwstr>http://dx.doi.org/doi:10.1522/cla.ham.mem1</vt:lpwstr>
      </vt:variant>
      <vt:variant>
        <vt:lpwstr/>
      </vt:variant>
      <vt:variant>
        <vt:i4>196699</vt:i4>
      </vt:variant>
      <vt:variant>
        <vt:i4>195</vt:i4>
      </vt:variant>
      <vt:variant>
        <vt:i4>0</vt:i4>
      </vt:variant>
      <vt:variant>
        <vt:i4>5</vt:i4>
      </vt:variant>
      <vt:variant>
        <vt:lpwstr>http://lenouvelliste.com/lenouvelliste/article/29379/Patrimoine-National-enfin-le-declic</vt:lpwstr>
      </vt:variant>
      <vt:variant>
        <vt:lpwstr/>
      </vt:variant>
      <vt:variant>
        <vt:i4>6225963</vt:i4>
      </vt:variant>
      <vt:variant>
        <vt:i4>192</vt:i4>
      </vt:variant>
      <vt:variant>
        <vt:i4>0</vt:i4>
      </vt:variant>
      <vt:variant>
        <vt:i4>5</vt:i4>
      </vt:variant>
      <vt:variant>
        <vt:lpwstr>http://oxi80.com/LLFOOWC54/edito_du_service_culturel.pdf</vt:lpwstr>
      </vt:variant>
      <vt:variant>
        <vt:lpwstr/>
      </vt:variant>
      <vt:variant>
        <vt:i4>7733300</vt:i4>
      </vt:variant>
      <vt:variant>
        <vt:i4>189</vt:i4>
      </vt:variant>
      <vt:variant>
        <vt:i4>0</vt:i4>
      </vt:variant>
      <vt:variant>
        <vt:i4>5</vt:i4>
      </vt:variant>
      <vt:variant>
        <vt:lpwstr>http://gradhiva.revues.org/313</vt:lpwstr>
      </vt:variant>
      <vt:variant>
        <vt:lpwstr/>
      </vt:variant>
      <vt:variant>
        <vt:i4>524345</vt:i4>
      </vt:variant>
      <vt:variant>
        <vt:i4>186</vt:i4>
      </vt:variant>
      <vt:variant>
        <vt:i4>0</vt:i4>
      </vt:variant>
      <vt:variant>
        <vt:i4>5</vt:i4>
      </vt:variant>
      <vt:variant>
        <vt:lpwstr>http://www.un.org/fr/rights/overview/themes/culture.shtml</vt:lpwstr>
      </vt:variant>
      <vt:variant>
        <vt:lpwstr/>
      </vt:variant>
      <vt:variant>
        <vt:i4>1245199</vt:i4>
      </vt:variant>
      <vt:variant>
        <vt:i4>183</vt:i4>
      </vt:variant>
      <vt:variant>
        <vt:i4>0</vt:i4>
      </vt:variant>
      <vt:variant>
        <vt:i4>5</vt:i4>
      </vt:variant>
      <vt:variant>
        <vt:lpwstr>http://unesdoc.unesco.org/images/0012/001271/127160m.pdf</vt:lpwstr>
      </vt:variant>
      <vt:variant>
        <vt:lpwstr/>
      </vt:variant>
      <vt:variant>
        <vt:i4>524345</vt:i4>
      </vt:variant>
      <vt:variant>
        <vt:i4>180</vt:i4>
      </vt:variant>
      <vt:variant>
        <vt:i4>0</vt:i4>
      </vt:variant>
      <vt:variant>
        <vt:i4>5</vt:i4>
      </vt:variant>
      <vt:variant>
        <vt:lpwstr>http://www.un.org/fr/rights/overview/themes/culture.shtml</vt:lpwstr>
      </vt:variant>
      <vt:variant>
        <vt:lpwstr/>
      </vt:variant>
      <vt:variant>
        <vt:i4>1966153</vt:i4>
      </vt:variant>
      <vt:variant>
        <vt:i4>177</vt:i4>
      </vt:variant>
      <vt:variant>
        <vt:i4>0</vt:i4>
      </vt:variant>
      <vt:variant>
        <vt:i4>5</vt:i4>
      </vt:variant>
      <vt:variant>
        <vt:lpwstr>http://www.gestiondesarts.com/media/wysiwyg/documents/Colbert_Politiquesculturelles.pdf</vt:lpwstr>
      </vt:variant>
      <vt:variant>
        <vt:lpwstr/>
      </vt:variant>
      <vt:variant>
        <vt:i4>7208988</vt:i4>
      </vt:variant>
      <vt:variant>
        <vt:i4>174</vt:i4>
      </vt:variant>
      <vt:variant>
        <vt:i4>0</vt:i4>
      </vt:variant>
      <vt:variant>
        <vt:i4>5</vt:i4>
      </vt:variant>
      <vt:variant>
        <vt:lpwstr>http://www.parl.gc.ca/content/lop/researchpublications/933-f.htm</vt:lpwstr>
      </vt:variant>
      <vt:variant>
        <vt:lpwstr>D%C3%89FINITION</vt:lpwstr>
      </vt:variant>
      <vt:variant>
        <vt:i4>7340116</vt:i4>
      </vt:variant>
      <vt:variant>
        <vt:i4>171</vt:i4>
      </vt:variant>
      <vt:variant>
        <vt:i4>0</vt:i4>
      </vt:variant>
      <vt:variant>
        <vt:i4>5</vt:i4>
      </vt:variant>
      <vt:variant>
        <vt:lpwstr>http://www.thecanadianencyclopedia.ca/fr/article/cultural-policy/ consult%C3%A9</vt:lpwstr>
      </vt:variant>
      <vt:variant>
        <vt:lpwstr/>
      </vt:variant>
      <vt:variant>
        <vt:i4>5242917</vt:i4>
      </vt:variant>
      <vt:variant>
        <vt:i4>168</vt:i4>
      </vt:variant>
      <vt:variant>
        <vt:i4>0</vt:i4>
      </vt:variant>
      <vt:variant>
        <vt:i4>5</vt:i4>
      </vt:variant>
      <vt:variant>
        <vt:lpwstr>http://classiques.uqac.ca/classiques/price_mars_jean/bilan_etudes_haiti/bilan_etudes_haiti.html</vt:lpwstr>
      </vt:variant>
      <vt:variant>
        <vt:lpwstr/>
      </vt:variant>
      <vt:variant>
        <vt:i4>5767216</vt:i4>
      </vt:variant>
      <vt:variant>
        <vt:i4>165</vt:i4>
      </vt:variant>
      <vt:variant>
        <vt:i4>0</vt:i4>
      </vt:variant>
      <vt:variant>
        <vt:i4>5</vt:i4>
      </vt:variant>
      <vt:variant>
        <vt:lpwstr>http://classiques.uqac.ca/contemporains/hoffmann_leon_francois/Haiti_couleurs_croyances_creole/Haiti_couleurs_croyances_creole.html</vt:lpwstr>
      </vt:variant>
      <vt:variant>
        <vt:lpwstr/>
      </vt:variant>
      <vt:variant>
        <vt:i4>3276887</vt:i4>
      </vt:variant>
      <vt:variant>
        <vt:i4>162</vt:i4>
      </vt:variant>
      <vt:variant>
        <vt:i4>0</vt:i4>
      </vt:variant>
      <vt:variant>
        <vt:i4>5</vt:i4>
      </vt:variant>
      <vt:variant>
        <vt:lpwstr>http://dx.doi.org/doi:10.1522/030151754</vt:lpwstr>
      </vt:variant>
      <vt:variant>
        <vt:lpwstr/>
      </vt:variant>
      <vt:variant>
        <vt:i4>655394</vt:i4>
      </vt:variant>
      <vt:variant>
        <vt:i4>159</vt:i4>
      </vt:variant>
      <vt:variant>
        <vt:i4>0</vt:i4>
      </vt:variant>
      <vt:variant>
        <vt:i4>5</vt:i4>
      </vt:variant>
      <vt:variant>
        <vt:lpwstr>http://classiques.uqac.ca/classiques/price_hannibal/rehabilitation_race_noire_haiti/rehabilitation_race_noire_haiti.html</vt:lpwstr>
      </vt:variant>
      <vt:variant>
        <vt:lpwstr/>
      </vt:variant>
      <vt:variant>
        <vt:i4>6422555</vt:i4>
      </vt:variant>
      <vt:variant>
        <vt:i4>156</vt:i4>
      </vt:variant>
      <vt:variant>
        <vt:i4>0</vt:i4>
      </vt:variant>
      <vt:variant>
        <vt:i4>5</vt:i4>
      </vt:variant>
      <vt:variant>
        <vt:lpwstr>https://monoskop.org/images/4/40/Foucault_Michel_Les_mots_et_les_choses.pdf</vt:lpwstr>
      </vt:variant>
      <vt:variant>
        <vt:lpwstr/>
      </vt:variant>
      <vt:variant>
        <vt:i4>7733304</vt:i4>
      </vt:variant>
      <vt:variant>
        <vt:i4>153</vt:i4>
      </vt:variant>
      <vt:variant>
        <vt:i4>0</vt:i4>
      </vt:variant>
      <vt:variant>
        <vt:i4>5</vt:i4>
      </vt:variant>
      <vt:variant>
        <vt:lpwstr>https://vimeo.com/22572070</vt:lpwstr>
      </vt:variant>
      <vt:variant>
        <vt:lpwstr/>
      </vt:variant>
      <vt:variant>
        <vt:i4>4128853</vt:i4>
      </vt:variant>
      <vt:variant>
        <vt:i4>150</vt:i4>
      </vt:variant>
      <vt:variant>
        <vt:i4>0</vt:i4>
      </vt:variant>
      <vt:variant>
        <vt:i4>5</vt:i4>
      </vt:variant>
      <vt:variant>
        <vt:lpwstr>http://www.touthaiti.com/economie/2424-leslie-pean-thomas-jefferson-disait-confiner-la-peste-dans-son-ile-marasme-economique-transmission-des-savoirs-et-langues-6-de-6</vt:lpwstr>
      </vt:variant>
      <vt:variant>
        <vt:lpwstr>_edn4</vt:lpwstr>
      </vt:variant>
      <vt:variant>
        <vt:i4>2752619</vt:i4>
      </vt:variant>
      <vt:variant>
        <vt:i4>147</vt:i4>
      </vt:variant>
      <vt:variant>
        <vt:i4>0</vt:i4>
      </vt:variant>
      <vt:variant>
        <vt:i4>5</vt:i4>
      </vt:variant>
      <vt:variant>
        <vt:lpwstr>Leslie%20P%C3%A9an,%20</vt:lpwstr>
      </vt:variant>
      <vt:variant>
        <vt:lpwstr/>
      </vt:variant>
      <vt:variant>
        <vt:i4>6684703</vt:i4>
      </vt:variant>
      <vt:variant>
        <vt:i4>144</vt:i4>
      </vt:variant>
      <vt:variant>
        <vt:i4>0</vt:i4>
      </vt:variant>
      <vt:variant>
        <vt:i4>5</vt:i4>
      </vt:variant>
      <vt:variant>
        <vt:lpwstr>http://classiques.uqac.ca/contemporains/hurbon_laennec/insurrection_esclaves/insurrection_esclaves_tdm.html</vt:lpwstr>
      </vt:variant>
      <vt:variant>
        <vt:lpwstr/>
      </vt:variant>
      <vt:variant>
        <vt:i4>6684703</vt:i4>
      </vt:variant>
      <vt:variant>
        <vt:i4>141</vt:i4>
      </vt:variant>
      <vt:variant>
        <vt:i4>0</vt:i4>
      </vt:variant>
      <vt:variant>
        <vt:i4>5</vt:i4>
      </vt:variant>
      <vt:variant>
        <vt:lpwstr>http://classiques.uqac.ca/contemporains/hurbon_laennec/insurrection_esclaves/insurrection_esclaves_tdm.html</vt:lpwstr>
      </vt:variant>
      <vt:variant>
        <vt:lpwstr/>
      </vt:variant>
      <vt:variant>
        <vt:i4>458802</vt:i4>
      </vt:variant>
      <vt:variant>
        <vt:i4>138</vt:i4>
      </vt:variant>
      <vt:variant>
        <vt:i4>0</vt:i4>
      </vt:variant>
      <vt:variant>
        <vt:i4>5</vt:i4>
      </vt:variant>
      <vt:variant>
        <vt:lpwstr>http://www.karthala.com/esclavages/2324-traites-et-les-esclavages-les-perspectives-historiques-et-contemporaines.html</vt:lpwstr>
      </vt:variant>
      <vt:variant>
        <vt:lpwstr/>
      </vt:variant>
      <vt:variant>
        <vt:i4>7798855</vt:i4>
      </vt:variant>
      <vt:variant>
        <vt:i4>135</vt:i4>
      </vt:variant>
      <vt:variant>
        <vt:i4>0</vt:i4>
      </vt:variant>
      <vt:variant>
        <vt:i4>5</vt:i4>
      </vt:variant>
      <vt:variant>
        <vt:lpwstr>http://www.slateafrique.com/80803/cameroun-afro-americain-spike-lee-racines</vt:lpwstr>
      </vt:variant>
      <vt:variant>
        <vt:lpwstr/>
      </vt:variant>
      <vt:variant>
        <vt:i4>917535</vt:i4>
      </vt:variant>
      <vt:variant>
        <vt:i4>132</vt:i4>
      </vt:variant>
      <vt:variant>
        <vt:i4>0</vt:i4>
      </vt:variant>
      <vt:variant>
        <vt:i4>5</vt:i4>
      </vt:variant>
      <vt:variant>
        <vt:lpwstr>http://hoy.com.do/app/frontpage.aspx</vt:lpwstr>
      </vt:variant>
      <vt:variant>
        <vt:lpwstr/>
      </vt:variant>
      <vt:variant>
        <vt:i4>262241</vt:i4>
      </vt:variant>
      <vt:variant>
        <vt:i4>129</vt:i4>
      </vt:variant>
      <vt:variant>
        <vt:i4>0</vt:i4>
      </vt:variant>
      <vt:variant>
        <vt:i4>5</vt:i4>
      </vt:variant>
      <vt:variant>
        <vt:lpwstr>http://www.listindiario.com/puntos-de-vista/2013/09/30/294004/la-sentencia-del-tc</vt:lpwstr>
      </vt:variant>
      <vt:variant>
        <vt:lpwstr/>
      </vt:variant>
      <vt:variant>
        <vt:i4>4587539</vt:i4>
      </vt:variant>
      <vt:variant>
        <vt:i4>126</vt:i4>
      </vt:variant>
      <vt:variant>
        <vt:i4>0</vt:i4>
      </vt:variant>
      <vt:variant>
        <vt:i4>5</vt:i4>
      </vt:variant>
      <vt:variant>
        <vt:lpwstr>http://www.alterpresse.org/spip.php?article15298</vt:lpwstr>
      </vt:variant>
      <vt:variant>
        <vt:lpwstr>.UwU53PldW8A</vt:lpwstr>
      </vt:variant>
      <vt:variant>
        <vt:i4>6881404</vt:i4>
      </vt:variant>
      <vt:variant>
        <vt:i4>123</vt:i4>
      </vt:variant>
      <vt:variant>
        <vt:i4>0</vt:i4>
      </vt:variant>
      <vt:variant>
        <vt:i4>5</vt:i4>
      </vt:variant>
      <vt:variant>
        <vt:lpwstr>http://www.larousse.fr/encyclopedie/pays/R%C3%A9publique_dominicaine/116821</vt:lpwstr>
      </vt:variant>
      <vt:variant>
        <vt:lpwstr/>
      </vt:variant>
      <vt:variant>
        <vt:i4>655474</vt:i4>
      </vt:variant>
      <vt:variant>
        <vt:i4>120</vt:i4>
      </vt:variant>
      <vt:variant>
        <vt:i4>0</vt:i4>
      </vt:variant>
      <vt:variant>
        <vt:i4>5</vt:i4>
      </vt:variant>
      <vt:variant>
        <vt:lpwstr>http://www.lemonde.fr/afrique/article/2015/05/10/cinq-choses-a-savoir-sur-le-memorial-acte-en-guadeloupe_4630682_3212.html</vt:lpwstr>
      </vt:variant>
      <vt:variant>
        <vt:lpwstr>X4cj14QMiFH8r1oK.99</vt:lpwstr>
      </vt:variant>
      <vt:variant>
        <vt:i4>3342433</vt:i4>
      </vt:variant>
      <vt:variant>
        <vt:i4>117</vt:i4>
      </vt:variant>
      <vt:variant>
        <vt:i4>0</vt:i4>
      </vt:variant>
      <vt:variant>
        <vt:i4>5</vt:i4>
      </vt:variant>
      <vt:variant>
        <vt:lpwstr>http://www.ladocumentationfrancaise.fr/var/storage/rapports-publics/074000374/0000.pdf</vt:lpwstr>
      </vt:variant>
      <vt:variant>
        <vt:lpwstr/>
      </vt:variant>
      <vt:variant>
        <vt:i4>7798888</vt:i4>
      </vt:variant>
      <vt:variant>
        <vt:i4>114</vt:i4>
      </vt:variant>
      <vt:variant>
        <vt:i4>0</vt:i4>
      </vt:variant>
      <vt:variant>
        <vt:i4>5</vt:i4>
      </vt:variant>
      <vt:variant>
        <vt:lpwstr>http://www.slate.fr/auteur/737</vt:lpwstr>
      </vt:variant>
      <vt:variant>
        <vt:lpwstr/>
      </vt:variant>
      <vt:variant>
        <vt:i4>3735615</vt:i4>
      </vt:variant>
      <vt:variant>
        <vt:i4>111</vt:i4>
      </vt:variant>
      <vt:variant>
        <vt:i4>0</vt:i4>
      </vt:variant>
      <vt:variant>
        <vt:i4>5</vt:i4>
      </vt:variant>
      <vt:variant>
        <vt:lpwstr>http://memorial.nantes.fr/</vt:lpwstr>
      </vt:variant>
      <vt:variant>
        <vt:lpwstr/>
      </vt:variant>
      <vt:variant>
        <vt:i4>7798793</vt:i4>
      </vt:variant>
      <vt:variant>
        <vt:i4>108</vt:i4>
      </vt:variant>
      <vt:variant>
        <vt:i4>0</vt:i4>
      </vt:variant>
      <vt:variant>
        <vt:i4>5</vt:i4>
      </vt:variant>
      <vt:variant>
        <vt:lpwstr>http://anneauxdelamemoire.org/fr/component/k2/item/402-des-expositions.html</vt:lpwstr>
      </vt:variant>
      <vt:variant>
        <vt:lpwstr/>
      </vt:variant>
      <vt:variant>
        <vt:i4>6684778</vt:i4>
      </vt:variant>
      <vt:variant>
        <vt:i4>105</vt:i4>
      </vt:variant>
      <vt:variant>
        <vt:i4>0</vt:i4>
      </vt:variant>
      <vt:variant>
        <vt:i4>5</vt:i4>
      </vt:variant>
      <vt:variant>
        <vt:lpwstr>http://portal.unesco.org/culture/fr/ev.php-URL_ID=25659&amp;URL_DO=DO_TOPIC&amp;URL_SECTION=201.html</vt:lpwstr>
      </vt:variant>
      <vt:variant>
        <vt:lpwstr/>
      </vt:variant>
      <vt:variant>
        <vt:i4>4653103</vt:i4>
      </vt:variant>
      <vt:variant>
        <vt:i4>102</vt:i4>
      </vt:variant>
      <vt:variant>
        <vt:i4>0</vt:i4>
      </vt:variant>
      <vt:variant>
        <vt:i4>5</vt:i4>
      </vt:variant>
      <vt:variant>
        <vt:lpwstr>http://www.un.org/fr/events/africandescentdecade/slavetrade.shtml</vt:lpwstr>
      </vt:variant>
      <vt:variant>
        <vt:lpwstr/>
      </vt:variant>
      <vt:variant>
        <vt:i4>8323087</vt:i4>
      </vt:variant>
      <vt:variant>
        <vt:i4>99</vt:i4>
      </vt:variant>
      <vt:variant>
        <vt:i4>0</vt:i4>
      </vt:variant>
      <vt:variant>
        <vt:i4>5</vt:i4>
      </vt:variant>
      <vt:variant>
        <vt:lpwstr>http://www.ohchr.org/Documents/Events/IYPAD/EURESCL.pdf</vt:lpwstr>
      </vt:variant>
      <vt:variant>
        <vt:lpwstr/>
      </vt:variant>
      <vt:variant>
        <vt:i4>3473444</vt:i4>
      </vt:variant>
      <vt:variant>
        <vt:i4>96</vt:i4>
      </vt:variant>
      <vt:variant>
        <vt:i4>0</vt:i4>
      </vt:variant>
      <vt:variant>
        <vt:i4>5</vt:i4>
      </vt:variant>
      <vt:variant>
        <vt:lpwstr>http://www.un.org/french/WCAR/durban_fr.pdf</vt:lpwstr>
      </vt:variant>
      <vt:variant>
        <vt:lpwstr/>
      </vt:variant>
      <vt:variant>
        <vt:i4>8323087</vt:i4>
      </vt:variant>
      <vt:variant>
        <vt:i4>93</vt:i4>
      </vt:variant>
      <vt:variant>
        <vt:i4>0</vt:i4>
      </vt:variant>
      <vt:variant>
        <vt:i4>5</vt:i4>
      </vt:variant>
      <vt:variant>
        <vt:lpwstr>http://www.ohchr.org/Documents/Events/IYPAD/EURESCL.pdf</vt:lpwstr>
      </vt:variant>
      <vt:variant>
        <vt:lpwstr/>
      </vt:variant>
      <vt:variant>
        <vt:i4>8126542</vt:i4>
      </vt:variant>
      <vt:variant>
        <vt:i4>90</vt:i4>
      </vt:variant>
      <vt:variant>
        <vt:i4>0</vt:i4>
      </vt:variant>
      <vt:variant>
        <vt:i4>5</vt:i4>
      </vt:variant>
      <vt:variant>
        <vt:lpwstr>http://www.scribd.com/doc/178478985/Anthropologie-geographique-de-l-esclavage</vt:lpwstr>
      </vt:variant>
      <vt:variant>
        <vt:lpwstr>scribd</vt:lpwstr>
      </vt:variant>
      <vt:variant>
        <vt:i4>6684794</vt:i4>
      </vt:variant>
      <vt:variant>
        <vt:i4>87</vt:i4>
      </vt:variant>
      <vt:variant>
        <vt:i4>0</vt:i4>
      </vt:variant>
      <vt:variant>
        <vt:i4>5</vt:i4>
      </vt:variant>
      <vt:variant>
        <vt:lpwstr>http://www.assemblee-nationale.fr/histoire/esclavage/abolition.asp</vt:lpwstr>
      </vt:variant>
      <vt:variant>
        <vt:lpwstr/>
      </vt:variant>
      <vt:variant>
        <vt:i4>786450</vt:i4>
      </vt:variant>
      <vt:variant>
        <vt:i4>84</vt:i4>
      </vt:variant>
      <vt:variant>
        <vt:i4>0</vt:i4>
      </vt:variant>
      <vt:variant>
        <vt:i4>5</vt:i4>
      </vt:variant>
      <vt:variant>
        <vt:lpwstr>http://haiti.upmf-grenoble.fr/?page_id=2367</vt:lpwstr>
      </vt:variant>
      <vt:variant>
        <vt:lpwstr/>
      </vt:variant>
      <vt:variant>
        <vt:i4>1900609</vt:i4>
      </vt:variant>
      <vt:variant>
        <vt:i4>81</vt:i4>
      </vt:variant>
      <vt:variant>
        <vt:i4>0</vt:i4>
      </vt:variant>
      <vt:variant>
        <vt:i4>5</vt:i4>
      </vt:variant>
      <vt:variant>
        <vt:lpwstr>http://www.jeuneafrique.com/Article/</vt:lpwstr>
      </vt:variant>
      <vt:variant>
        <vt:lpwstr/>
      </vt:variant>
      <vt:variant>
        <vt:i4>4718715</vt:i4>
      </vt:variant>
      <vt:variant>
        <vt:i4>78</vt:i4>
      </vt:variant>
      <vt:variant>
        <vt:i4>0</vt:i4>
      </vt:variant>
      <vt:variant>
        <vt:i4>5</vt:i4>
      </vt:variant>
      <vt:variant>
        <vt:lpwstr>https://www2.ac-lyon.fr/.../Haiti_histoire_geographie_enseignement_1_.do</vt:lpwstr>
      </vt:variant>
      <vt:variant>
        <vt:lpwstr/>
      </vt:variant>
      <vt:variant>
        <vt:i4>4063266</vt:i4>
      </vt:variant>
      <vt:variant>
        <vt:i4>75</vt:i4>
      </vt:variant>
      <vt:variant>
        <vt:i4>0</vt:i4>
      </vt:variant>
      <vt:variant>
        <vt:i4>5</vt:i4>
      </vt:variant>
      <vt:variant>
        <vt:lpwstr>http://classiques.uqac.ca/</vt:lpwstr>
      </vt:variant>
      <vt:variant>
        <vt:lpwstr/>
      </vt:variant>
      <vt:variant>
        <vt:i4>8257592</vt:i4>
      </vt:variant>
      <vt:variant>
        <vt:i4>72</vt:i4>
      </vt:variant>
      <vt:variant>
        <vt:i4>0</vt:i4>
      </vt:variant>
      <vt:variant>
        <vt:i4>5</vt:i4>
      </vt:variant>
      <vt:variant>
        <vt:lpwstr>http://id.erudit.org/iderudit/801510ar</vt:lpwstr>
      </vt:variant>
      <vt:variant>
        <vt:lpwstr/>
      </vt:variant>
      <vt:variant>
        <vt:i4>7798833</vt:i4>
      </vt:variant>
      <vt:variant>
        <vt:i4>69</vt:i4>
      </vt:variant>
      <vt:variant>
        <vt:i4>0</vt:i4>
      </vt:variant>
      <vt:variant>
        <vt:i4>5</vt:i4>
      </vt:variant>
      <vt:variant>
        <vt:lpwstr>http://id.erudit.org/iderudit/303814ar</vt:lpwstr>
      </vt:variant>
      <vt:variant>
        <vt:lpwstr/>
      </vt:variant>
      <vt:variant>
        <vt:i4>1376269</vt:i4>
      </vt:variant>
      <vt:variant>
        <vt:i4>66</vt:i4>
      </vt:variant>
      <vt:variant>
        <vt:i4>0</vt:i4>
      </vt:variant>
      <vt:variant>
        <vt:i4>5</vt:i4>
      </vt:variant>
      <vt:variant>
        <vt:lpwstr>http://www.abbaye-saint-benoit.ch/saints/augustin/citededieu/livre19.htm</vt:lpwstr>
      </vt:variant>
      <vt:variant>
        <vt:lpwstr/>
      </vt:variant>
      <vt:variant>
        <vt:i4>6815763</vt:i4>
      </vt:variant>
      <vt:variant>
        <vt:i4>63</vt:i4>
      </vt:variant>
      <vt:variant>
        <vt:i4>0</vt:i4>
      </vt:variant>
      <vt:variant>
        <vt:i4>5</vt:i4>
      </vt:variant>
      <vt:variant>
        <vt:lpwstr>http://anabases.revues.org/1531</vt:lpwstr>
      </vt:variant>
      <vt:variant>
        <vt:lpwstr/>
      </vt:variant>
      <vt:variant>
        <vt:i4>7929920</vt:i4>
      </vt:variant>
      <vt:variant>
        <vt:i4>60</vt:i4>
      </vt:variant>
      <vt:variant>
        <vt:i4>0</vt:i4>
      </vt:variant>
      <vt:variant>
        <vt:i4>5</vt:i4>
      </vt:variant>
      <vt:variant>
        <vt:lpwstr>http://dx.doi.org/10.3917/rhis.061.0139</vt:lpwstr>
      </vt:variant>
      <vt:variant>
        <vt:lpwstr/>
      </vt:variant>
      <vt:variant>
        <vt:i4>2228268</vt:i4>
      </vt:variant>
      <vt:variant>
        <vt:i4>57</vt:i4>
      </vt:variant>
      <vt:variant>
        <vt:i4>0</vt:i4>
      </vt:variant>
      <vt:variant>
        <vt:i4>5</vt:i4>
      </vt:variant>
      <vt:variant>
        <vt:lpwstr>http://www.cairn.info/revue-historique-2006-1-page-139.htm</vt:lpwstr>
      </vt:variant>
      <vt:variant>
        <vt:lpwstr/>
      </vt:variant>
      <vt:variant>
        <vt:i4>7208997</vt:i4>
      </vt:variant>
      <vt:variant>
        <vt:i4>54</vt:i4>
      </vt:variant>
      <vt:variant>
        <vt:i4>0</vt:i4>
      </vt:variant>
      <vt:variant>
        <vt:i4>5</vt:i4>
      </vt:variant>
      <vt:variant>
        <vt:lpwstr>http://remacle.org/bloodwolf/erudits/amourabi/code.htm</vt:lpwstr>
      </vt:variant>
      <vt:variant>
        <vt:lpwstr/>
      </vt:variant>
      <vt:variant>
        <vt:i4>5963880</vt:i4>
      </vt:variant>
      <vt:variant>
        <vt:i4>51</vt:i4>
      </vt:variant>
      <vt:variant>
        <vt:i4>0</vt:i4>
      </vt:variant>
      <vt:variant>
        <vt:i4>5</vt:i4>
      </vt:variant>
      <vt:variant>
        <vt:lpwstr>http://lahic.cnrs.fr/IMG/pdf/Ciarca_perte_durable.pdf</vt:lpwstr>
      </vt:variant>
      <vt:variant>
        <vt:lpwstr/>
      </vt:variant>
      <vt:variant>
        <vt:i4>3276894</vt:i4>
      </vt:variant>
      <vt:variant>
        <vt:i4>48</vt:i4>
      </vt:variant>
      <vt:variant>
        <vt:i4>0</vt:i4>
      </vt:variant>
      <vt:variant>
        <vt:i4>5</vt:i4>
      </vt:variant>
      <vt:variant>
        <vt:lpwstr>http://dx.doi.org/doi:10.1522/030294731</vt:lpwstr>
      </vt:variant>
      <vt:variant>
        <vt:lpwstr/>
      </vt:variant>
      <vt:variant>
        <vt:i4>3342425</vt:i4>
      </vt:variant>
      <vt:variant>
        <vt:i4>45</vt:i4>
      </vt:variant>
      <vt:variant>
        <vt:i4>0</vt:i4>
      </vt:variant>
      <vt:variant>
        <vt:i4>5</vt:i4>
      </vt:variant>
      <vt:variant>
        <vt:lpwstr>http://dx.doi.org/doi:10.1522/030294726</vt:lpwstr>
      </vt:variant>
      <vt:variant>
        <vt:lpwstr/>
      </vt:variant>
      <vt:variant>
        <vt:i4>3276884</vt:i4>
      </vt:variant>
      <vt:variant>
        <vt:i4>42</vt:i4>
      </vt:variant>
      <vt:variant>
        <vt:i4>0</vt:i4>
      </vt:variant>
      <vt:variant>
        <vt:i4>5</vt:i4>
      </vt:variant>
      <vt:variant>
        <vt:lpwstr>http://dx.doi.org/doi:10.1522/030174406</vt:lpwstr>
      </vt:variant>
      <vt:variant>
        <vt:lpwstr/>
      </vt:variant>
      <vt:variant>
        <vt:i4>3276884</vt:i4>
      </vt:variant>
      <vt:variant>
        <vt:i4>39</vt:i4>
      </vt:variant>
      <vt:variant>
        <vt:i4>0</vt:i4>
      </vt:variant>
      <vt:variant>
        <vt:i4>5</vt:i4>
      </vt:variant>
      <vt:variant>
        <vt:lpwstr>http://dx.doi.org/doi:10.1522/030174406</vt:lpwstr>
      </vt:variant>
      <vt:variant>
        <vt:lpwstr/>
      </vt:variant>
      <vt:variant>
        <vt:i4>5767216</vt:i4>
      </vt:variant>
      <vt:variant>
        <vt:i4>36</vt:i4>
      </vt:variant>
      <vt:variant>
        <vt:i4>0</vt:i4>
      </vt:variant>
      <vt:variant>
        <vt:i4>5</vt:i4>
      </vt:variant>
      <vt:variant>
        <vt:lpwstr>http://classiques.uqac.ca/contemporains/hoffmann_leon_francois/Haiti_couleurs_croyances_creole/Haiti_couleurs_croyances_creole.html</vt:lpwstr>
      </vt:variant>
      <vt:variant>
        <vt:lpwstr/>
      </vt:variant>
      <vt:variant>
        <vt:i4>3276887</vt:i4>
      </vt:variant>
      <vt:variant>
        <vt:i4>33</vt:i4>
      </vt:variant>
      <vt:variant>
        <vt:i4>0</vt:i4>
      </vt:variant>
      <vt:variant>
        <vt:i4>5</vt:i4>
      </vt:variant>
      <vt:variant>
        <vt:lpwstr>http://dx.doi.org/doi:10.1522/030151754</vt:lpwstr>
      </vt:variant>
      <vt:variant>
        <vt:lpwstr/>
      </vt:variant>
      <vt:variant>
        <vt:i4>3473494</vt:i4>
      </vt:variant>
      <vt:variant>
        <vt:i4>30</vt:i4>
      </vt:variant>
      <vt:variant>
        <vt:i4>0</vt:i4>
      </vt:variant>
      <vt:variant>
        <vt:i4>5</vt:i4>
      </vt:variant>
      <vt:variant>
        <vt:lpwstr>http://ressources-cla.univ-fcomte.fr/gerflint/Baltique8/vihalem.pdf</vt:lpwstr>
      </vt:variant>
      <vt:variant>
        <vt:lpwstr/>
      </vt:variant>
      <vt:variant>
        <vt:i4>4522096</vt:i4>
      </vt:variant>
      <vt:variant>
        <vt:i4>27</vt:i4>
      </vt:variant>
      <vt:variant>
        <vt:i4>0</vt:i4>
      </vt:variant>
      <vt:variant>
        <vt:i4>5</vt:i4>
      </vt:variant>
      <vt:variant>
        <vt:lpwstr>https://monoskop.org/images/2/22/Foucault_Michel_Surveiller_et_Punir_Naissance_de_la_Prison_2004.pdf</vt:lpwstr>
      </vt:variant>
      <vt:variant>
        <vt:lpwstr/>
      </vt:variant>
      <vt:variant>
        <vt:i4>6881309</vt:i4>
      </vt:variant>
      <vt:variant>
        <vt:i4>24</vt:i4>
      </vt:variant>
      <vt:variant>
        <vt:i4>0</vt:i4>
      </vt:variant>
      <vt:variant>
        <vt:i4>5</vt:i4>
      </vt:variant>
      <vt:variant>
        <vt:lpwstr>https://monoskop.org/images/5/58/Foucault_Michel_Dits_et_ecrits_4_1980-1988.pdf</vt:lpwstr>
      </vt:variant>
      <vt:variant>
        <vt:lpwstr/>
      </vt:variant>
      <vt:variant>
        <vt:i4>2752542</vt:i4>
      </vt:variant>
      <vt:variant>
        <vt:i4>21</vt:i4>
      </vt:variant>
      <vt:variant>
        <vt:i4>0</vt:i4>
      </vt:variant>
      <vt:variant>
        <vt:i4>5</vt:i4>
      </vt:variant>
      <vt:variant>
        <vt:lpwstr>http://crdp.ac-paris.fr/preacpatrimoinesetdiversite</vt:lpwstr>
      </vt:variant>
      <vt:variant>
        <vt:lpwstr/>
      </vt:variant>
      <vt:variant>
        <vt:i4>5767265</vt:i4>
      </vt:variant>
      <vt:variant>
        <vt:i4>18</vt:i4>
      </vt:variant>
      <vt:variant>
        <vt:i4>0</vt:i4>
      </vt:variant>
      <vt:variant>
        <vt:i4>5</vt:i4>
      </vt:variant>
      <vt:variant>
        <vt:lpwstr>http://dx.doi.org/doi:10.1522/cla.ham.cad</vt:lpwstr>
      </vt:variant>
      <vt:variant>
        <vt:lpwstr/>
      </vt:variant>
      <vt:variant>
        <vt:i4>7143526</vt:i4>
      </vt:variant>
      <vt:variant>
        <vt:i4>15</vt:i4>
      </vt:variant>
      <vt:variant>
        <vt:i4>0</vt:i4>
      </vt:variant>
      <vt:variant>
        <vt:i4>5</vt:i4>
      </vt:variant>
      <vt:variant>
        <vt:lpwstr>http://dx.doi.org/doi:10.1522/cla.ham.mem1</vt:lpwstr>
      </vt:variant>
      <vt:variant>
        <vt:lpwstr/>
      </vt:variant>
      <vt:variant>
        <vt:i4>4587539</vt:i4>
      </vt:variant>
      <vt:variant>
        <vt:i4>12</vt:i4>
      </vt:variant>
      <vt:variant>
        <vt:i4>0</vt:i4>
      </vt:variant>
      <vt:variant>
        <vt:i4>5</vt:i4>
      </vt:variant>
      <vt:variant>
        <vt:lpwstr>http://www.alterpresse.org/spip.php?article15298</vt:lpwstr>
      </vt:variant>
      <vt:variant>
        <vt:lpwstr>.UwU53PldW8A</vt:lpwstr>
      </vt:variant>
      <vt:variant>
        <vt:i4>3932251</vt:i4>
      </vt:variant>
      <vt:variant>
        <vt:i4>9</vt:i4>
      </vt:variant>
      <vt:variant>
        <vt:i4>0</vt:i4>
      </vt:variant>
      <vt:variant>
        <vt:i4>5</vt:i4>
      </vt:variant>
      <vt:variant>
        <vt:lpwstr>http://www.herodote.net/La_traite_un_crime_contre_l_humanite_-article-17.php</vt:lpwstr>
      </vt:variant>
      <vt:variant>
        <vt:lpwstr/>
      </vt:variant>
      <vt:variant>
        <vt:i4>3539036</vt:i4>
      </vt:variant>
      <vt:variant>
        <vt:i4>6</vt:i4>
      </vt:variant>
      <vt:variant>
        <vt:i4>0</vt:i4>
      </vt:variant>
      <vt:variant>
        <vt:i4>5</vt:i4>
      </vt:variant>
      <vt:variant>
        <vt:lpwstr>http://dx.doi.org/doi:10.1522/030174842</vt:lpwstr>
      </vt:variant>
      <vt:variant>
        <vt:lpwstr/>
      </vt:variant>
      <vt:variant>
        <vt:i4>2949244</vt:i4>
      </vt:variant>
      <vt:variant>
        <vt:i4>3</vt:i4>
      </vt:variant>
      <vt:variant>
        <vt:i4>0</vt:i4>
      </vt:variant>
      <vt:variant>
        <vt:i4>5</vt:i4>
      </vt:variant>
      <vt:variant>
        <vt:lpwstr>http://www.liberation.fr/planete/2010/03/25/haitila-dette-originelle_617159</vt:lpwstr>
      </vt:variant>
      <vt:variant>
        <vt:lpwstr/>
      </vt:variant>
      <vt:variant>
        <vt:i4>8126526</vt:i4>
      </vt:variant>
      <vt:variant>
        <vt:i4>0</vt:i4>
      </vt:variant>
      <vt:variant>
        <vt:i4>0</vt:i4>
      </vt:variant>
      <vt:variant>
        <vt:i4>5</vt:i4>
      </vt:variant>
      <vt:variant>
        <vt:lpwstr>http://www.humanite.fr/node/432331</vt:lpwstr>
      </vt:variant>
      <vt:variant>
        <vt:lpwstr/>
      </vt:variant>
      <vt:variant>
        <vt:i4>2228293</vt:i4>
      </vt:variant>
      <vt:variant>
        <vt:i4>2404</vt:i4>
      </vt:variant>
      <vt:variant>
        <vt:i4>1025</vt:i4>
      </vt:variant>
      <vt:variant>
        <vt:i4>1</vt:i4>
      </vt:variant>
      <vt:variant>
        <vt:lpwstr>css_logo_gris</vt:lpwstr>
      </vt:variant>
      <vt:variant>
        <vt:lpwstr/>
      </vt:variant>
      <vt:variant>
        <vt:i4>5111880</vt:i4>
      </vt:variant>
      <vt:variant>
        <vt:i4>2650</vt:i4>
      </vt:variant>
      <vt:variant>
        <vt:i4>1026</vt:i4>
      </vt:variant>
      <vt:variant>
        <vt:i4>1</vt:i4>
      </vt:variant>
      <vt:variant>
        <vt:lpwstr>UQAC_logo_2018</vt:lpwstr>
      </vt:variant>
      <vt:variant>
        <vt:lpwstr/>
      </vt:variant>
      <vt:variant>
        <vt:i4>4194334</vt:i4>
      </vt:variant>
      <vt:variant>
        <vt:i4>5016</vt:i4>
      </vt:variant>
      <vt:variant>
        <vt:i4>1027</vt:i4>
      </vt:variant>
      <vt:variant>
        <vt:i4>1</vt:i4>
      </vt:variant>
      <vt:variant>
        <vt:lpwstr>Boite_aux_lettres_clair</vt:lpwstr>
      </vt:variant>
      <vt:variant>
        <vt:lpwstr/>
      </vt:variant>
      <vt:variant>
        <vt:i4>1703963</vt:i4>
      </vt:variant>
      <vt:variant>
        <vt:i4>5745</vt:i4>
      </vt:variant>
      <vt:variant>
        <vt:i4>1028</vt:i4>
      </vt:variant>
      <vt:variant>
        <vt:i4>1</vt:i4>
      </vt:variant>
      <vt:variant>
        <vt:lpwstr>fait_sur_mac</vt:lpwstr>
      </vt:variant>
      <vt:variant>
        <vt:lpwstr/>
      </vt:variant>
      <vt:variant>
        <vt:i4>589915</vt:i4>
      </vt:variant>
      <vt:variant>
        <vt:i4>7954</vt:i4>
      </vt:variant>
      <vt:variant>
        <vt:i4>1029</vt:i4>
      </vt:variant>
      <vt:variant>
        <vt:i4>1</vt:i4>
      </vt:variant>
      <vt:variant>
        <vt:lpwstr>Memoire_esclavage_Haiti_L50</vt:lpwstr>
      </vt:variant>
      <vt:variant>
        <vt:lpwstr/>
      </vt:variant>
      <vt:variant>
        <vt:i4>1376257</vt:i4>
      </vt:variant>
      <vt:variant>
        <vt:i4>418883</vt:i4>
      </vt:variant>
      <vt:variant>
        <vt:i4>1084</vt:i4>
      </vt:variant>
      <vt:variant>
        <vt:i4>1</vt:i4>
      </vt:variant>
      <vt:variant>
        <vt:lpwstr>fig_08_low</vt:lpwstr>
      </vt:variant>
      <vt:variant>
        <vt:lpwstr/>
      </vt:variant>
      <vt:variant>
        <vt:i4>5636188</vt:i4>
      </vt:variant>
      <vt:variant>
        <vt:i4>-1</vt:i4>
      </vt:variant>
      <vt:variant>
        <vt:i4>1027</vt:i4>
      </vt:variant>
      <vt:variant>
        <vt:i4>1</vt:i4>
      </vt:variant>
      <vt:variant>
        <vt:lpwstr>Rency_2016_med</vt:lpwstr>
      </vt:variant>
      <vt:variant>
        <vt:lpwstr/>
      </vt:variant>
      <vt:variant>
        <vt:i4>2949215</vt:i4>
      </vt:variant>
      <vt:variant>
        <vt:i4>-1</vt:i4>
      </vt:variant>
      <vt:variant>
        <vt:i4>1028</vt:i4>
      </vt:variant>
      <vt:variant>
        <vt:i4>4</vt:i4>
      </vt:variant>
      <vt:variant>
        <vt:lpwstr>http://www.scienceetbiencommun.org/</vt:lpwstr>
      </vt:variant>
      <vt:variant>
        <vt:lpwstr/>
      </vt:variant>
      <vt:variant>
        <vt:i4>7602281</vt:i4>
      </vt:variant>
      <vt:variant>
        <vt:i4>-1</vt:i4>
      </vt:variant>
      <vt:variant>
        <vt:i4>1028</vt:i4>
      </vt:variant>
      <vt:variant>
        <vt:i4>1</vt:i4>
      </vt:variant>
      <vt:variant>
        <vt:lpwstr>ASBC_logo_50</vt:lpwstr>
      </vt:variant>
      <vt:variant>
        <vt:lpwstr/>
      </vt:variant>
      <vt:variant>
        <vt:i4>4128882</vt:i4>
      </vt:variant>
      <vt:variant>
        <vt:i4>-1</vt:i4>
      </vt:variant>
      <vt:variant>
        <vt:i4>1030</vt:i4>
      </vt:variant>
      <vt:variant>
        <vt:i4>1</vt:i4>
      </vt:variant>
      <vt:variant>
        <vt:lpwstr>Reseau_benevoles_Classiques_haiti</vt:lpwstr>
      </vt:variant>
      <vt:variant>
        <vt:lpwstr/>
      </vt:variant>
      <vt:variant>
        <vt:i4>6946938</vt:i4>
      </vt:variant>
      <vt:variant>
        <vt:i4>-1</vt:i4>
      </vt:variant>
      <vt:variant>
        <vt:i4>1031</vt:i4>
      </vt:variant>
      <vt:variant>
        <vt:i4>1</vt:i4>
      </vt:variant>
      <vt:variant>
        <vt:lpwstr>Rency_inson_michel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Mémoire de l’esclavage en Haïti. Entrecroisement des mémoires et enjeux de la patrimonialisation.</dc:title>
  <dc:subject>Thèse de doctorat en ethnologie et patrimoine.</dc:subject>
  <dc:creator>Jean Ronald Augustin, 2016.</dc:creator>
  <cp:keywords>classiques.sc.soc@gmail.com</cp:keywords>
  <dc:description>http://classiques.uqac.ca/</dc:description>
  <cp:lastModifiedBy>Microsoft Office User</cp:lastModifiedBy>
  <cp:revision>2</cp:revision>
  <cp:lastPrinted>2001-08-26T19:33:00Z</cp:lastPrinted>
  <dcterms:created xsi:type="dcterms:W3CDTF">2019-04-25T18:58:00Z</dcterms:created>
  <dcterms:modified xsi:type="dcterms:W3CDTF">2019-04-25T18:58:00Z</dcterms:modified>
  <cp:category>jean-marie tremblay, sociologue, fondateur, 1993</cp:category>
</cp:coreProperties>
</file>